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283210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300355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85725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117475</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8" w:lineRule="exact"/>
        <w:rPr>
          <w:sz w:val="24"/>
          <w:szCs w:val="24"/>
          <w:color w:val="auto"/>
        </w:rPr>
      </w:pPr>
    </w:p>
    <w:p>
      <w:pPr>
        <w:ind w:left="3840" w:right="1760" w:hanging="3821"/>
        <w:spacing w:after="0" w:line="361"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480" w:hanging="461"/>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4" w:lineRule="exact"/>
        <w:rPr>
          <w:sz w:val="24"/>
          <w:szCs w:val="24"/>
          <w:color w:val="auto"/>
        </w:rPr>
      </w:pPr>
    </w:p>
    <w:p>
      <w:pPr>
        <w:ind w:left="36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3815715</wp:posOffset>
            </wp:positionH>
            <wp:positionV relativeFrom="paragraph">
              <wp:posOffset>-8255</wp:posOffset>
            </wp:positionV>
            <wp:extent cx="42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92710</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TALKSPACE, INC.</w:t>
      </w:r>
    </w:p>
    <w:p>
      <w:pPr>
        <w:sectPr>
          <w:pgSz w:w="11900" w:h="16838" w:orient="portrait"/>
          <w:cols w:equalWidth="0" w:num="1">
            <w:col w:w="11240"/>
          </w:cols>
          <w:pgMar w:left="320" w:top="665"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78740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2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3"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84-4636604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36" w:lineRule="exact"/>
        <w:rPr>
          <w:sz w:val="24"/>
          <w:szCs w:val="24"/>
          <w:color w:val="auto"/>
        </w:rPr>
      </w:pPr>
    </w:p>
    <w:p>
      <w:pPr>
        <w:sectPr>
          <w:pgSz w:w="11900" w:h="16838" w:orient="portrait"/>
          <w:cols w:equalWidth="0" w:num="2">
            <w:col w:w="7660" w:space="280"/>
            <w:col w:w="3300"/>
          </w:cols>
          <w:pgMar w:left="320" w:top="665"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2"/>
          <w:szCs w:val="12"/>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0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5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3"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5"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86995</wp:posOffset>
            </wp:positionV>
            <wp:extent cx="1419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7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504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8"/>
              </w:rPr>
              <w:t>TALK</w:t>
            </w:r>
          </w:p>
        </w:tc>
        <w:tc>
          <w:tcPr>
            <w:tcW w:w="120" w:type="dxa"/>
            <w:vAlign w:val="bottom"/>
          </w:tcPr>
          <w:p>
            <w:pPr>
              <w:spacing w:after="0"/>
              <w:rPr>
                <w:sz w:val="15"/>
                <w:szCs w:val="15"/>
                <w:color w:val="auto"/>
              </w:rPr>
            </w:pPr>
          </w:p>
        </w:tc>
        <w:tc>
          <w:tcPr>
            <w:tcW w:w="5040" w:type="dxa"/>
            <w:vAlign w:val="bottom"/>
          </w:tcPr>
          <w:p>
            <w:pPr>
              <w:ind w:left="1780"/>
              <w:spacing w:after="0" w:line="179" w:lineRule="exact"/>
              <w:rPr>
                <w:sz w:val="20"/>
                <w:szCs w:val="20"/>
                <w:color w:val="auto"/>
              </w:rPr>
            </w:pPr>
            <w:r>
              <w:rPr>
                <w:rFonts w:ascii="Times New Roman" w:cs="Times New Roman" w:eastAsia="Times New Roman" w:hAnsi="Times New Roman"/>
                <w:sz w:val="16"/>
                <w:szCs w:val="16"/>
                <w:color w:val="auto"/>
              </w:rPr>
              <w:t>Nasdaq Stock Market</w:t>
            </w: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TALKW</w:t>
            </w:r>
          </w:p>
        </w:tc>
        <w:tc>
          <w:tcPr>
            <w:tcW w:w="12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Nasdaq Stock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jc w:val="both"/>
        <w:ind w:right="160" w:firstLine="599"/>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1" w:lineRule="exact"/>
        <w:rPr>
          <w:sz w:val="24"/>
          <w:szCs w:val="24"/>
          <w:color w:val="auto"/>
        </w:rPr>
      </w:pPr>
    </w:p>
    <w:p>
      <w:pPr>
        <w:ind w:right="60" w:firstLine="599"/>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 w:lineRule="exact"/>
        <w:rPr>
          <w:sz w:val="24"/>
          <w:szCs w:val="24"/>
          <w:color w:val="auto"/>
        </w:rPr>
      </w:pPr>
    </w:p>
    <w:p>
      <w:pPr>
        <w:ind w:right="300" w:firstLine="599"/>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pacing w:after="0" w:line="40" w:lineRule="exact"/>
        <w:rPr>
          <w:sz w:val="24"/>
          <w:szCs w:val="24"/>
          <w:color w:val="auto"/>
        </w:rPr>
      </w:pPr>
    </w:p>
    <w:p>
      <w:pPr>
        <w:ind w:right="140" w:firstLine="599"/>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1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 2022, the registrant had 155,116,870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181610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270510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60" w:type="dxa"/>
            <w:vAlign w:val="bottom"/>
            <w:gridSpan w:val="3"/>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920" w:type="dxa"/>
            <w:vAlign w:val="bottom"/>
            <w:gridSpan w:val="9"/>
            <w:vMerge w:val="restart"/>
          </w:tcPr>
          <w:p>
            <w:pPr>
              <w:ind w:left="60"/>
              <w:spacing w:after="0" w:line="200" w:lineRule="exact"/>
              <w:rPr>
                <w:sz w:val="20"/>
                <w:szCs w:val="20"/>
                <w:color w:val="auto"/>
              </w:rPr>
            </w:pPr>
            <w:r>
              <w:rPr>
                <w:rFonts w:ascii="Times New Roman" w:cs="Times New Roman" w:eastAsia="Times New Roman" w:hAnsi="Times New Roman"/>
                <w:sz w:val="18"/>
                <w:szCs w:val="18"/>
                <w:color w:val="0000FF"/>
              </w:rPr>
              <w:t>Sheets as of March 31, 2022 (unaudited) and December 31, 2021</w:t>
            </w: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8"/>
          </w:tcPr>
          <w:p>
            <w:pPr>
              <w:spacing w:after="0" w:line="180" w:lineRule="exact"/>
              <w:rPr>
                <w:sz w:val="20"/>
                <w:szCs w:val="20"/>
                <w:color w:val="auto"/>
              </w:rPr>
            </w:pPr>
            <w:r>
              <w:rPr>
                <w:rFonts w:ascii="Times New Roman" w:cs="Times New Roman" w:eastAsia="Times New Roman" w:hAnsi="Times New Roman"/>
                <w:sz w:val="18"/>
                <w:szCs w:val="18"/>
                <w:color w:val="0000FF"/>
                <w:w w:val="97"/>
              </w:rPr>
              <w:t>Condensed Consolidated Balance</w:t>
            </w:r>
          </w:p>
        </w:tc>
        <w:tc>
          <w:tcPr>
            <w:tcW w:w="69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7"/>
          </w:tcPr>
          <w:p>
            <w:pPr>
              <w:spacing w:after="0" w:line="180"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months ended March 31, 2022 and 2021</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left w:val="single" w:sz="8" w:color="0000EE"/>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gridSpan w:val="2"/>
            <w:vMerge w:val="restart"/>
          </w:tcPr>
          <w:p>
            <w:pPr>
              <w:spacing w:after="0" w:line="200" w:lineRule="exact"/>
              <w:rPr>
                <w:sz w:val="20"/>
                <w:szCs w:val="20"/>
                <w:color w:val="auto"/>
              </w:rPr>
            </w:pPr>
            <w:r>
              <w:rPr>
                <w:rFonts w:ascii="Times New Roman" w:cs="Times New Roman" w:eastAsia="Times New Roman" w:hAnsi="Times New Roman"/>
                <w:sz w:val="18"/>
                <w:szCs w:val="18"/>
                <w:color w:val="0000FF"/>
              </w:rPr>
              <w:t>31, 2022 and</w:t>
            </w: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320" w:type="dxa"/>
            <w:vAlign w:val="bottom"/>
            <w:gridSpan w:val="14"/>
          </w:tcPr>
          <w:p>
            <w:pPr>
              <w:spacing w:after="0" w:line="180" w:lineRule="exact"/>
              <w:rPr>
                <w:sz w:val="20"/>
                <w:szCs w:val="20"/>
                <w:color w:val="auto"/>
              </w:rPr>
            </w:pPr>
            <w:r>
              <w:rPr>
                <w:rFonts w:ascii="Times New Roman" w:cs="Times New Roman" w:eastAsia="Times New Roman" w:hAnsi="Times New Roman"/>
                <w:sz w:val="18"/>
                <w:szCs w:val="18"/>
                <w:color w:val="0000FF"/>
                <w:w w:val="98"/>
              </w:rPr>
              <w:t>Condensed Consolidated Statements of Stockholder’s Equity (Deficit) (unaudited) for the three months ended March</w:t>
            </w:r>
          </w:p>
        </w:tc>
        <w:tc>
          <w:tcPr>
            <w:tcW w:w="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7"/>
          </w:tcPr>
          <w:p>
            <w:pPr>
              <w:spacing w:after="0" w:line="180"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2022 and 2021</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96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340" w:type="dxa"/>
            <w:vAlign w:val="bottom"/>
            <w:gridSpan w:val="15"/>
          </w:tcPr>
          <w:p>
            <w:pPr>
              <w:spacing w:after="0" w:line="180"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9300" w:type="dxa"/>
            <w:vAlign w:val="bottom"/>
            <w:gridSpan w:val="17"/>
          </w:tcPr>
          <w:p>
            <w:pPr>
              <w:spacing w:after="0" w:line="180"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9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6380" w:type="dxa"/>
            <w:vAlign w:val="bottom"/>
            <w:gridSpan w:val="12"/>
          </w:tcPr>
          <w:p>
            <w:pPr>
              <w:spacing w:after="0" w:line="180"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2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8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4320" w:type="dxa"/>
            <w:vAlign w:val="bottom"/>
            <w:gridSpan w:val="10"/>
          </w:tcPr>
          <w:p>
            <w:pPr>
              <w:spacing w:after="0" w:line="180" w:lineRule="exact"/>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00" w:type="dxa"/>
            <w:vAlign w:val="bottom"/>
            <w:gridSpan w:val="2"/>
            <w:vMerge w:val="restart"/>
          </w:tcPr>
          <w:p>
            <w:pPr>
              <w:spacing w:after="0" w:line="20" w:lineRule="exact"/>
              <w:rPr>
                <w:sz w:val="1"/>
                <w:szCs w:val="1"/>
                <w:color w:val="auto"/>
              </w:rPr>
            </w:pPr>
          </w:p>
        </w:tc>
        <w:tc>
          <w:tcPr>
            <w:tcW w:w="5000" w:type="dxa"/>
            <w:vAlign w:val="bottom"/>
            <w:gridSpan w:val="8"/>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gridSpan w:val="3"/>
            <w:vMerge w:val="continue"/>
          </w:tcPr>
          <w:p>
            <w:pPr>
              <w:spacing w:after="0"/>
              <w:rPr>
                <w:sz w:val="16"/>
                <w:szCs w:val="16"/>
                <w:color w:val="auto"/>
              </w:rPr>
            </w:pPr>
          </w:p>
        </w:tc>
        <w:tc>
          <w:tcPr>
            <w:tcW w:w="17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84"/>
              </w:rPr>
              <w:t>OTHER INFORMATION</w:t>
            </w:r>
          </w:p>
        </w:tc>
        <w:tc>
          <w:tcPr>
            <w:tcW w:w="56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5000" w:type="dxa"/>
            <w:vAlign w:val="bottom"/>
            <w:gridSpan w:val="8"/>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1"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2000" w:type="dxa"/>
            <w:vAlign w:val="bottom"/>
            <w:gridSpan w:val="2"/>
            <w:vMerge w:val="restart"/>
          </w:tcPr>
          <w:p>
            <w:pPr>
              <w:spacing w:after="0" w:line="20" w:lineRule="exact"/>
              <w:rPr>
                <w:sz w:val="1"/>
                <w:szCs w:val="1"/>
                <w:color w:val="auto"/>
              </w:rPr>
            </w:pPr>
          </w:p>
        </w:tc>
        <w:tc>
          <w:tcPr>
            <w:tcW w:w="5000" w:type="dxa"/>
            <w:vAlign w:val="bottom"/>
            <w:gridSpan w:val="8"/>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1320" w:type="dxa"/>
            <w:vAlign w:val="bottom"/>
            <w:gridSpan w:val="5"/>
          </w:tcPr>
          <w:p>
            <w:pPr>
              <w:spacing w:after="0" w:line="180"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00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4"/>
            <w:vMerge w:val="restart"/>
          </w:tcPr>
          <w:p>
            <w:pPr>
              <w:ind w:left="40"/>
              <w:spacing w:after="0" w:line="200"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92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0" w:type="dxa"/>
            <w:vAlign w:val="bottom"/>
            <w:gridSpan w:val="8"/>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4300" w:type="dxa"/>
            <w:vAlign w:val="bottom"/>
            <w:gridSpan w:val="9"/>
          </w:tcPr>
          <w:p>
            <w:pPr>
              <w:spacing w:after="0" w:line="180"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2300" w:type="dxa"/>
            <w:vAlign w:val="bottom"/>
            <w:gridSpan w:val="7"/>
          </w:tcPr>
          <w:p>
            <w:pPr>
              <w:spacing w:after="0" w:line="180" w:lineRule="exact"/>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560" w:type="dxa"/>
            <w:vAlign w:val="bottom"/>
            <w:gridSpan w:val="11"/>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1740" w:type="dxa"/>
            <w:vAlign w:val="bottom"/>
            <w:gridSpan w:val="6"/>
          </w:tcPr>
          <w:p>
            <w:pPr>
              <w:spacing w:after="0" w:line="180" w:lineRule="exact"/>
              <w:rPr>
                <w:sz w:val="20"/>
                <w:szCs w:val="20"/>
                <w:color w:val="auto"/>
              </w:rPr>
            </w:pPr>
            <w:r>
              <w:rPr>
                <w:rFonts w:ascii="Times New Roman" w:cs="Times New Roman" w:eastAsia="Times New Roman" w:hAnsi="Times New Roman"/>
                <w:sz w:val="18"/>
                <w:szCs w:val="18"/>
                <w:color w:val="0000FF"/>
              </w:rPr>
              <w:t>Other Information</w:t>
            </w:r>
          </w:p>
        </w:tc>
        <w:tc>
          <w:tcPr>
            <w:tcW w:w="7560" w:type="dxa"/>
            <w:vAlign w:val="bottom"/>
            <w:gridSpan w:val="1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180"/>
        </w:trPr>
        <w:tc>
          <w:tcPr>
            <w:tcW w:w="1160" w:type="dxa"/>
            <w:vAlign w:val="bottom"/>
            <w:gridSpan w:val="3"/>
            <w:vMerge w:val="continue"/>
          </w:tcPr>
          <w:p>
            <w:pPr>
              <w:spacing w:after="0"/>
              <w:rPr>
                <w:sz w:val="15"/>
                <w:szCs w:val="15"/>
                <w:color w:val="auto"/>
              </w:rPr>
            </w:pPr>
          </w:p>
        </w:tc>
        <w:tc>
          <w:tcPr>
            <w:tcW w:w="1300" w:type="dxa"/>
            <w:vAlign w:val="bottom"/>
            <w:gridSpan w:val="4"/>
          </w:tcPr>
          <w:p>
            <w:pPr>
              <w:spacing w:after="0" w:line="180"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gridSpan w:val="2"/>
            <w:vMerge w:val="restart"/>
          </w:tcPr>
          <w:p>
            <w:pPr>
              <w:spacing w:after="0"/>
              <w:rPr>
                <w:sz w:val="15"/>
                <w:szCs w:val="15"/>
                <w:color w:val="auto"/>
              </w:rPr>
            </w:pPr>
          </w:p>
        </w:tc>
        <w:tc>
          <w:tcPr>
            <w:tcW w:w="4140" w:type="dxa"/>
            <w:vAlign w:val="bottom"/>
            <w:gridSpan w:val="9"/>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gridSpan w:val="2"/>
            <w:vMerge w:val="continue"/>
          </w:tcPr>
          <w:p>
            <w:pPr>
              <w:spacing w:after="0"/>
              <w:rPr>
                <w:sz w:val="24"/>
                <w:szCs w:val="24"/>
                <w:color w:val="auto"/>
              </w:rPr>
            </w:pPr>
          </w:p>
        </w:tc>
        <w:tc>
          <w:tcPr>
            <w:tcW w:w="4140" w:type="dxa"/>
            <w:vAlign w:val="bottom"/>
            <w:gridSpan w:val="9"/>
            <w:vMerge w:val="continue"/>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ind w:left="4300"/>
        <w:spacing w:after="0"/>
        <w:rPr>
          <w:sz w:val="20"/>
          <w:szCs w:val="20"/>
          <w:color w:val="auto"/>
        </w:rPr>
      </w:pPr>
      <w:r>
        <w:rPr>
          <w:rFonts w:ascii="Times New Roman" w:cs="Times New Roman" w:eastAsia="Times New Roman" w:hAnsi="Times New Roman"/>
          <w:sz w:val="21"/>
          <w:szCs w:val="21"/>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unless the context otherwise requires, references to:</w:t>
      </w:r>
    </w:p>
    <w:p>
      <w:pPr>
        <w:spacing w:after="0" w:line="108" w:lineRule="exact"/>
        <w:rPr>
          <w:sz w:val="20"/>
          <w:szCs w:val="20"/>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are to the Talkspace, Inc. 2021 Incentive Award Plan;</w:t>
      </w:r>
    </w:p>
    <w:p>
      <w:pPr>
        <w:spacing w:after="0" w:line="99"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are to, together, (i) the First Merger and (ii) the Second Merger;</w:t>
      </w:r>
    </w:p>
    <w:p>
      <w:pPr>
        <w:spacing w:after="0" w:line="99"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 xml:space="preserve"> are to the Talkspace, Inc. 2021 Employee Stock Purchase Plan;</w:t>
      </w:r>
    </w:p>
    <w:p>
      <w:pPr>
        <w:spacing w:after="0" w:line="11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to the Securities Exchange Act of 1934, as amended;</w:t>
      </w:r>
    </w:p>
    <w:p>
      <w:pPr>
        <w:spacing w:after="0" w:line="99"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are to the merger of First Merger Sub with and into Old Talkspace;</w:t>
      </w:r>
    </w:p>
    <w:p>
      <w:pPr>
        <w:spacing w:after="0" w:line="99"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are to Tailwind Merger Sub I, Inc.;</w:t>
      </w:r>
    </w:p>
    <w:p>
      <w:pPr>
        <w:spacing w:after="0" w:line="11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w:t>
      </w:r>
      <w:r>
        <w:rPr>
          <w:rFonts w:ascii="Times New Roman" w:cs="Times New Roman" w:eastAsia="Times New Roman" w:hAnsi="Times New Roman"/>
          <w:sz w:val="18"/>
          <w:szCs w:val="18"/>
          <w:color w:val="auto"/>
        </w:rPr>
        <w:t>” are to Hudson Executive Investment Corp., a Delaware corporation;</w:t>
      </w:r>
    </w:p>
    <w:p>
      <w:pPr>
        <w:spacing w:after="0" w:line="99" w:lineRule="exact"/>
        <w:rPr>
          <w:rFonts w:ascii="Times New Roman" w:cs="Times New Roman" w:eastAsia="Times New Roman" w:hAnsi="Times New Roman"/>
          <w:sz w:val="18"/>
          <w:szCs w:val="18"/>
          <w:color w:val="auto"/>
        </w:rPr>
      </w:pPr>
    </w:p>
    <w:p>
      <w:pPr>
        <w:ind w:left="760" w:right="320" w:hanging="379"/>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Forward Purchase Agreement</w:t>
      </w:r>
      <w:r>
        <w:rPr>
          <w:rFonts w:ascii="Times New Roman" w:cs="Times New Roman" w:eastAsia="Times New Roman" w:hAnsi="Times New Roman"/>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48"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Fund</w:t>
      </w:r>
      <w:r>
        <w:rPr>
          <w:rFonts w:ascii="Times New Roman" w:cs="Times New Roman" w:eastAsia="Times New Roman" w:hAnsi="Times New Roman"/>
          <w:sz w:val="18"/>
          <w:szCs w:val="18"/>
          <w:color w:val="auto"/>
        </w:rPr>
        <w:t>” are to HEC Master Fund LP, a Delaware limited partnership;</w:t>
      </w:r>
    </w:p>
    <w:p>
      <w:pPr>
        <w:spacing w:after="0" w:line="11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IPO</w:t>
      </w:r>
      <w:r>
        <w:rPr>
          <w:rFonts w:ascii="Times New Roman" w:cs="Times New Roman" w:eastAsia="Times New Roman" w:hAnsi="Times New Roman"/>
          <w:sz w:val="18"/>
          <w:szCs w:val="18"/>
          <w:color w:val="auto"/>
        </w:rPr>
        <w:t>” are to the initial public offering by HEC which closed on June 11, 2020;</w:t>
      </w:r>
    </w:p>
    <w:p>
      <w:pPr>
        <w:spacing w:after="0" w:line="99" w:lineRule="exact"/>
        <w:rPr>
          <w:rFonts w:ascii="Times New Roman" w:cs="Times New Roman" w:eastAsia="Times New Roman" w:hAnsi="Times New Roman"/>
          <w:sz w:val="18"/>
          <w:szCs w:val="18"/>
          <w:color w:val="auto"/>
        </w:rPr>
      </w:pPr>
    </w:p>
    <w:p>
      <w:pPr>
        <w:ind w:left="760" w:right="240" w:hanging="379"/>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are to that certain Agreement and Plan of Merger, dated as of January 12, 2021, by and among HEC, Old Talkspace, First Merger Sub and Second Merger Sub;</w:t>
      </w:r>
    </w:p>
    <w:p>
      <w:pPr>
        <w:spacing w:after="0" w:line="6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Old Talkspace</w:t>
      </w:r>
      <w:r>
        <w:rPr>
          <w:rFonts w:ascii="Times New Roman" w:cs="Times New Roman" w:eastAsia="Times New Roman" w:hAnsi="Times New Roman"/>
          <w:sz w:val="18"/>
          <w:szCs w:val="18"/>
          <w:color w:val="auto"/>
        </w:rPr>
        <w:t>” are to Groop Internet Platform, Inc. (d/b/a “Talkspace”), a Delaware corporation;</w:t>
      </w:r>
    </w:p>
    <w:p>
      <w:pPr>
        <w:spacing w:after="0" w:line="99" w:lineRule="exact"/>
        <w:rPr>
          <w:rFonts w:ascii="Times New Roman" w:cs="Times New Roman" w:eastAsia="Times New Roman" w:hAnsi="Times New Roman"/>
          <w:sz w:val="18"/>
          <w:szCs w:val="18"/>
          <w:color w:val="auto"/>
        </w:rPr>
      </w:pPr>
    </w:p>
    <w:p>
      <w:pPr>
        <w:ind w:left="760" w:hanging="379"/>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are to the warrants issued by HEC to the Sponsor in a private placement simultaneously with the closing of the HEC IPO and the warrants originally sold as part of the units in the HEC Forward Purchase;</w:t>
      </w:r>
    </w:p>
    <w:p>
      <w:pPr>
        <w:spacing w:after="0" w:line="62" w:lineRule="exact"/>
        <w:rPr>
          <w:rFonts w:ascii="Times New Roman" w:cs="Times New Roman" w:eastAsia="Times New Roman" w:hAnsi="Times New Roman"/>
          <w:sz w:val="18"/>
          <w:szCs w:val="18"/>
          <w:color w:val="auto"/>
        </w:rPr>
      </w:pPr>
    </w:p>
    <w:p>
      <w:pPr>
        <w:ind w:left="760" w:right="640" w:hanging="379"/>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are to the warrants originally sold as part of the units in the HEC IPO (whether they were purchased in the HEC IPO or thereafter in the open market);</w:t>
      </w:r>
    </w:p>
    <w:p>
      <w:pPr>
        <w:spacing w:after="0" w:line="48"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are to the United States Securities and Exchange Commission;</w:t>
      </w:r>
    </w:p>
    <w:p>
      <w:pPr>
        <w:spacing w:after="0" w:line="112"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are to Tailwind Merger Sub II, LLC;</w:t>
      </w:r>
    </w:p>
    <w:p>
      <w:pPr>
        <w:spacing w:after="0" w:line="99"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are to HEC Sponsor LLC, a Delaware limited liability company;</w:t>
      </w:r>
    </w:p>
    <w:p>
      <w:pPr>
        <w:spacing w:after="0" w:line="99" w:lineRule="exact"/>
        <w:rPr>
          <w:rFonts w:ascii="Times New Roman" w:cs="Times New Roman" w:eastAsia="Times New Roman" w:hAnsi="Times New Roman"/>
          <w:sz w:val="18"/>
          <w:szCs w:val="18"/>
          <w:color w:val="auto"/>
        </w:rPr>
      </w:pPr>
    </w:p>
    <w:p>
      <w:pPr>
        <w:ind w:left="760" w:right="260" w:hanging="379"/>
        <w:spacing w:after="0" w:line="28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are to that certain Warrant Agreement, dated as of June 8, 2020, by and between HEC and Continental Stock Transfer &amp; Trust Company; and</w:t>
      </w:r>
    </w:p>
    <w:p>
      <w:pPr>
        <w:spacing w:after="0" w:line="36"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are to the public warrants and the private placement warrants.</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308"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we have a history of losses, which we expect to continue, and we may never achieve or sustain profitability; our business and the markets we operate in are new and rapidly evolving which makes it difficult to evaluate our future prospects and the risks and challenges we may encounter; we may not grow at the rates we historically have achieved or at all; the virtual behavioral health market is immature and volatile, and if it does not develop, if it develops more slowly than we expect, if it encounters negative publicity or if our services are not competitive, the growth of our business will be harmed; the outbreak of the novel coronavirus (COVID-19) and its impact on business and economic conditions could adversely affect our business, results of operations and financial condition, and the extent and duration of those effects will be uncertain; we operate in a competitive industry, and if we are not able to compete effectively, our business, financial condition and results of operations will be harmed; 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 we may be unsuccessful in achieving broad market education and changing consumer purchasing habits; our growth depends in part on the success of our strategic relationships with third parties that we provide services to; our virtual behavioral healthcare strategies depend on our ability to maintain and expand our network of therapists, psychiatrists and other providers; developments affecting spending by the healthcare industry could adversely affect our business; our business could be adversely affected by legal challenges to our business model or by actions restricting our ability to provide the full range of our services in certain jurisdictions; 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 the impact on us of recent healthcare legislation and other changes in the healthcare industry and in healthcare spending is currently unknown, but may adversely affect our business, financial condition and results of operations; 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 our use and disclosure of personal information, including PHI, personal data, and other health information, is subject to state, federal or other privacy and security regulations; any failure to protect, enforce or defend our intellectual property rights could impair our ability to protect our technology and our brand; legal proceedings could cause us to incur unforeseen expenses and could occupy a significant amount of our management’s time and attention; and the other important factors discussed in Part I, Item 1A, “Risk Factors” of the Company’s Annual Report on Form 10-K for the fiscal year ended December 31, 2021 and described from time to time in our future 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4" w:name="page5"/>
    <w:bookmarkEnd w:id="4"/>
    <w:p>
      <w:pPr>
        <w:jc w:val="both"/>
        <w:spacing w:after="0" w:line="242"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2021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6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8"/>
                <w:szCs w:val="18"/>
                <w:color w:val="auto"/>
              </w:rPr>
              <w:t>Accounts receivable, net of reserves of $4,706 and $4,918 as of March 31, 2022 and December 31,</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7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4"/>
                <w:szCs w:val="14"/>
                <w:color w:val="auto"/>
              </w:rPr>
            </w:pPr>
          </w:p>
        </w:tc>
        <w:tc>
          <w:tcPr>
            <w:tcW w:w="140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195,478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213,330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shd w:val="clear" w:color="auto" w:fill="CFF0FC"/>
          </w:tcPr>
          <w:p>
            <w:pPr>
              <w:spacing w:after="0"/>
              <w:rPr>
                <w:sz w:val="17"/>
                <w:szCs w:val="17"/>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680" w:type="dxa"/>
            <w:vAlign w:val="bottom"/>
            <w:gridSpan w:val="3"/>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1"/>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205,413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8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680" w:type="dxa"/>
            <w:vAlign w:val="bottom"/>
            <w:gridSpan w:val="3"/>
            <w:shd w:val="clear" w:color="auto" w:fill="CFF0FC"/>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66" w:lineRule="exact"/>
              <w:rPr>
                <w:sz w:val="20"/>
                <w:szCs w:val="20"/>
                <w:color w:val="auto"/>
              </w:rPr>
            </w:pPr>
            <w:r>
              <w:rPr>
                <w:rFonts w:ascii="Times New Roman" w:cs="Times New Roman" w:eastAsia="Times New Roman" w:hAnsi="Times New Roman"/>
                <w:sz w:val="18"/>
                <w:szCs w:val="18"/>
                <w:color w:val="auto"/>
              </w:rPr>
              <w:t>25,750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66" w:lineRule="exact"/>
              <w:rPr>
                <w:sz w:val="20"/>
                <w:szCs w:val="20"/>
                <w:color w:val="auto"/>
              </w:rPr>
            </w:pPr>
            <w:r>
              <w:rPr>
                <w:rFonts w:ascii="Times New Roman" w:cs="Times New Roman" w:eastAsia="Times New Roman" w:hAnsi="Times New Roman"/>
                <w:sz w:val="18"/>
                <w:szCs w:val="18"/>
                <w:color w:val="auto"/>
              </w:rPr>
              <w:t>27,177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140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8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4"/>
                <w:szCs w:val="14"/>
                <w:color w:val="auto"/>
              </w:rPr>
            </w:pPr>
          </w:p>
        </w:tc>
        <w:tc>
          <w:tcPr>
            <w:tcW w:w="140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29,136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line="166" w:lineRule="exact"/>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FF0FC"/>
          </w:tcPr>
          <w:p>
            <w:pPr>
              <w:spacing w:after="0"/>
              <w:rPr>
                <w:sz w:val="14"/>
                <w:szCs w:val="14"/>
                <w:color w:val="auto"/>
              </w:rPr>
            </w:pPr>
          </w:p>
        </w:tc>
        <w:tc>
          <w:tcPr>
            <w:tcW w:w="7660" w:type="dxa"/>
            <w:vAlign w:val="bottom"/>
            <w:gridSpan w:val="2"/>
            <w:shd w:val="clear" w:color="auto" w:fill="CFF0FC"/>
          </w:tcPr>
          <w:p>
            <w:pPr>
              <w:ind w:left="180"/>
              <w:spacing w:after="0" w:line="168" w:lineRule="exact"/>
              <w:rPr>
                <w:sz w:val="20"/>
                <w:szCs w:val="20"/>
                <w:color w:val="auto"/>
              </w:rPr>
            </w:pPr>
            <w:r>
              <w:rPr>
                <w:rFonts w:ascii="Times New Roman" w:cs="Times New Roman" w:eastAsia="Times New Roman" w:hAnsi="Times New Roman"/>
                <w:sz w:val="18"/>
                <w:szCs w:val="18"/>
                <w:color w:val="auto"/>
              </w:rPr>
              <w:t>Common stock of $0.0001 par value — Authorized: 1,000,000,000 shares at March 31, 2022 and</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7660" w:type="dxa"/>
            <w:vAlign w:val="bottom"/>
            <w:gridSpan w:val="2"/>
            <w:shd w:val="clear" w:color="auto" w:fill="CFF0FC"/>
          </w:tcPr>
          <w:p>
            <w:pPr>
              <w:ind w:left="180"/>
              <w:spacing w:after="0" w:line="187" w:lineRule="exact"/>
              <w:rPr>
                <w:sz w:val="20"/>
                <w:szCs w:val="20"/>
                <w:color w:val="auto"/>
              </w:rPr>
            </w:pPr>
            <w:r>
              <w:rPr>
                <w:rFonts w:ascii="Times New Roman" w:cs="Times New Roman" w:eastAsia="Times New Roman" w:hAnsi="Times New Roman"/>
                <w:sz w:val="18"/>
                <w:szCs w:val="18"/>
                <w:color w:val="auto"/>
              </w:rPr>
              <w:t>December 31, 2021; Issued and outstanding: 155,104,655 and 152,862,447 shares at March 31, 2022</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(191,890 )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(171,530 )</w:t>
            </w:r>
          </w:p>
        </w:tc>
        <w:tc>
          <w:tcPr>
            <w:tcW w:w="0" w:type="dxa"/>
            <w:vAlign w:val="bottom"/>
          </w:tcPr>
          <w:p>
            <w:pPr>
              <w:spacing w:after="0"/>
              <w:rPr>
                <w:sz w:val="1"/>
                <w:szCs w:val="1"/>
                <w:color w:val="auto"/>
              </w:rPr>
            </w:pPr>
          </w:p>
        </w:tc>
      </w:tr>
      <w:tr>
        <w:trPr>
          <w:trHeight w:val="166"/>
        </w:trPr>
        <w:tc>
          <w:tcPr>
            <w:tcW w:w="7680" w:type="dxa"/>
            <w:vAlign w:val="bottom"/>
            <w:tcBorders>
              <w:top w:val="single" w:sz="8" w:color="CFF0FC"/>
            </w:tcBorders>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8"/>
                <w:szCs w:val="18"/>
                <w:color w:val="auto"/>
              </w:rPr>
              <w:t>176,277</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8"/>
                <w:szCs w:val="18"/>
                <w:color w:val="auto"/>
              </w:rPr>
              <w:t>192,273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680" w:type="dxa"/>
            <w:vAlign w:val="bottom"/>
            <w:gridSpan w:val="3"/>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jc w:val="right"/>
              <w:ind w:right="31"/>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205,413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-3338195</wp:posOffset>
            </wp:positionV>
            <wp:extent cx="67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-3338195</wp:posOffset>
            </wp:positionV>
            <wp:extent cx="5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-2501265</wp:posOffset>
            </wp:positionV>
            <wp:extent cx="673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-2484755</wp:posOffset>
            </wp:positionV>
            <wp:extent cx="67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-2501265</wp:posOffset>
            </wp:positionV>
            <wp:extent cx="59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-2484755</wp:posOffset>
            </wp:positionV>
            <wp:extent cx="59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-1656080</wp:posOffset>
            </wp:positionV>
            <wp:extent cx="6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-1656080</wp:posOffset>
            </wp:positionV>
            <wp:extent cx="5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-1377315</wp:posOffset>
            </wp:positionV>
            <wp:extent cx="673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-1377315</wp:posOffset>
            </wp:positionV>
            <wp:extent cx="5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-312420</wp:posOffset>
            </wp:positionV>
            <wp:extent cx="673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-312420</wp:posOffset>
            </wp:positionV>
            <wp:extent cx="5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-24765</wp:posOffset>
            </wp:positionV>
            <wp:extent cx="59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5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86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60" w:type="dxa"/>
            <w:vAlign w:val="bottom"/>
            <w:gridSpan w:val="3"/>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6"/>
        </w:trPr>
        <w:tc>
          <w:tcPr>
            <w:tcW w:w="70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3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0" w:type="dxa"/>
            <w:vAlign w:val="bottom"/>
          </w:tcPr>
          <w:p>
            <w:pPr>
              <w:spacing w:after="0"/>
              <w:rPr>
                <w:sz w:val="1"/>
                <w:szCs w:val="1"/>
                <w:color w:val="auto"/>
              </w:rPr>
            </w:pPr>
          </w:p>
        </w:tc>
      </w:tr>
      <w:tr>
        <w:trPr>
          <w:trHeight w:val="213"/>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06"/>
        </w:trPr>
        <w:tc>
          <w:tcPr>
            <w:tcW w:w="706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3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0" w:type="dxa"/>
            <w:vAlign w:val="bottom"/>
          </w:tcPr>
          <w:p>
            <w:pPr>
              <w:spacing w:after="0"/>
              <w:rPr>
                <w:sz w:val="1"/>
                <w:szCs w:val="1"/>
                <w:color w:val="auto"/>
              </w:rPr>
            </w:pPr>
          </w:p>
        </w:tc>
      </w:tr>
      <w:tr>
        <w:trPr>
          <w:trHeight w:val="206"/>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shd w:val="clear" w:color="auto" w:fill="CFF0FC"/>
          </w:tcPr>
          <w:p>
            <w:pPr>
              <w:spacing w:after="0"/>
              <w:rPr>
                <w:sz w:val="18"/>
                <w:szCs w:val="18"/>
                <w:color w:val="auto"/>
              </w:rPr>
            </w:pPr>
          </w:p>
        </w:tc>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Clinical operations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3"/>
        </w:trPr>
        <w:tc>
          <w:tcPr>
            <w:tcW w:w="100" w:type="dxa"/>
            <w:vAlign w:val="bottom"/>
            <w:shd w:val="clear" w:color="auto" w:fill="CFF0FC"/>
          </w:tcPr>
          <w:p>
            <w:pPr>
              <w:spacing w:after="0"/>
              <w:rPr>
                <w:sz w:val="18"/>
                <w:szCs w:val="18"/>
                <w:color w:val="auto"/>
              </w:rPr>
            </w:pPr>
          </w:p>
        </w:tc>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186"/>
        </w:trPr>
        <w:tc>
          <w:tcPr>
            <w:tcW w:w="100" w:type="dxa"/>
            <w:vAlign w:val="bottom"/>
            <w:shd w:val="clear" w:color="auto" w:fill="CFF0FC"/>
          </w:tcPr>
          <w:p>
            <w:pPr>
              <w:spacing w:after="0"/>
              <w:rPr>
                <w:sz w:val="16"/>
                <w:szCs w:val="16"/>
                <w:color w:val="auto"/>
              </w:rPr>
            </w:pPr>
          </w:p>
        </w:tc>
        <w:tc>
          <w:tcPr>
            <w:tcW w:w="6960" w:type="dxa"/>
            <w:vAlign w:val="bottom"/>
            <w:gridSpan w:val="2"/>
            <w:shd w:val="clear" w:color="auto" w:fill="CFF0FC"/>
          </w:tcPr>
          <w:p>
            <w:pPr>
              <w:spacing w:after="0" w:line="166" w:lineRule="exact"/>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line="166" w:lineRule="exact"/>
              <w:rPr>
                <w:sz w:val="20"/>
                <w:szCs w:val="20"/>
                <w:color w:val="auto"/>
              </w:rPr>
            </w:pPr>
            <w:r>
              <w:rPr>
                <w:rFonts w:ascii="Times New Roman" w:cs="Times New Roman" w:eastAsia="Times New Roman" w:hAnsi="Times New Roman"/>
                <w:sz w:val="18"/>
                <w:szCs w:val="18"/>
                <w:color w:val="auto"/>
              </w:rPr>
              <w:t>36,229</w:t>
            </w:r>
          </w:p>
        </w:tc>
        <w:tc>
          <w:tcPr>
            <w:tcW w:w="3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80" w:type="dxa"/>
            <w:vAlign w:val="bottom"/>
            <w:tcBorders>
              <w:right w:val="single" w:sz="8" w:color="CFF0FC"/>
            </w:tcBorders>
            <w:shd w:val="clear" w:color="auto" w:fill="CFF0FC"/>
          </w:tcPr>
          <w:p>
            <w:pPr>
              <w:jc w:val="right"/>
              <w:spacing w:after="0" w:line="166" w:lineRule="exact"/>
              <w:rPr>
                <w:sz w:val="20"/>
                <w:szCs w:val="20"/>
                <w:color w:val="auto"/>
              </w:rPr>
            </w:pPr>
            <w:r>
              <w:rPr>
                <w:rFonts w:ascii="Times New Roman" w:cs="Times New Roman" w:eastAsia="Times New Roman" w:hAnsi="Times New Roman"/>
                <w:sz w:val="18"/>
                <w:szCs w:val="18"/>
                <w:color w:val="auto"/>
              </w:rPr>
              <w:t>29,900</w:t>
            </w:r>
          </w:p>
        </w:tc>
        <w:tc>
          <w:tcPr>
            <w:tcW w:w="0" w:type="dxa"/>
            <w:vAlign w:val="bottom"/>
          </w:tcPr>
          <w:p>
            <w:pPr>
              <w:spacing w:after="0"/>
              <w:rPr>
                <w:sz w:val="1"/>
                <w:szCs w:val="1"/>
                <w:color w:val="auto"/>
              </w:rPr>
            </w:pPr>
          </w:p>
        </w:tc>
      </w:tr>
      <w:tr>
        <w:trPr>
          <w:trHeight w:val="20"/>
        </w:trPr>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CFF0FC"/>
          </w:tcPr>
          <w:p>
            <w:pPr>
              <w:spacing w:after="0" w:line="20" w:lineRule="exact"/>
              <w:rPr>
                <w:sz w:val="1"/>
                <w:szCs w:val="1"/>
                <w:color w:val="auto"/>
              </w:rPr>
            </w:pPr>
          </w:p>
        </w:tc>
        <w:tc>
          <w:tcPr>
            <w:tcW w:w="65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1540" w:type="dxa"/>
            <w:vAlign w:val="bottom"/>
            <w:tcBorders>
              <w:top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000000"/>
          </w:tcPr>
          <w:p>
            <w:pPr>
              <w:spacing w:after="0" w:line="20" w:lineRule="exact"/>
              <w:rPr>
                <w:sz w:val="1"/>
                <w:szCs w:val="1"/>
                <w:color w:val="auto"/>
              </w:rPr>
            </w:pPr>
          </w:p>
        </w:tc>
        <w:tc>
          <w:tcPr>
            <w:tcW w:w="1280" w:type="dxa"/>
            <w:vAlign w:val="bottom"/>
            <w:tcBorders>
              <w:top w:val="single" w:sz="8" w:color="CFF0FC"/>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r>
        <w:trPr>
          <w:trHeight w:val="213"/>
        </w:trPr>
        <w:tc>
          <w:tcPr>
            <w:tcW w:w="70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(869 )</w:t>
            </w:r>
          </w:p>
        </w:tc>
        <w:tc>
          <w:tcPr>
            <w:tcW w:w="56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6"/>
        </w:trPr>
        <w:tc>
          <w:tcPr>
            <w:tcW w:w="7060" w:type="dxa"/>
            <w:vAlign w:val="bottom"/>
            <w:tcBorders>
              <w:top w:val="single" w:sz="8" w:color="CFF0F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4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3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Taxes on income</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6"/>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320" w:type="dxa"/>
            <w:vAlign w:val="bottom"/>
          </w:tcPr>
          <w:p>
            <w:pPr>
              <w:spacing w:after="0"/>
              <w:rPr>
                <w:sz w:val="17"/>
                <w:szCs w:val="17"/>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100"/>
              <w:spacing w:after="0" w:line="233" w:lineRule="exact"/>
              <w:rPr>
                <w:sz w:val="20"/>
                <w:szCs w:val="20"/>
                <w:color w:val="auto"/>
              </w:rPr>
            </w:pPr>
            <w:r>
              <w:rPr>
                <w:rFonts w:ascii="Times New Roman" w:cs="Times New Roman" w:eastAsia="Times New Roman" w:hAnsi="Times New Roman"/>
                <w:sz w:val="18"/>
                <w:szCs w:val="18"/>
                <w:color w:val="auto"/>
              </w:rPr>
              <w:t xml:space="preserve">Net loss per share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6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80" w:type="dxa"/>
            <w:vAlign w:val="bottom"/>
          </w:tcPr>
          <w:p>
            <w:pPr>
              <w:jc w:val="right"/>
              <w:ind w:right="291"/>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tcPr>
          <w:p>
            <w:pPr>
              <w:spacing w:after="0"/>
              <w:rPr>
                <w:sz w:val="14"/>
                <w:szCs w:val="14"/>
                <w:color w:val="auto"/>
              </w:rPr>
            </w:pPr>
          </w:p>
        </w:tc>
        <w:tc>
          <w:tcPr>
            <w:tcW w:w="560" w:type="dxa"/>
            <w:vAlign w:val="bottom"/>
          </w:tcPr>
          <w:p>
            <w:pPr>
              <w:jc w:val="right"/>
              <w:ind w:right="371"/>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64"/>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gridSpan w:val="3"/>
          </w:tcPr>
          <w:p>
            <w:pPr>
              <w:ind w:left="100"/>
              <w:spacing w:after="0" w:line="168" w:lineRule="exact"/>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 net loss per</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4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154,083,443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-2214245</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-2214245</wp:posOffset>
            </wp:positionV>
            <wp:extent cx="42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-1386205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-1386205</wp:posOffset>
            </wp:positionV>
            <wp:extent cx="42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-1107440</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-1107440</wp:posOffset>
            </wp:positionV>
            <wp:extent cx="42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-828040</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-828040</wp:posOffset>
            </wp:positionV>
            <wp:extent cx="42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-659130</wp:posOffset>
            </wp:positionV>
            <wp:extent cx="713422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713422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3" w:lineRule="exact"/>
        <w:rPr>
          <w:sz w:val="20"/>
          <w:szCs w:val="20"/>
          <w:color w:val="auto"/>
        </w:rPr>
      </w:pPr>
    </w:p>
    <w:p>
      <w:pPr>
        <w:ind w:right="20" w:firstLine="6"/>
        <w:spacing w:after="0" w:line="273" w:lineRule="auto"/>
        <w:tabs>
          <w:tab w:leader="none" w:pos="20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results have been adjusted to reflect the exchange of Old Talkspace’s common stock for Talkspace’s common stock at an exchange ratio of approximately 1.134140 in June 2021 as a result of the Business Combination.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TALKSPACE, INC.</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 (DEFICIT)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w:t>
      </w:r>
    </w:p>
    <w:tbl>
      <w:tblPr>
        <w:tblLayout w:type="fixed"/>
        <w:tblInd w:w="0" w:type="dxa"/>
        <w:tblCellMar>
          <w:top w:w="0" w:type="dxa"/>
          <w:left w:w="0" w:type="dxa"/>
          <w:bottom w:w="0" w:type="dxa"/>
          <w:right w:w="0" w:type="dxa"/>
        </w:tblCellMar>
      </w:tblPr>
      <w:tr>
        <w:trPr>
          <w:trHeight w:val="182"/>
        </w:trPr>
        <w:tc>
          <w:tcPr>
            <w:tcW w:w="342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i w:val="1"/>
                <w:iCs w:val="1"/>
                <w:color w:val="auto"/>
              </w:rPr>
              <w:t>share data)</w:t>
            </w:r>
          </w:p>
        </w:tc>
        <w:tc>
          <w:tcPr>
            <w:tcW w:w="224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Convertible Preferred Stock</w:t>
            </w: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42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Three Months Ended March 31, 2022</w:t>
            </w: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right="120"/>
              <w:spacing w:after="0" w:line="113" w:lineRule="exact"/>
              <w:rPr>
                <w:sz w:val="20"/>
                <w:szCs w:val="20"/>
                <w:color w:val="auto"/>
              </w:rPr>
            </w:pPr>
            <w:r>
              <w:rPr>
                <w:rFonts w:ascii="Times New Roman" w:cs="Times New Roman" w:eastAsia="Times New Roman" w:hAnsi="Times New Roman"/>
                <w:sz w:val="12"/>
                <w:szCs w:val="12"/>
                <w:b w:val="1"/>
                <w:bCs w:val="1"/>
                <w:color w:val="auto"/>
                <w:w w:val="97"/>
              </w:rPr>
              <w:t>Additional paid-</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980" w:type="dxa"/>
            <w:vAlign w:val="bottom"/>
            <w:tcBorders>
              <w:top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2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3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90" w:lineRule="exact"/>
              <w:rPr>
                <w:sz w:val="20"/>
                <w:szCs w:val="20"/>
                <w:color w:val="auto"/>
              </w:rPr>
            </w:pPr>
            <w:r>
              <w:rPr>
                <w:rFonts w:ascii="Times New Roman" w:cs="Times New Roman" w:eastAsia="Times New Roman" w:hAnsi="Times New Roman"/>
                <w:sz w:val="10"/>
                <w:szCs w:val="10"/>
                <w:b w:val="1"/>
                <w:bCs w:val="1"/>
                <w:color w:val="auto"/>
              </w:rPr>
              <w:t>in</w:t>
            </w:r>
          </w:p>
        </w:tc>
        <w:tc>
          <w:tcPr>
            <w:tcW w:w="120" w:type="dxa"/>
            <w:vAlign w:val="bottom"/>
          </w:tcPr>
          <w:p>
            <w:pPr>
              <w:spacing w:after="0"/>
              <w:rPr>
                <w:sz w:val="7"/>
                <w:szCs w:val="7"/>
                <w:color w:val="auto"/>
              </w:rPr>
            </w:pPr>
          </w:p>
        </w:tc>
        <w:tc>
          <w:tcPr>
            <w:tcW w:w="116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right w:val="single" w:sz="8" w:color="auto"/>
            </w:tcBorders>
            <w:gridSpan w:val="2"/>
            <w:vMerge w:val="continue"/>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20" w:type="dxa"/>
            <w:vAlign w:val="bottom"/>
          </w:tcPr>
          <w:p>
            <w:pPr>
              <w:spacing w:after="0"/>
              <w:rPr>
                <w:sz w:val="13"/>
                <w:szCs w:val="13"/>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0"/>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(20,360 )</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155,104,655</w:t>
            </w:r>
          </w:p>
        </w:tc>
        <w:tc>
          <w:tcPr>
            <w:tcW w:w="12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368,152</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(191,890 )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March 31, 2021</w:t>
            </w:r>
          </w:p>
        </w:tc>
        <w:tc>
          <w:tcPr>
            <w:tcW w:w="224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 xml:space="preserve">Convertible Preferred Stock </w:t>
            </w:r>
            <w:r>
              <w:rPr>
                <w:rFonts w:ascii="Times New Roman" w:cs="Times New Roman" w:eastAsia="Times New Roman" w:hAnsi="Times New Roman"/>
                <w:sz w:val="15"/>
                <w:szCs w:val="15"/>
                <w:b w:val="1"/>
                <w:bCs w:val="1"/>
                <w:color w:val="auto"/>
                <w:w w:val="93"/>
                <w:vertAlign w:val="superscript"/>
              </w:rPr>
              <w:t>(1)</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Common Stock </w:t>
            </w:r>
            <w:r>
              <w:rPr>
                <w:rFonts w:ascii="Times New Roman" w:cs="Times New Roman" w:eastAsia="Times New Roman" w:hAnsi="Times New Roman"/>
                <w:sz w:val="15"/>
                <w:szCs w:val="15"/>
                <w:b w:val="1"/>
                <w:bCs w:val="1"/>
                <w:color w:val="auto"/>
                <w:vertAlign w:val="superscript"/>
              </w:rPr>
              <w:t>(1)</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Additional paid-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2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80" w:type="dxa"/>
            <w:vAlign w:val="bottom"/>
            <w:tcBorders>
              <w:top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2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3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rPr>
              <w:t>in</w:t>
            </w:r>
          </w:p>
        </w:tc>
        <w:tc>
          <w:tcPr>
            <w:tcW w:w="120" w:type="dxa"/>
            <w:vAlign w:val="bottom"/>
          </w:tcPr>
          <w:p>
            <w:pPr>
              <w:spacing w:after="0"/>
              <w:rPr>
                <w:sz w:val="7"/>
                <w:szCs w:val="7"/>
                <w:color w:val="auto"/>
              </w:rPr>
            </w:pPr>
          </w:p>
        </w:tc>
        <w:tc>
          <w:tcPr>
            <w:tcW w:w="1160" w:type="dxa"/>
            <w:vAlign w:val="bottom"/>
            <w:gridSpan w:val="3"/>
          </w:tcPr>
          <w:p>
            <w:pPr>
              <w:jc w:val="center"/>
              <w:ind w:right="34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right w:val="single" w:sz="8" w:color="auto"/>
            </w:tcBorders>
            <w:gridSpan w:val="2"/>
            <w:vMerge w:val="continue"/>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2"/>
                <w:szCs w:val="12"/>
                <w:b w:val="1"/>
                <w:bCs w:val="1"/>
                <w:color w:val="auto"/>
                <w:w w:val="93"/>
              </w:rPr>
              <w:t xml:space="preserve">capital </w:t>
            </w:r>
            <w:r>
              <w:rPr>
                <w:rFonts w:ascii="Times New Roman" w:cs="Times New Roman" w:eastAsia="Times New Roman" w:hAnsi="Times New Roman"/>
                <w:sz w:val="15"/>
                <w:szCs w:val="15"/>
                <w:b w:val="1"/>
                <w:bCs w:val="1"/>
                <w:color w:val="auto"/>
                <w:w w:val="93"/>
                <w:vertAlign w:val="superscript"/>
              </w:rPr>
              <w:t>(1)</w:t>
            </w:r>
          </w:p>
        </w:tc>
        <w:tc>
          <w:tcPr>
            <w:tcW w:w="120" w:type="dxa"/>
            <w:vAlign w:val="bottom"/>
          </w:tcPr>
          <w:p>
            <w:pPr>
              <w:spacing w:after="0"/>
              <w:rPr>
                <w:sz w:val="13"/>
                <w:szCs w:val="13"/>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20" w:type="dxa"/>
            <w:vAlign w:val="bottom"/>
            <w:tcBorders>
              <w:right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13,413,431</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0"/>
        </w:trPr>
        <w:tc>
          <w:tcPr>
            <w:tcW w:w="3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684,923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(12,738 )</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(12,738 )</w:t>
            </w:r>
          </w:p>
        </w:tc>
        <w:tc>
          <w:tcPr>
            <w:tcW w:w="0" w:type="dxa"/>
            <w:vAlign w:val="bottom"/>
          </w:tcPr>
          <w:p>
            <w:pPr>
              <w:spacing w:after="0"/>
              <w:rPr>
                <w:sz w:val="1"/>
                <w:szCs w:val="1"/>
                <w:color w:val="auto"/>
              </w:rPr>
            </w:pPr>
          </w:p>
        </w:tc>
      </w:tr>
      <w:tr>
        <w:trPr>
          <w:trHeight w:val="233"/>
        </w:trPr>
        <w:tc>
          <w:tcPr>
            <w:tcW w:w="34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14,098,354</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(121,526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(109,201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-1461770</wp:posOffset>
            </wp:positionV>
            <wp:extent cx="42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-1461770</wp:posOffset>
            </wp:positionV>
            <wp:extent cx="42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-1461770</wp:posOffset>
            </wp:positionV>
            <wp:extent cx="33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-1461770</wp:posOffset>
            </wp:positionV>
            <wp:extent cx="33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-1461770</wp:posOffset>
            </wp:positionV>
            <wp:extent cx="42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-1461770</wp:posOffset>
            </wp:positionV>
            <wp:extent cx="42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-1461770</wp:posOffset>
            </wp:positionV>
            <wp:extent cx="42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-24765</wp:posOffset>
            </wp:positionV>
            <wp:extent cx="42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-7620</wp:posOffset>
            </wp:positionV>
            <wp:extent cx="42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-24765</wp:posOffset>
            </wp:positionV>
            <wp:extent cx="425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-7620</wp:posOffset>
            </wp:positionV>
            <wp:extent cx="42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-24765</wp:posOffset>
            </wp:positionV>
            <wp:extent cx="336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33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-24765</wp:posOffset>
            </wp:positionV>
            <wp:extent cx="33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-7620</wp:posOffset>
            </wp:positionV>
            <wp:extent cx="33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-24765</wp:posOffset>
            </wp:positionV>
            <wp:extent cx="42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-7620</wp:posOffset>
            </wp:positionV>
            <wp:extent cx="42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-24765</wp:posOffset>
            </wp:positionV>
            <wp:extent cx="42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-7620</wp:posOffset>
            </wp:positionV>
            <wp:extent cx="42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-24765</wp:posOffset>
            </wp:positionV>
            <wp:extent cx="425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-7620</wp:posOffset>
            </wp:positionV>
            <wp:extent cx="425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an amount lower than $1</w:t>
      </w:r>
    </w:p>
    <w:p>
      <w:pPr>
        <w:spacing w:after="0" w:line="15" w:lineRule="exact"/>
        <w:rPr>
          <w:sz w:val="20"/>
          <w:szCs w:val="20"/>
          <w:color w:val="auto"/>
        </w:rPr>
      </w:pPr>
    </w:p>
    <w:p>
      <w:pPr>
        <w:ind w:right="20" w:firstLine="6"/>
        <w:spacing w:after="0" w:line="249" w:lineRule="auto"/>
        <w:tabs>
          <w:tab w:leader="none" w:pos="20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results have been adjusted to reflect the exchange of Old Talkspace’s common stock for Talkspace’s common stock at an exchange ratio of approximately 1.134140 in June 2021 as a result of the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ind w:left="486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5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540" w:type="dxa"/>
            <w:vAlign w:val="bottom"/>
            <w:gridSpan w:val="6"/>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540" w:type="dxa"/>
            <w:vAlign w:val="bottom"/>
            <w:gridSpan w:val="6"/>
            <w:shd w:val="clear" w:color="auto" w:fill="CFF0FC"/>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FF0FC"/>
          </w:tcPr>
          <w:p>
            <w:pPr>
              <w:spacing w:after="0"/>
              <w:rPr>
                <w:sz w:val="3"/>
                <w:szCs w:val="3"/>
                <w:color w:val="auto"/>
              </w:rPr>
            </w:pPr>
          </w:p>
        </w:tc>
        <w:tc>
          <w:tcPr>
            <w:tcW w:w="20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47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2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7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(20,360 )</w:t>
            </w: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0" w:type="dxa"/>
            <w:vAlign w:val="bottom"/>
          </w:tcPr>
          <w:p>
            <w:pPr>
              <w:spacing w:after="0"/>
              <w:rPr>
                <w:sz w:val="1"/>
                <w:szCs w:val="1"/>
                <w:color w:val="auto"/>
              </w:rPr>
            </w:pPr>
          </w:p>
        </w:tc>
      </w:tr>
      <w:tr>
        <w:trPr>
          <w:trHeight w:val="213"/>
        </w:trPr>
        <w:tc>
          <w:tcPr>
            <w:tcW w:w="75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Warrant change in fair value</w:t>
            </w:r>
          </w:p>
        </w:tc>
        <w:tc>
          <w:tcPr>
            <w:tcW w:w="400" w:type="dxa"/>
            <w:vAlign w:val="bottom"/>
          </w:tcPr>
          <w:p>
            <w:pPr>
              <w:spacing w:after="0"/>
              <w:rPr>
                <w:sz w:val="18"/>
                <w:szCs w:val="18"/>
                <w:color w:val="auto"/>
              </w:rPr>
            </w:pP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(875 )</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accounts receivable, net</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(800 )</w:t>
            </w:r>
          </w:p>
        </w:tc>
        <w:tc>
          <w:tcPr>
            <w:tcW w:w="5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400" w:type="dxa"/>
            <w:vAlign w:val="bottom"/>
          </w:tcPr>
          <w:p>
            <w:pPr>
              <w:spacing w:after="0"/>
              <w:rPr>
                <w:sz w:val="18"/>
                <w:szCs w:val="18"/>
                <w:color w:val="auto"/>
              </w:rPr>
            </w:pP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(1,160 )</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(1,837 )</w:t>
            </w:r>
          </w:p>
        </w:tc>
        <w:tc>
          <w:tcPr>
            <w:tcW w:w="5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754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280" w:type="dxa"/>
            <w:vAlign w:val="bottom"/>
            <w:tcBorders>
              <w:bottom w:val="single" w:sz="8" w:color="CFF0FC"/>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66"/>
        </w:trPr>
        <w:tc>
          <w:tcPr>
            <w:tcW w:w="7540" w:type="dxa"/>
            <w:vAlign w:val="bottom"/>
            <w:gridSpan w:val="6"/>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(88 )</w:t>
            </w:r>
          </w:p>
        </w:tc>
        <w:tc>
          <w:tcPr>
            <w:tcW w:w="5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47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7"/>
                <w:szCs w:val="17"/>
                <w:color w:val="auto"/>
              </w:rPr>
            </w:pP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(88 )</w:t>
            </w:r>
          </w:p>
        </w:tc>
        <w:tc>
          <w:tcPr>
            <w:tcW w:w="5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186"/>
        </w:trPr>
        <w:tc>
          <w:tcPr>
            <w:tcW w:w="7540" w:type="dxa"/>
            <w:vAlign w:val="bottom"/>
            <w:gridSpan w:val="6"/>
            <w:shd w:val="clear" w:color="auto" w:fill="CFF0FC"/>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278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Payment of deferred issuance costs</w:t>
            </w:r>
          </w:p>
        </w:tc>
        <w:tc>
          <w:tcPr>
            <w:tcW w:w="47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520" w:type="dxa"/>
            <w:vAlign w:val="bottom"/>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400" w:type="dxa"/>
            <w:vAlign w:val="bottom"/>
          </w:tcPr>
          <w:p>
            <w:pPr>
              <w:spacing w:after="0"/>
              <w:rPr>
                <w:sz w:val="18"/>
                <w:szCs w:val="18"/>
                <w:color w:val="auto"/>
              </w:rPr>
            </w:pP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(558 )</w:t>
            </w:r>
          </w:p>
        </w:tc>
        <w:tc>
          <w:tcPr>
            <w:tcW w:w="580" w:type="dxa"/>
            <w:vAlign w:val="bottom"/>
          </w:tcPr>
          <w:p>
            <w:pPr>
              <w:spacing w:after="0"/>
              <w:rPr>
                <w:sz w:val="18"/>
                <w:szCs w:val="18"/>
                <w:color w:val="auto"/>
              </w:rPr>
            </w:pPr>
          </w:p>
        </w:tc>
        <w:tc>
          <w:tcPr>
            <w:tcW w:w="11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754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Pr>
          <w:p>
            <w:pPr>
              <w:spacing w:after="0"/>
              <w:rPr>
                <w:sz w:val="17"/>
                <w:szCs w:val="17"/>
                <w:color w:val="auto"/>
              </w:rPr>
            </w:pPr>
          </w:p>
        </w:tc>
        <w:tc>
          <w:tcPr>
            <w:tcW w:w="15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(13,729 )</w:t>
            </w:r>
          </w:p>
        </w:tc>
        <w:tc>
          <w:tcPr>
            <w:tcW w:w="5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(3,476 )</w:t>
            </w:r>
          </w:p>
        </w:tc>
        <w:tc>
          <w:tcPr>
            <w:tcW w:w="0" w:type="dxa"/>
            <w:vAlign w:val="bottom"/>
          </w:tcPr>
          <w:p>
            <w:pPr>
              <w:spacing w:after="0"/>
              <w:rPr>
                <w:sz w:val="1"/>
                <w:szCs w:val="1"/>
                <w:color w:val="auto"/>
              </w:rPr>
            </w:pPr>
          </w:p>
        </w:tc>
      </w:tr>
      <w:tr>
        <w:trPr>
          <w:trHeight w:val="175"/>
        </w:trPr>
        <w:tc>
          <w:tcPr>
            <w:tcW w:w="754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40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198,256</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13,248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5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at the end of the period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540" w:type="dxa"/>
            <w:vAlign w:val="bottom"/>
            <w:gridSpan w:val="6"/>
            <w:vMerge w:val="continue"/>
          </w:tcPr>
          <w:p>
            <w:pPr>
              <w:spacing w:after="0"/>
              <w:rPr>
                <w:sz w:val="17"/>
                <w:szCs w:val="17"/>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184,527</w:t>
            </w:r>
          </w:p>
        </w:tc>
        <w:tc>
          <w:tcPr>
            <w:tcW w:w="280" w:type="dxa"/>
            <w:vAlign w:val="bottom"/>
          </w:tcPr>
          <w:p>
            <w:pPr>
              <w:spacing w:after="0"/>
              <w:rPr>
                <w:sz w:val="17"/>
                <w:szCs w:val="17"/>
                <w:color w:val="auto"/>
              </w:rPr>
            </w:pP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540" w:type="dxa"/>
            <w:vAlign w:val="bottom"/>
            <w:gridSpan w:val="6"/>
            <w:shd w:val="clear" w:color="auto" w:fill="CFF0FC"/>
          </w:tcPr>
          <w:p>
            <w:pPr>
              <w:ind w:left="20"/>
              <w:spacing w:after="0" w:line="153" w:lineRule="exact"/>
              <w:rPr>
                <w:sz w:val="20"/>
                <w:szCs w:val="20"/>
                <w:color w:val="auto"/>
              </w:rPr>
            </w:pPr>
            <w:r>
              <w:rPr>
                <w:rFonts w:ascii="Times New Roman" w:cs="Times New Roman" w:eastAsia="Times New Roman" w:hAnsi="Times New Roman"/>
                <w:sz w:val="17"/>
                <w:szCs w:val="17"/>
                <w:color w:val="auto"/>
              </w:rPr>
              <w:t>Supplemental cash flow data:</w:t>
            </w:r>
          </w:p>
        </w:tc>
        <w:tc>
          <w:tcPr>
            <w:tcW w:w="4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FF0FC"/>
          </w:tcPr>
          <w:p>
            <w:pPr>
              <w:spacing w:after="0"/>
              <w:rPr>
                <w:sz w:val="3"/>
                <w:szCs w:val="3"/>
                <w:color w:val="auto"/>
              </w:rPr>
            </w:pPr>
          </w:p>
        </w:tc>
        <w:tc>
          <w:tcPr>
            <w:tcW w:w="20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40" w:type="dxa"/>
            <w:vAlign w:val="bottom"/>
            <w:tcBorders>
              <w:right w:val="single" w:sz="8" w:color="CFF0FC"/>
            </w:tcBorders>
            <w:shd w:val="clear" w:color="auto" w:fill="CFF0FC"/>
          </w:tcPr>
          <w:p>
            <w:pPr>
              <w:spacing w:after="0"/>
              <w:rPr>
                <w:sz w:val="3"/>
                <w:szCs w:val="3"/>
                <w:color w:val="auto"/>
              </w:rPr>
            </w:pPr>
          </w:p>
        </w:tc>
        <w:tc>
          <w:tcPr>
            <w:tcW w:w="47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2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7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4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7540" w:type="dxa"/>
            <w:vAlign w:val="bottom"/>
            <w:gridSpan w:val="6"/>
          </w:tcPr>
          <w:p>
            <w:pPr>
              <w:ind w:left="20"/>
              <w:spacing w:after="0" w:line="173" w:lineRule="exact"/>
              <w:rPr>
                <w:sz w:val="20"/>
                <w:szCs w:val="20"/>
                <w:color w:val="auto"/>
              </w:rPr>
            </w:pPr>
            <w:r>
              <w:rPr>
                <w:rFonts w:ascii="Times New Roman" w:cs="Times New Roman" w:eastAsia="Times New Roman" w:hAnsi="Times New Roman"/>
                <w:sz w:val="18"/>
                <w:szCs w:val="18"/>
                <w:color w:val="auto"/>
              </w:rPr>
              <w:t>Non-cash financing activity:</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issuance costs</w:t>
            </w:r>
          </w:p>
        </w:tc>
        <w:tc>
          <w:tcPr>
            <w:tcW w:w="4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Issuance of warrant and other costs related to the Credit Agreement</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-2386965</wp:posOffset>
            </wp:positionV>
            <wp:extent cx="590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-2386965</wp:posOffset>
            </wp:positionV>
            <wp:extent cx="590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-2107565</wp:posOffset>
            </wp:positionV>
            <wp:extent cx="590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-2107565</wp:posOffset>
            </wp:positionV>
            <wp:extent cx="590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-1271270</wp:posOffset>
            </wp:positionV>
            <wp:extent cx="590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-1271270</wp:posOffset>
            </wp:positionV>
            <wp:extent cx="590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-1127125</wp:posOffset>
            </wp:positionV>
            <wp:extent cx="7134225"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right="560" w:firstLine="6"/>
        <w:spacing w:after="0" w:line="273" w:lineRule="auto"/>
        <w:tabs>
          <w:tab w:leader="none" w:pos="20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amount includes restricted cash of $0.4 million maintained in a short-term certificate of deposit account and included within other current assets in the condensed consolidated balance sheet.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486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Talkspace was originally incorporated as Hudson Executive Investment Corp. (“HEC”). In connection with the Business Combination completed in June 2021, HEC filed the Certificate of Incorporation and changed its name to “Talkspace,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operates its business as a single segment and as one reporting unit, which is how our chief operating decision maker (who is our interim chief executive officer) reviews financial performance and allocates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significant accounting policies applied in the annual consolidated financial statements of the Company as of December 31, 2021, have been applied consistently in these unaudited condensed consolidated financial statements, unless otherwise stated. These interim condensed consolidated financial statements should be read in conjunction with the audited consolidated financial statements as of and for the year ended December 31, 2021 included in the Company’s Annual Report on Form 10-K for the year ended December 31,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condensed consolidated financial statements, and the reported amounts of revenue and expenses during the reporting periods. Actual results could differ from those estimates.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Pronouncements</w:t>
      </w:r>
    </w:p>
    <w:p>
      <w:pPr>
        <w:spacing w:after="0" w:line="1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ASU 2021-10, Government Assistance (Topic 832): Disclosures by Business Entities about Government Assistance, which requires entities to disclose information about certain types of government assistance they receive in the notes to the financial statements. Entities are required to provide the new disclosures prospectively for all transactions with a government entity that are accounted for under either a grant or a contribution accounting model and are reflected in the financial statements at the date of initially applying the new amendments, and to new transactions entered into after that date. Retrospective application of the guidance is permitted. The amendments in this ASU are effective for all entities within their scope for financial statements issued for annual periods beginning after December 15, 2021. The Company adopted this guidance on January 1, 2022 and the adoption did not have a significant impact on its condensed consolidated financial statements or related disclosures.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May 2021, the FASB issued ASU 2021-04—Earnings Per Share (Topic 260), Debt—Modifications and Extinguishments (Subtopic 470-50), Compensation —Stock Compensation (Topic 718), and Derivatives and Hedging—Contracts in Entity’s Own Equity (Subtopic 815-40): Issuer’s Accounting for Certain Modifications or Exchanges of Freestanding Equity-Classified Written Call Options, which clarifies and reduces diversity in accounting for modifications or exchanges of freestanding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41275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equity-written call options that remain equity classified after modifications or exchanges based on the substance of the transactions. The amendments in this ASU are effective for all entities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August 2020, the FASB issued ASU 2020-06—Debt—Debt with Conversion and Other Options (Subtopic 470-20) and Derivatives and Hedging— Contracts in Entity’s Own Equity (Subtopic 815-40): Issuer's Accounting for Convertible Instruments and Contracts in an Entity’s Own Equity, which simplifies the accounting for certain financial instruments with characteristics of liabilities and equity, including convertible instruments and contracts on an entity’s own equity. The amendments in this ASU are effective for public entities excluding entities eligible to be smaller reporting companies as defined by the SEC,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operating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 The Company generates revenues from the sale of monthly, quarterly, bi-annual and annual membership subscriptions to its therapy platform as well as supplementary a la carte offerings, payments from members and their respective insurance companies and annually contracted platform access fees from enterprise clients for the delivery of therapy services to their members or employees.</w:t>
      </w:r>
    </w:p>
    <w:p>
      <w:pPr>
        <w:spacing w:after="0" w:line="18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Company provides these services directly to individuals through a subscription plan. The Company also contracts with health plans and other enterprises to provide its services to individuals who are qualified to receive access to the Company’s services through the Company’s commercial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6"/>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sales to unaffiliated customers:</w:t>
            </w:r>
          </w:p>
        </w:tc>
        <w:tc>
          <w:tcPr>
            <w:tcW w:w="5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Consumers</w:t>
            </w: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60" w:type="dxa"/>
            <w:vAlign w:val="bottom"/>
          </w:tcPr>
          <w:p>
            <w:pPr>
              <w:spacing w:after="0"/>
              <w:rPr>
                <w:sz w:val="18"/>
                <w:szCs w:val="18"/>
                <w:color w:val="auto"/>
              </w:rPr>
            </w:pPr>
          </w:p>
        </w:tc>
      </w:tr>
      <w:tr>
        <w:trPr>
          <w:trHeight w:val="213"/>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6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-168275</wp:posOffset>
            </wp:positionV>
            <wp:extent cx="425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-168275</wp:posOffset>
            </wp:positionV>
            <wp:extent cx="425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Revenue Reserves</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 reserves are deducted from accounts receivable to present the net amount expected to be collected. As of March 31, 2022, revenue reserves mainly relate to allowances for accounts receivable balances from health insurance and EAP organizations. During the three months ended March 31, 2022, the Company recorded an increase in revenue reserves of $1.0 million. During the three months ended March 31, 2022, the Company also wrote-off $1.2 million of aged receivables that were previously fully reserved. As of March 31, 2022, the balance of receivables related to health insurance and EAP organizations was $6.0 million and the revenue reserves against these receivables was $4.7 million, of this amount $3.4 million relates to aged balances for periods prior to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the Company’s performance obligation to provide services. As of March 31, 2021, deferred revenue related mainly to the Company’s consumer subscription business. Deferred revenue as of March 31, 2022 was $6.0 million ($7.2 million as of December 31, 2021). The Company recognizes deferred revenues as revenues in the statement of operations once performance obligations have been performed and satisfied. The Company expects to satisfy the majority of its performance obligations associated with deferred revenue within one year or less.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0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elected to use the practical expedient to recognize the incremental costs of obtaining contracts as an expense when incurred if the amortization period of the assets that the Company otherwise would have recognized is one year or less.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other current assets,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Private Placement Warrants acquired in connection with the consummation of the Business Combination and the closing of the Forward Purchase Agreement with the HEC Fund are accounted for as liabilities in accordance with ASC 815-40 and are presented within warrant liabilities in the accompanying condensed consolidated balance sheets. The warrant liabilities are measured at fair value at inception and on a recurring basis, with changes in fair value presented within financial (income) expense, net in the condensed consolidated statement of operations.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The expected volatility of the Company’s common stock was estimated to be approximately 68.8% and 67.8% as of March 31, 2022 and December 31, 2021, respectively. For the three months ended March 31, 2022, the Company had gains related to the revaluation of the Private Placement Warrants of $0.9 million.</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March 31, 2022 and December 31, 2021 and indicates the fair value hierarchy of the valuation inputs the Company utilized to determine such fair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260" w:type="dxa"/>
            <w:vAlign w:val="bottom"/>
          </w:tcPr>
          <w:p>
            <w:pPr>
              <w:spacing w:after="0"/>
              <w:rPr>
                <w:sz w:val="16"/>
                <w:szCs w:val="16"/>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color w:val="auto"/>
                <w:w w:val="97"/>
              </w:rPr>
              <w:t>(unaudited)</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2"/>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00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4,070</w:t>
            </w:r>
          </w:p>
        </w:tc>
        <w:tc>
          <w:tcPr>
            <w:tcW w:w="60" w:type="dxa"/>
            <w:vAlign w:val="bottom"/>
          </w:tcPr>
          <w:p>
            <w:pPr>
              <w:spacing w:after="0"/>
              <w:rPr>
                <w:sz w:val="20"/>
                <w:szCs w:val="20"/>
                <w:color w:val="auto"/>
              </w:rPr>
            </w:pPr>
          </w:p>
        </w:tc>
      </w:tr>
      <w:tr>
        <w:trPr>
          <w:trHeight w:val="408"/>
        </w:trPr>
        <w:tc>
          <w:tcPr>
            <w:tcW w:w="9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 during the three months ended March 31, 2022:</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Private Placement</w:t>
            </w:r>
          </w:p>
        </w:tc>
      </w:tr>
      <w:tr>
        <w:trPr>
          <w:trHeight w:val="20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(875 )</w:t>
            </w:r>
          </w:p>
        </w:tc>
      </w:tr>
      <w:tr>
        <w:trPr>
          <w:trHeight w:val="24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 (unaudited)</w:t>
            </w:r>
          </w:p>
        </w:tc>
        <w:tc>
          <w:tcPr>
            <w:tcW w:w="1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7078980</wp:posOffset>
            </wp:positionH>
            <wp:positionV relativeFrom="paragraph">
              <wp:posOffset>-24765</wp:posOffset>
            </wp:positionV>
            <wp:extent cx="590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590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Company also acquired Public Warrants from HEC and also issued equity warrants to certain consultants. The Company determined these warrants met the criteria to be classified as equity in accordance with ASC 815-40. The Company valued these warrants using the instrument’s publicly listed trading price on the date of acquisition or issuance, where applicable, and included in additional paid-in capital within stockholder’s deficit. This is considered to be a non-recurring Level 1 measurement due to the use of an observable market quote in an active market.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CONTINGENT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currently have any leases with terms in excess of 12 months. Since terminating our prior office lease in New York City in August 2020, the Company has an immaterial short-term sublease for office space in New York City. The Company currently has no permanent physical office space and the majority of our employees are working remotely.</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Rent expenses under the Company’s short-term operating leases for the three months ended March 31, 2022 was $0.1 million (insignificant for the three months ended March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is and may in the future be involved in various legal proceedings arising from the normal course of business activities. Although the results of litigation and claims cannot be predicted with certainty, currently, the Company believes that the likelihood of any material adverse impact on the Company’s consolidated results of operations, cash flows or our financial position for any such litigation or claims is remote. Regardless of the outcome, litigation can have an adverse impact on the Company because of the costs to defend lawsuits, diversion of management resources and other factors.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January 2022, the Company and certain of its current and former officers and directors were named as defendants in a soon to be consolidated securities class action complaint currently listed in the United States District Court for the Southern District of New York (the “Securities Actions”) under the case headings: (1) Baron v. Talkspace et al., No. 22-cv-00163 (S.D.N.Y.) and (2) Valdez v. Talkspace et al., No. 22-cv-00840 (S.D.N.Y.). The Securities Actions asserted violations of sections 10(b), 14(a) and 20(a) of the Securities Exchange Act of 1934 and SEC Rule 14a-9 promulgated thereunder. The Securities Actions generally relate to public disclosures and statements by the Company in connection with the Business Combination. The complaints seek, among other things, damages on behalf of all members of the proposed class. The Court is currently considering a lead plaintiff(s) for the consolidated case.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not able to predict the outcome of these lawsuits, nor can it predict the amount of time and expense that will be required to resolve the lawsuits. The Company believes that the lawsuits are without merit and intends to vigorously defend against them.</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to the foregoing, 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CAPITAL STOCK</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March 31, 2022, there were 155,104,655 shares of common stock issued and outstanding (152,862,447 as of December 31, 2021). As of March 31, 2022 and December 31, 2021, there were no shares of preferred stock issued or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2021 Plan is administered by the Company’s board of directors, which may delegate its duties and responsibilities to one or more committees of the Company’s directors and/or officers (referred to collectively as the “plan administrator”), subject to the limitations imposed under the 2021 Plan, Section 16 of the Securities Exchange Act of 1934, as amended, stock exchange rules and other applicable laws. The plan administrator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maximum number of shares of Talkspace common stock that may be issued pursuant to the exercise of incentive stock options granted under the 2021 Plan is 100,000,000. The aggregate share limit under the 2021 Plan will be subject to an annual increase on the first day of each calendar year beginning January 1, 2022 and ending on and including January 1, 2031 by a number of shares equal to the lesser of (i) a number equal to 5% of the aggregate number of shares of Talkspace common stock outstanding on the final day of the immediately preceding calendar year and (ii) such smaller number of shares of Talkspace common stock as is determined by the Talkspace board of directors. An aggregate of 11,995,601 shares of Talkspace common stock are available for issuance under the 2021 Plan as of March 31, 2022.</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2021 ESPP is administered by the compensation committee of the Company’s board of directors (referred to collectively as the “plan administrator”). The plan administrator has the authority to take all actions and make all determinations under the 2021 ESPP, to interpret the 2021 ESPP and to adopt, amend and repeal rules for the administration of the 2021 ESPP as it deems advisable. In addition, the number of shares of common stock available for issuance under the ESPP will be annually increased on January 1 of each calendar year beginning in 2022 and ending in 2031, by an amount equal to the lesser of (i) 1% of the aggregate number of shares of Talkspace common stock outstanding on the final day of the immediately preceding calendar year and (ii) such smaller number of shares of Talkspace common stock as determined by the Talkspace board of directors. The maximum number of shares of Talkspace common stock that may be granted under the 2021 ESPP is 50,000,000. An aggregate of 4,573,602 shares of Talkspace common stock are available for issuance under the 2021 ESPP as of March 31, 2022.</w:t>
      </w:r>
    </w:p>
    <w:p>
      <w:pPr>
        <w:spacing w:after="0" w:line="16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Stock options issued under the Plans generally vest over a four-year period and are exercisable a maximum period of ten years. A summary of the Company’s stock option activity under the 2014 Plan and the 2021 Plan for the three months ended March 31,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6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20" w:type="dxa"/>
            <w:vAlign w:val="bottom"/>
          </w:tcPr>
          <w:p>
            <w:pPr>
              <w:jc w:val="center"/>
              <w:ind w:left="299"/>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80" w:type="dxa"/>
            <w:vAlign w:val="bottom"/>
          </w:tcPr>
          <w:p>
            <w:pPr>
              <w:spacing w:after="0"/>
              <w:rPr>
                <w:sz w:val="12"/>
                <w:szCs w:val="12"/>
                <w:color w:val="auto"/>
              </w:rPr>
            </w:pPr>
          </w:p>
        </w:tc>
        <w:tc>
          <w:tcPr>
            <w:tcW w:w="13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2"/>
                <w:szCs w:val="12"/>
                <w:b w:val="1"/>
                <w:bCs w:val="1"/>
                <w:color w:val="auto"/>
              </w:rPr>
              <w:t xml:space="preserve">intrinsic value </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060" w:type="dxa"/>
            <w:vAlign w:val="bottom"/>
          </w:tcPr>
          <w:p>
            <w:pPr>
              <w:spacing w:after="0"/>
              <w:rPr>
                <w:sz w:val="10"/>
                <w:szCs w:val="10"/>
                <w:color w:val="auto"/>
              </w:rPr>
            </w:pPr>
          </w:p>
        </w:tc>
        <w:tc>
          <w:tcPr>
            <w:tcW w:w="1620" w:type="dxa"/>
            <w:vAlign w:val="bottom"/>
            <w:gridSpan w:val="2"/>
            <w:vMerge w:val="restart"/>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20" w:type="dxa"/>
            <w:vAlign w:val="bottom"/>
            <w:vMerge w:val="restart"/>
          </w:tcPr>
          <w:p>
            <w:pPr>
              <w:jc w:val="center"/>
              <w:ind w:left="279"/>
              <w:spacing w:after="0" w:line="160"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term (in years)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ind w:right="302"/>
              <w:spacing w:after="0" w:line="120" w:lineRule="exact"/>
              <w:rPr>
                <w:sz w:val="20"/>
                <w:szCs w:val="20"/>
                <w:color w:val="auto"/>
              </w:rPr>
            </w:pPr>
            <w:r>
              <w:rPr>
                <w:rFonts w:ascii="Times New Roman" w:cs="Times New Roman" w:eastAsia="Times New Roman" w:hAnsi="Times New Roman"/>
                <w:sz w:val="11"/>
                <w:szCs w:val="11"/>
                <w:i w:val="1"/>
                <w:iCs w:val="1"/>
                <w:color w:val="auto"/>
              </w:rPr>
              <w:t>(in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506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the beginning of the period</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19,494,202</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1,552,395</w:t>
            </w:r>
          </w:p>
        </w:tc>
        <w:tc>
          <w:tcPr>
            <w:tcW w:w="24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(2,164,870 )</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(426,122 )</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18,455,605</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13,432,414</w:t>
            </w:r>
          </w:p>
        </w:tc>
        <w:tc>
          <w:tcPr>
            <w:tcW w:w="240" w:type="dxa"/>
            <w:vAlign w:val="bottom"/>
          </w:tcPr>
          <w:p>
            <w:pPr>
              <w:spacing w:after="0"/>
              <w:rPr>
                <w:sz w:val="17"/>
                <w:szCs w:val="17"/>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-168275</wp:posOffset>
            </wp:positionV>
            <wp:extent cx="67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-168275</wp:posOffset>
            </wp:positionV>
            <wp:extent cx="425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-168275</wp:posOffset>
            </wp:positionV>
            <wp:extent cx="425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-168275</wp:posOffset>
            </wp:positionV>
            <wp:extent cx="425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aggregate intrinsic value of options outstanding and options exercisable at end of the period does not include 4,779,271 and 1,366,014 options that are out of the money, respectively.</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during the three months ended March 31, 2022 and 2021 was $1.06 and $7.00, respectively.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March 31, 2022, there was $16.2 million of total unrecognized compensation cost related to non-vested options that are expected to be recognized over a period of up to 4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0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began issuing restricted stock units (“RSUs”) to certain employees and directors of the Company in the fourth quarter of 2021 under the 2021 plan. These RSUs typically vest over a four-year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RSUs for the three months ended March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4640" w:type="dxa"/>
            <w:vAlign w:val="bottom"/>
            <w:tcBorders>
              <w:bottom w:val="single" w:sz="8" w:color="auto"/>
            </w:tcBorders>
            <w:gridSpan w:val="4"/>
          </w:tcPr>
          <w:p>
            <w:pPr>
              <w:jc w:val="right"/>
              <w:ind w:right="1138"/>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0" w:type="dxa"/>
            <w:vAlign w:val="bottom"/>
          </w:tcPr>
          <w:p>
            <w:pPr>
              <w:spacing w:after="0"/>
              <w:rPr>
                <w:sz w:val="16"/>
                <w:szCs w:val="16"/>
                <w:color w:val="auto"/>
              </w:rPr>
            </w:pPr>
          </w:p>
        </w:tc>
      </w:tr>
      <w:tr>
        <w:trPr>
          <w:trHeight w:val="128"/>
        </w:trPr>
        <w:tc>
          <w:tcPr>
            <w:tcW w:w="65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jc w:val="center"/>
              <w:ind w:right="23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r>
      <w:tr>
        <w:trPr>
          <w:trHeight w:val="158"/>
        </w:trPr>
        <w:tc>
          <w:tcPr>
            <w:tcW w:w="6540" w:type="dxa"/>
            <w:vAlign w:val="bottom"/>
          </w:tcPr>
          <w:p>
            <w:pPr>
              <w:spacing w:after="0"/>
              <w:rPr>
                <w:sz w:val="13"/>
                <w:szCs w:val="13"/>
                <w:color w:val="auto"/>
              </w:rPr>
            </w:pPr>
          </w:p>
        </w:tc>
        <w:tc>
          <w:tcPr>
            <w:tcW w:w="2420" w:type="dxa"/>
            <w:vAlign w:val="bottom"/>
            <w:gridSpan w:val="2"/>
          </w:tcPr>
          <w:p>
            <w:pPr>
              <w:jc w:val="right"/>
              <w:ind w:right="98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900" w:type="dxa"/>
            <w:vAlign w:val="bottom"/>
          </w:tcPr>
          <w:p>
            <w:pPr>
              <w:jc w:val="center"/>
              <w:ind w:right="238"/>
              <w:spacing w:after="0" w:line="158" w:lineRule="exact"/>
              <w:rPr>
                <w:sz w:val="20"/>
                <w:szCs w:val="20"/>
                <w:color w:val="auto"/>
              </w:rPr>
            </w:pPr>
            <w:r>
              <w:rPr>
                <w:rFonts w:ascii="Times New Roman" w:cs="Times New Roman" w:eastAsia="Times New Roman" w:hAnsi="Times New Roman"/>
                <w:sz w:val="14"/>
                <w:szCs w:val="14"/>
                <w:b w:val="1"/>
                <w:bCs w:val="1"/>
                <w:color w:val="auto"/>
              </w:rPr>
              <w:t>average grant-date</w:t>
            </w:r>
          </w:p>
        </w:tc>
        <w:tc>
          <w:tcPr>
            <w:tcW w:w="60" w:type="dxa"/>
            <w:vAlign w:val="bottom"/>
          </w:tcPr>
          <w:p>
            <w:pPr>
              <w:spacing w:after="0"/>
              <w:rPr>
                <w:sz w:val="13"/>
                <w:szCs w:val="13"/>
                <w:color w:val="auto"/>
              </w:rPr>
            </w:pPr>
          </w:p>
        </w:tc>
      </w:tr>
      <w:tr>
        <w:trPr>
          <w:trHeight w:val="186"/>
        </w:trPr>
        <w:tc>
          <w:tcPr>
            <w:tcW w:w="6540" w:type="dxa"/>
            <w:vAlign w:val="bottom"/>
          </w:tcPr>
          <w:p>
            <w:pPr>
              <w:spacing w:after="0"/>
              <w:rPr>
                <w:sz w:val="16"/>
                <w:szCs w:val="16"/>
                <w:color w:val="auto"/>
              </w:rPr>
            </w:pPr>
          </w:p>
        </w:tc>
        <w:tc>
          <w:tcPr>
            <w:tcW w:w="2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320" w:type="dxa"/>
            <w:vAlign w:val="bottom"/>
          </w:tcPr>
          <w:p>
            <w:pPr>
              <w:spacing w:after="0"/>
              <w:rPr>
                <w:sz w:val="16"/>
                <w:szCs w:val="16"/>
                <w:color w:val="auto"/>
              </w:rPr>
            </w:pPr>
          </w:p>
        </w:tc>
        <w:tc>
          <w:tcPr>
            <w:tcW w:w="190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r>
      <w:tr>
        <w:trPr>
          <w:trHeight w:val="20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beginning of the period</w:t>
            </w: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2,330,094</w:t>
            </w: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FF0FC"/>
          </w:tcPr>
          <w:p>
            <w:pPr>
              <w:spacing w:after="0"/>
              <w:rPr>
                <w:sz w:val="17"/>
                <w:szCs w:val="17"/>
                <w:color w:val="auto"/>
              </w:rPr>
            </w:pPr>
          </w:p>
        </w:tc>
      </w:tr>
      <w:tr>
        <w:trPr>
          <w:trHeight w:val="21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3,452,961</w:t>
            </w:r>
          </w:p>
        </w:tc>
        <w:tc>
          <w:tcPr>
            <w:tcW w:w="20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8"/>
                <w:szCs w:val="18"/>
                <w:color w:val="auto"/>
              </w:rPr>
            </w:pPr>
          </w:p>
        </w:tc>
      </w:tr>
      <w:tr>
        <w:trPr>
          <w:trHeight w:val="21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(116,613 )</w:t>
            </w:r>
          </w:p>
        </w:tc>
        <w:tc>
          <w:tcPr>
            <w:tcW w:w="3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FF0FC"/>
          </w:tcPr>
          <w:p>
            <w:pPr>
              <w:spacing w:after="0"/>
              <w:rPr>
                <w:sz w:val="18"/>
                <w:szCs w:val="18"/>
                <w:color w:val="auto"/>
              </w:rPr>
            </w:pPr>
          </w:p>
        </w:tc>
      </w:tr>
      <w:tr>
        <w:trPr>
          <w:trHeight w:val="21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(215,518 )</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8"/>
                <w:szCs w:val="18"/>
                <w:color w:val="auto"/>
              </w:rPr>
            </w:pPr>
          </w:p>
        </w:tc>
      </w:tr>
      <w:tr>
        <w:trPr>
          <w:trHeight w:val="206"/>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end of the period</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5,450,924</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-7620</wp:posOffset>
            </wp:positionV>
            <wp:extent cx="590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as of the respective vesting dates of RSUs that vested during three months ended March 31, 2022 was $0.2 million. As of March 31, 2022, there was $12.4 million of total unrecognized compensation cost related to non-vested RSUs that are expected to be recognized over a period of up to 3.9 years.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restricted stock units included in the respective components of operating expenses in the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1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shd w:val="clear" w:color="auto" w:fill="CFF0FC"/>
          </w:tcPr>
          <w:p>
            <w:pPr>
              <w:spacing w:after="0"/>
              <w:rPr>
                <w:sz w:val="17"/>
                <w:szCs w:val="17"/>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r>
      <w:tr>
        <w:trPr>
          <w:trHeight w:val="21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0" w:type="dxa"/>
            <w:vAlign w:val="bottom"/>
            <w:shd w:val="clear" w:color="auto" w:fill="CFF0FC"/>
          </w:tcPr>
          <w:p>
            <w:pPr>
              <w:spacing w:after="0"/>
              <w:rPr>
                <w:sz w:val="18"/>
                <w:szCs w:val="18"/>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8"/>
                <w:szCs w:val="18"/>
                <w:color w:val="auto"/>
              </w:rPr>
            </w:pPr>
          </w:p>
        </w:tc>
      </w:tr>
      <w:tr>
        <w:trPr>
          <w:trHeight w:val="246"/>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60" w:type="dxa"/>
            <w:vAlign w:val="bottom"/>
            <w:tcBorders>
              <w:bottom w:val="single" w:sz="8" w:color="CFF0FC"/>
            </w:tcBorders>
            <w:shd w:val="clear" w:color="auto" w:fill="CFF0FC"/>
          </w:tcPr>
          <w:p>
            <w:pPr>
              <w:spacing w:after="0"/>
              <w:rPr>
                <w:sz w:val="21"/>
                <w:szCs w:val="21"/>
                <w:color w:val="auto"/>
              </w:rPr>
            </w:pPr>
          </w:p>
        </w:tc>
      </w:tr>
      <w:tr>
        <w:trPr>
          <w:trHeight w:val="393"/>
        </w:trPr>
        <w:tc>
          <w:tcPr>
            <w:tcW w:w="4220" w:type="dxa"/>
            <w:vAlign w:val="bottom"/>
          </w:tcPr>
          <w:p>
            <w:pPr>
              <w:spacing w:after="0"/>
              <w:rPr>
                <w:sz w:val="24"/>
                <w:szCs w:val="24"/>
                <w:color w:val="auto"/>
              </w:rPr>
            </w:pPr>
          </w:p>
        </w:tc>
        <w:tc>
          <w:tcPr>
            <w:tcW w:w="3100" w:type="dxa"/>
            <w:vAlign w:val="bottom"/>
          </w:tcPr>
          <w:p>
            <w:pPr>
              <w:jc w:val="right"/>
              <w:ind w:right="151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422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5794375</wp:posOffset>
            </wp:positionH>
            <wp:positionV relativeFrom="paragraph">
              <wp:posOffset>-371475</wp:posOffset>
            </wp:positionV>
            <wp:extent cx="425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-354330</wp:posOffset>
            </wp:positionV>
            <wp:extent cx="425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-371475</wp:posOffset>
            </wp:positionV>
            <wp:extent cx="42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-354330</wp:posOffset>
            </wp:positionV>
            <wp:extent cx="42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240" w:type="dxa"/>
            <w:vAlign w:val="bottom"/>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154,083,443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13,762,205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724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Net loss per share, basic and diluted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-24765</wp:posOffset>
            </wp:positionV>
            <wp:extent cx="50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-7620</wp:posOffset>
            </wp:positionV>
            <wp:extent cx="50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-24765</wp:posOffset>
            </wp:positionV>
            <wp:extent cx="42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-7620</wp:posOffset>
            </wp:positionV>
            <wp:extent cx="425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30" w:lineRule="exact"/>
        <w:rPr>
          <w:sz w:val="20"/>
          <w:szCs w:val="20"/>
          <w:color w:val="auto"/>
        </w:rPr>
      </w:pPr>
    </w:p>
    <w:p>
      <w:pPr>
        <w:ind w:right="20" w:firstLine="6"/>
        <w:spacing w:after="0" w:line="273" w:lineRule="auto"/>
        <w:tabs>
          <w:tab w:leader="none" w:pos="20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results have been adjusted to reflect the exchange of Old Talkspace’s common stock for Talkspace’s common stock at an exchange ratio of approximately 1.134140 in June 2021 as a result of the Business Combination.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2022, the following were excluded from the calculation of diluted income per share since each would have had an anti-dilutive effect given the Company’s net loss: 18,455,605 stock options, 5,450,924 restricted stock units, 12,780,000 private placement warrants and 21,350,000 public warrants to purchase the Company’s common stock.</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2021, the following were excluded from the calculation of diluted loss per share since each would have had an anti-dilutive effect given the Company’s net loss: 94,582,550 shares of convertible preferred stock, 20,631,735 stock options, 60,000 warrants to the Company’s common stock and 50,881 warrants to the Company’s series D convertible preferred stock.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TAXES ON INCOME</w:t>
      </w:r>
    </w:p>
    <w:p>
      <w:pPr>
        <w:spacing w:after="0" w:line="10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(“NOL”), the Company has provided for a full valuation allowance against its deferred tax assets for assets that are not expected to be realized.</w:t>
      </w:r>
    </w:p>
    <w:p>
      <w:pPr>
        <w:spacing w:after="0" w:line="1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16"/>
                <w:szCs w:val="16"/>
                <w:color w:val="auto"/>
              </w:rPr>
            </w:pPr>
          </w:p>
        </w:tc>
      </w:tr>
      <w:tr>
        <w:trPr>
          <w:trHeight w:val="20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w:t>
            </w:r>
          </w:p>
        </w:tc>
        <w:tc>
          <w:tcPr>
            <w:tcW w:w="2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60" w:type="dxa"/>
            <w:vAlign w:val="bottom"/>
            <w:shd w:val="clear" w:color="auto" w:fill="CFF0FC"/>
          </w:tcPr>
          <w:p>
            <w:pPr>
              <w:spacing w:after="0"/>
              <w:rPr>
                <w:sz w:val="17"/>
                <w:szCs w:val="17"/>
                <w:color w:val="auto"/>
              </w:rPr>
            </w:pPr>
          </w:p>
        </w:tc>
      </w:tr>
      <w:tr>
        <w:trPr>
          <w:trHeight w:val="21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User acquisition</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60" w:type="dxa"/>
            <w:vAlign w:val="bottom"/>
          </w:tcPr>
          <w:p>
            <w:pPr>
              <w:spacing w:after="0"/>
              <w:rPr>
                <w:sz w:val="18"/>
                <w:szCs w:val="18"/>
                <w:color w:val="auto"/>
              </w:rPr>
            </w:pPr>
          </w:p>
        </w:tc>
      </w:tr>
      <w:tr>
        <w:trPr>
          <w:trHeight w:val="213"/>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shd w:val="clear" w:color="auto" w:fill="CFF0FC"/>
          </w:tcPr>
          <w:p>
            <w:pPr>
              <w:spacing w:after="0"/>
              <w:rPr>
                <w:sz w:val="18"/>
                <w:szCs w:val="18"/>
                <w:color w:val="auto"/>
              </w:rPr>
            </w:pPr>
          </w:p>
        </w:tc>
      </w:tr>
      <w:tr>
        <w:trPr>
          <w:trHeight w:val="21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60" w:type="dxa"/>
            <w:vAlign w:val="bottom"/>
          </w:tcPr>
          <w:p>
            <w:pPr>
              <w:spacing w:after="0"/>
              <w:rPr>
                <w:sz w:val="18"/>
                <w:szCs w:val="18"/>
                <w:color w:val="auto"/>
              </w:rPr>
            </w:pPr>
          </w:p>
        </w:tc>
      </w:tr>
      <w:tr>
        <w:trPr>
          <w:trHeight w:val="24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739"/>
        </w:trPr>
        <w:tc>
          <w:tcPr>
            <w:tcW w:w="4400" w:type="dxa"/>
            <w:vAlign w:val="bottom"/>
          </w:tcPr>
          <w:p>
            <w:pPr>
              <w:spacing w:after="0"/>
              <w:rPr>
                <w:sz w:val="24"/>
                <w:szCs w:val="24"/>
                <w:color w:val="auto"/>
              </w:rPr>
            </w:pPr>
          </w:p>
        </w:tc>
        <w:tc>
          <w:tcPr>
            <w:tcW w:w="226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9"/>
        </w:trPr>
        <w:tc>
          <w:tcPr>
            <w:tcW w:w="44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5582920</wp:posOffset>
            </wp:positionH>
            <wp:positionV relativeFrom="paragraph">
              <wp:posOffset>-582930</wp:posOffset>
            </wp:positionV>
            <wp:extent cx="425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-565785</wp:posOffset>
            </wp:positionV>
            <wp:extent cx="425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-582930</wp:posOffset>
            </wp:positionV>
            <wp:extent cx="425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-565785</wp:posOffset>
            </wp:positionV>
            <wp:extent cx="42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wholly owned subsidiaries, Talkspace LLC and Talkspace Network LLC are in the process of entering into various management service agreements (“MSAs”) with Talkspace Provider Network, PA (“TPN”), a Texas professional association entity, as part of the transition of the Company’s structure with respect to its relationships with healthcare providers in response to its expansion of service offerings to include telepsychiatry services provided through licensed physicians. TPN is then contracting with the Company’s affiliated professional entities and physicians, therapists, and other licensed professionals for clinical and professional services provided to the Company’s members. The Company believes the transition to a structure where it operates under various MSAs with TPN, or an entity authorized by state law to contract with our affiliated professionals to delivery teletherapy services to our members, will better ensure the Company is able to comply with additional regulatory requirements, including the corporate practice of medicine and fee-splitting laws, that are necessarily implicated by engaging in telehealth care that can only be delivered by physicians.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April 2022, the Company transitioned its provider network to TPN. The Company is continuing to transition its current agreements with its clients, members and other business partners to TPN or an affiliated professional entity, where applicable.</w:t>
      </w:r>
    </w:p>
    <w:p>
      <w:pPr>
        <w:spacing w:after="0" w:line="1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TPN is wholly-owned by an independent Texas-licensed physician. The Company has the power to direct the activities of TPN and the other authorized entities in each state that most significantly impact TPN’s and such other authorized entities’ economic performance as well as have the obligation to absorb significant losses and receive the benefits of TPN and the authorized entities. The Company does not believe this transition will have a material financial impact on its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as “Talkspace,” the “Company,” “we,” “us” or “our” refer to the business of Talkspace, Inc. and its subsidiaries.</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2021.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2021 and “Forward-Looking Statements” sections and elsewhere in this Quarterly Report, our actual results may differ materially from those anticipated in these forward-looking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(“health plan clients”) such as Aetna, Cigna, Premera and Optum (collectively, our “clients”), who offer their employees and insured members access to our platform while their employer is under an active contract with Talkspace, or at in-network reimbursement rates, where applicable.</w:t>
      </w:r>
    </w:p>
    <w:p>
      <w:pPr>
        <w:spacing w:after="0" w:line="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March 31, 2022, we had over 64,000 active members receiving care through our B2C and B2B channels, including approximately 22,200 B2C active members, and approximately 76.5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 We consider B2B lives “eligible” if such persons are eligible to receive treatment on the Talkspace platform, in the case of our 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 For the three months ended March 31, 2022, our clinicians completed 90,600 B2B sessions related to members covered under our health plan clients, as compared to 53,900 completed B2B sessions for the three months ended March 31, 2021.</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 w:name="page19"/>
    <w:bookmarkEnd w:id="18"/>
    <w:p>
      <w:pPr>
        <w:jc w:val="both"/>
        <w:spacing w:after="0" w:line="246" w:lineRule="auto"/>
        <w:rPr>
          <w:sz w:val="20"/>
          <w:szCs w:val="20"/>
          <w:color w:val="auto"/>
        </w:rPr>
      </w:pPr>
      <w:r>
        <w:rPr>
          <w:rFonts w:ascii="Times New Roman" w:cs="Times New Roman" w:eastAsia="Times New Roman" w:hAnsi="Times New Roman"/>
          <w:sz w:val="18"/>
          <w:szCs w:val="18"/>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operate our business in a single segment and as one reporting unit, which is how our chief operating decision maker (who is our interim chief executive officer) reviews financial performance and allocates resources.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8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4"/>
        </w:trPr>
        <w:tc>
          <w:tcPr>
            <w:tcW w:w="7680" w:type="dxa"/>
            <w:vAlign w:val="bottom"/>
          </w:tcPr>
          <w:p>
            <w:pPr>
              <w:spacing w:after="0"/>
              <w:rPr>
                <w:sz w:val="16"/>
                <w:szCs w:val="16"/>
                <w:color w:val="auto"/>
              </w:rPr>
            </w:pPr>
          </w:p>
        </w:tc>
        <w:tc>
          <w:tcPr>
            <w:tcW w:w="2480" w:type="dxa"/>
            <w:vAlign w:val="bottom"/>
            <w:tcBorders>
              <w:bottom w:val="single" w:sz="8" w:color="auto"/>
            </w:tcBorders>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16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B2C active members at period end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shd w:val="clear" w:color="auto" w:fill="CFF0FC"/>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B2B eligible lives at period end </w:t>
            </w:r>
            <w:r>
              <w:rPr>
                <w:rFonts w:ascii="Times New Roman" w:cs="Times New Roman" w:eastAsia="Times New Roman" w:hAnsi="Times New Roman"/>
                <w:sz w:val="18"/>
                <w:szCs w:val="18"/>
                <w:i w:val="1"/>
                <w:iCs w:val="1"/>
                <w:color w:val="auto"/>
              </w:rPr>
              <w:t>(in millions)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18"/>
                <w:szCs w:val="18"/>
                <w:color w:val="auto"/>
              </w:rPr>
            </w:pPr>
          </w:p>
        </w:tc>
      </w:tr>
      <w:tr>
        <w:trPr>
          <w:trHeight w:val="21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completed B2B sessions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shd w:val="clear" w:color="auto" w:fill="CFF0FC"/>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period end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r>
      <w:tr>
        <w:trPr>
          <w:trHeight w:val="21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period end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FF0FC"/>
          </w:tcPr>
          <w:p>
            <w:pPr>
              <w:spacing w:after="0"/>
              <w:rPr>
                <w:sz w:val="18"/>
                <w:szCs w:val="18"/>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active members at period end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members “active” (i) in the case of our B2C members, commencing on the date such member initiates contact with a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B2B Eligible Lives: </w:t>
      </w:r>
      <w:r>
        <w:rPr>
          <w:rFonts w:ascii="Times New Roman" w:cs="Times New Roman" w:eastAsia="Times New Roman" w:hAnsi="Times New Roman"/>
          <w:sz w:val="17"/>
          <w:szCs w:val="17"/>
          <w:color w:val="auto"/>
        </w:rPr>
        <w:t>We consider B2B lives “eligible” if such persons are eligible to receive treatment on the Talkspace platform, in the case of our enterprise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interest and other expenses (income), net, (ii) tax expense, (iii) depreciation and amortization, (iv) stock-based compensation expense and (v) certain non-recurring expenses, where applicable</w:t>
      </w:r>
    </w:p>
    <w:p>
      <w:pPr>
        <w:spacing w:after="0" w:line="16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months ended March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7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8"/>
                <w:szCs w:val="18"/>
                <w:color w:val="auto"/>
              </w:rPr>
            </w:pPr>
          </w:p>
        </w:tc>
      </w:tr>
      <w:tr>
        <w:trPr>
          <w:trHeight w:val="213"/>
        </w:trPr>
        <w:tc>
          <w:tcPr>
            <w:tcW w:w="748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Financial (income) expense, net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8"/>
                <w:szCs w:val="18"/>
                <w:color w:val="auto"/>
              </w:rPr>
            </w:pPr>
          </w:p>
        </w:tc>
        <w:tc>
          <w:tcPr>
            <w:tcW w:w="15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(869 )</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r>
      <w:tr>
        <w:trPr>
          <w:trHeight w:val="21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3"/>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FF0FC"/>
            </w:tcBorders>
          </w:tcPr>
          <w:p>
            <w:pPr>
              <w:spacing w:after="0"/>
              <w:rPr>
                <w:sz w:val="18"/>
                <w:szCs w:val="18"/>
                <w:color w:val="auto"/>
              </w:rPr>
            </w:pPr>
          </w:p>
        </w:tc>
      </w:tr>
      <w:tr>
        <w:trPr>
          <w:trHeight w:val="24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28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-24765</wp:posOffset>
            </wp:positionV>
            <wp:extent cx="590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-7620</wp:posOffset>
            </wp:positionV>
            <wp:extent cx="590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-168275</wp:posOffset>
            </wp:positionV>
            <wp:extent cx="59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-24765</wp:posOffset>
            </wp:positionV>
            <wp:extent cx="59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590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-168275</wp:posOffset>
            </wp:positionV>
            <wp:extent cx="590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6" w:lineRule="exact"/>
        <w:rPr>
          <w:sz w:val="20"/>
          <w:szCs w:val="20"/>
          <w:color w:val="auto"/>
        </w:rPr>
      </w:pPr>
    </w:p>
    <w:p>
      <w:pPr>
        <w:ind w:firstLine="6"/>
        <w:spacing w:after="0" w:line="274" w:lineRule="auto"/>
        <w:tabs>
          <w:tab w:leader="none" w:pos="218"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2022, financial (income) expense, net, primarily consisted of $0.9 million in gains resulting from the revaluation of warrant liabilities. For the three months ended March 31, 2021, financial (income) expense, net, primarily consisted of $0.2 million in losses resulting from the revaluation of warrant liabilities.</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generate revenues from the sale of monthly, quarterly, bi-annual and 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 time and will receive a pro-rata refund for the subscription price.</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recognize contracted revenue from our enterprise clients from the commencement of their contracted term through the annual period based primarily on a per-member-per month model. We recognize revenues from services provided to insured members at a point in time, as virtual therapy session is rendered. Revenue is recognized in an amount that reflects the consideration that is expected in exchange for the service. Contracts with our enterprise clients are for one or more years with the ability to provide 60 days advance notice prior to termination at each year mark during the term. On occasion and depending on the client, we allow a 60 or 90 day intra-year termination notice but only after the client has completed the first year of service.</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 growth is generated from increasing our eligible covered lives through contracting with enterprise clients and health plans, and increasing membership subscriptions.</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and discretionary bonuses, where applicable.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we expect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aforementioned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employee provider headcount was 290 as of March 31, 2022, as compared to 102 as of March 31,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corporate employee headcount was 222 as of March 31, 2022, as compared to 164 as of March 31,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software-related costs, and cost savings related to the application of research grant proceeds.</w:t>
      </w:r>
    </w:p>
    <w:p>
      <w:pPr>
        <w:spacing w:after="0" w:line="19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7"/>
          <w:szCs w:val="17"/>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expect clinical operations expenses will increase on an absolute dollar basis as we continue to grow our provider network and product offerings; however, the anticipated corresponding future revenue growth is expected to result in lower clinical operations expenses as a percentage of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p>
      <w:pPr>
        <w:spacing w:after="0" w:line="1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Financial (income) expense, net includes the impact from (i) non-cash changes in the fair value of our warrant liabilities, (ii) issuance costs related to our warrant liabilities, (iii) interest earned on cash equivalents deposited in our bank accounts and (iv) other financial expenses in connection with bank charges.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taxes on income consists primarily of foreign income taxes related to income generated by our subsidiary organized under the laws of Israel. If we expand the scale of our international business activities, any changes in the U.S. and foreign taxation of such activities may increase our overall provision for income taxes in the future.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2022 and 2021 and the dollar and percentage change between the respective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 share and per share data)</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Consumer revenue</w:t>
            </w:r>
          </w:p>
        </w:tc>
        <w:tc>
          <w:tcPr>
            <w:tcW w:w="32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17,260</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18,564</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(1,304 )</w:t>
            </w:r>
          </w:p>
        </w:tc>
        <w:tc>
          <w:tcPr>
            <w:tcW w:w="3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(7.0 )</w:t>
            </w: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Commercial revenue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12,890</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30,150</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27,157</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15,129</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15,021</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17,343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(2,322 )</w:t>
            </w:r>
          </w:p>
        </w:tc>
        <w:tc>
          <w:tcPr>
            <w:tcW w:w="3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(13.4 )</w:t>
            </w: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Research and development, net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5,035</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2,964</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2,071</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Clinical operations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(301 )</w:t>
            </w:r>
          </w:p>
        </w:tc>
        <w:tc>
          <w:tcPr>
            <w:tcW w:w="3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(14.5 )</w:t>
            </w: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Sales and marketing</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21,408</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22,251</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(843 )</w:t>
            </w:r>
          </w:p>
        </w:tc>
        <w:tc>
          <w:tcPr>
            <w:tcW w:w="3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(3.8 )</w:t>
            </w:r>
          </w:p>
        </w:tc>
        <w:tc>
          <w:tcPr>
            <w:tcW w:w="0" w:type="dxa"/>
            <w:vAlign w:val="bottom"/>
          </w:tcPr>
          <w:p>
            <w:pPr>
              <w:spacing w:after="0"/>
              <w:rPr>
                <w:sz w:val="1"/>
                <w:szCs w:val="1"/>
                <w:color w:val="auto"/>
              </w:rPr>
            </w:pPr>
          </w:p>
        </w:tc>
      </w:tr>
      <w:tr>
        <w:trPr>
          <w:trHeight w:val="186"/>
        </w:trPr>
        <w:tc>
          <w:tcPr>
            <w:tcW w:w="5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8,010</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5,402</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36,229</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29,900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6,329</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loss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21,208</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12,557</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Financial (income) expense, net</w:t>
            </w:r>
          </w:p>
        </w:tc>
        <w:tc>
          <w:tcPr>
            <w:tcW w:w="3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(869 )</w:t>
            </w: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(1,042 )</w:t>
            </w: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taxes on income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20,339</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Taxes on income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20,360</w:t>
            </w:r>
          </w:p>
        </w:tc>
        <w:tc>
          <w:tcPr>
            <w:tcW w:w="280" w:type="dxa"/>
            <w:vAlign w:val="bottom"/>
          </w:tcPr>
          <w:p>
            <w:pPr>
              <w:spacing w:after="0"/>
              <w:rPr>
                <w:sz w:val="16"/>
                <w:szCs w:val="16"/>
                <w:color w:val="auto"/>
              </w:rPr>
            </w:pPr>
          </w:p>
        </w:tc>
        <w:tc>
          <w:tcPr>
            <w:tcW w:w="52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7,622</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line="186" w:lineRule="exact"/>
              <w:rPr>
                <w:sz w:val="20"/>
                <w:szCs w:val="20"/>
                <w:color w:val="auto"/>
              </w:rPr>
            </w:pPr>
            <w:r>
              <w:rPr>
                <w:rFonts w:ascii="Times New Roman" w:cs="Times New Roman" w:eastAsia="Times New Roman" w:hAnsi="Times New Roman"/>
                <w:sz w:val="15"/>
                <w:szCs w:val="15"/>
                <w:color w:val="auto"/>
              </w:rPr>
              <w:t xml:space="preserve">Net loss per share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Basic and Diluted</w:t>
            </w: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280" w:type="dxa"/>
            <w:vAlign w:val="bottom"/>
          </w:tcPr>
          <w:p>
            <w:pPr>
              <w:spacing w:after="0"/>
              <w:rPr>
                <w:sz w:val="16"/>
                <w:szCs w:val="16"/>
                <w:color w:val="auto"/>
              </w:rPr>
            </w:pPr>
          </w:p>
        </w:tc>
        <w:tc>
          <w:tcPr>
            <w:tcW w:w="520" w:type="dxa"/>
            <w:vAlign w:val="bottom"/>
          </w:tcPr>
          <w:p>
            <w:pPr>
              <w:jc w:val="right"/>
              <w:ind w:right="34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(0.79 )</w:t>
            </w:r>
          </w:p>
        </w:tc>
        <w:tc>
          <w:tcPr>
            <w:tcW w:w="3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(85.7 )</w:t>
            </w:r>
          </w:p>
        </w:tc>
        <w:tc>
          <w:tcPr>
            <w:tcW w:w="0" w:type="dxa"/>
            <w:vAlign w:val="bottom"/>
          </w:tcPr>
          <w:p>
            <w:pPr>
              <w:spacing w:after="0"/>
              <w:rPr>
                <w:sz w:val="1"/>
                <w:szCs w:val="1"/>
                <w:color w:val="auto"/>
              </w:rPr>
            </w:pPr>
          </w:p>
        </w:tc>
      </w:tr>
      <w:tr>
        <w:trPr>
          <w:trHeight w:val="186"/>
        </w:trPr>
        <w:tc>
          <w:tcPr>
            <w:tcW w:w="5180" w:type="dxa"/>
            <w:vAlign w:val="bottom"/>
            <w:shd w:val="clear" w:color="auto" w:fill="CFF0FC"/>
          </w:tcPr>
          <w:p>
            <w:pPr>
              <w:ind w:left="20"/>
              <w:spacing w:after="0" w:line="186" w:lineRule="exact"/>
              <w:rPr>
                <w:sz w:val="20"/>
                <w:szCs w:val="20"/>
                <w:color w:val="auto"/>
              </w:rPr>
            </w:pPr>
            <w:r>
              <w:rPr>
                <w:rFonts w:ascii="Times New Roman" w:cs="Times New Roman" w:eastAsia="Times New Roman" w:hAnsi="Times New Roman"/>
                <w:sz w:val="15"/>
                <w:szCs w:val="15"/>
                <w:color w:val="auto"/>
              </w:rPr>
              <w:t xml:space="preserve">Weighted average number of common shares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Basic and Diluted</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154,083,443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13,762,205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Percentage not meaningful.</w:t>
      </w:r>
    </w:p>
    <w:p>
      <w:pPr>
        <w:spacing w:after="0" w:line="27" w:lineRule="exact"/>
        <w:rPr>
          <w:sz w:val="20"/>
          <w:szCs w:val="20"/>
          <w:color w:val="auto"/>
        </w:rPr>
      </w:pPr>
    </w:p>
    <w:p>
      <w:pPr>
        <w:ind w:right="240" w:firstLine="6"/>
        <w:spacing w:after="0" w:line="274" w:lineRule="auto"/>
        <w:tabs>
          <w:tab w:leader="none" w:pos="214"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period results have been adjusted to reflect the exchange of Old Talkspace’s common stock for Talkspace’s common stock at an exchange ratio of approximately 1.134140 in June 2021 as a result of the Business Combination.</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increased by $3.0 million, or 11.0% to $30.2 million for the three months ended March 31, 2022 from $27.2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2021. The increase was principally due to a 50% growth in B2B revenue driven by an increase in covered lives from health plan clients and new enterprise clients, and a higher number of completed B2B sessions, partially offset by higher revenue reserves on receivables from our existing health plan clients. Enterprise client contracts increased by 98 clients, or 107.7%, to 189 clients as of March 31, 2022 from 91 clients as of March 31, 2021. This increase in the number of enterprise clients increased revenue by $2.4 million, or 72.1%, to $5.7 million for the three months ended March 31, 2022 from $3.3 million for the three months ended March 31, 2021. Revenue, net of reserves, from our health plan clients increased by $1.9 million, or 36.3%, to $7.2 million for the three months ended March 31, 2022 from $5.3 million for the three months ended March 31, 2021. During the three months ended March 31, 2022, the Company recorded an increase in revenue reserves of $1.0 million related to receivables from its health plan clients. B2C member subscriptions revenue decreased by $1.3 million, or 7.0%, to $17.3 million for the three months ended March 31, 2022 from $18.6 million for the three months ended March 31, 2021 due in part to reduced marketing spend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partially offset by a one-time $0.5 million non-cash reversal in deferred revenue associated with customers no longer active on the Company’s platform.</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the appeal of our technology platform, the quality of our providers and the cost of our services will continue to represent the primary drivers of revenue growth from B2B clients and B2C members.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Costs of revenues. </w:t>
      </w:r>
      <w:r>
        <w:rPr>
          <w:rFonts w:ascii="Times New Roman" w:cs="Times New Roman" w:eastAsia="Times New Roman" w:hAnsi="Times New Roman"/>
          <w:sz w:val="18"/>
          <w:szCs w:val="18"/>
          <w:color w:val="auto"/>
        </w:rPr>
        <w:t>Cost of revenues increased by $5.3 million, or 54.2%, to $15.1 million for the three months ended March 31, 2022 from $9.8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March 31, 2021, primarily due to costs associated with an increase of employee providers on our platform and higher therapist compensation expense.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decreased by $2.3 million, or 13.4%, to $15.0 million for the three months ended March 31, 2022 from $17.3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2021. This decrease was primarily due to higher cost of revenues due to an increase of providers on our platform to support our increased demand and higher therapist compensation expense, partially offset by the 11.0% increase in revenues. Gross margin (calculated as gross profit as a percentage of revenues) was 49.8% for the three months ended March 31, 2022, compared to 63.9% during the three months ended March 31, 2021. The decrease in gross margin was due primarily to a revenue shift to our B2B business, higher revenue reserves recorded related to our health plan clients and higher therapist compensation expense during the three months ended March 31, 2022.</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expenses increased by approximately $2.1 million, or 69.9%, to $5.0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2022 from $3.0 million for the three months ended March 31, 2021. This was primarily due to an increase in employee-related costs, inclusive of non-cash stock compensation expense.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Clinical operations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operations expenses decreased by $0.3 million, or 14.5% to $1.8 million for the three months ended March 31,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$2.1 million for the three months ended March 31, 2021. This was primarily due to a decrease in provider recruitment costs, partially offset by an increase in employee-related costs, inclusive of non-cash stock compensation expense.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Sales and marketing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marketing expenses decreased by $0.8 million, or 3.8%, to $21.4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from $22.3 million for the three months ended March 31, 2021. The decrease in sales and marketing expenses primarily consisted of a decrease in direct marketing and promotional costs, partially offset by an increase in employee-related costs, inclusive of non-cash stock compensation expense.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$5.4 million to $8.0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from $2.6 million for the three months ended March 31, 2021. This increase was driven primarily by an increase in employee-related costs, inclusive of non-cash stock compensation expense, and an increase in insurance costs and consulting and professional fees.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Financial (income) expense, net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income, net was $0.9 million for the three months ended March 31, 2022, compared to financial expense,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 million for the three months ended March 31, 2021. The change in financial (income) expense, net was driven primarily by non-cash gains resulting from the revaluation of warrant liabilities during the three months ended March 31, 2022, compared to non-cash losses resulting from the revaluation of warrant liabilities during the three months ended March 31,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31, 2022, we had $184.1 million of cash and cash equivalents, which were held to finance our operations and support a variety of growth initiatives and investments ($198.3 million as of December 31, 2021). We had no debt as of March 31, 2022 or December 31, 2021 and expect to generate operating losses for the foreseeable future.</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twelve months using available cash and cash equivalent balances as of March 31, 2022.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7"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(15,146 )</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(3,879 )</w:t>
            </w:r>
          </w:p>
        </w:tc>
        <w:tc>
          <w:tcPr>
            <w:tcW w:w="0" w:type="dxa"/>
            <w:vAlign w:val="bottom"/>
          </w:tcPr>
          <w:p>
            <w:pPr>
              <w:spacing w:after="0"/>
              <w:rPr>
                <w:sz w:val="1"/>
                <w:szCs w:val="1"/>
                <w:color w:val="auto"/>
              </w:rPr>
            </w:pP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(88 )</w:t>
            </w:r>
          </w:p>
        </w:tc>
        <w:tc>
          <w:tcPr>
            <w:tcW w:w="4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20" w:type="dxa"/>
            <w:vAlign w:val="bottom"/>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(13,729 )</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(3,476 )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-168275</wp:posOffset>
            </wp:positionV>
            <wp:extent cx="590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-168275</wp:posOffset>
            </wp:positionV>
            <wp:extent cx="590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was $15.1 million and $3.9 million for the three months ended March 31, 2022 and 2021, respectively. The increase in net cash used in operating activities was driven primarily by the negative impact from a higher net loss during the current-year period and favorable timing of payments on our accounts payable balances during the same prior-year period, partially offset by the favorable timing on collections of receivables during the current-year period. The higher net loss for the three months ended March 31, 2022 was driven primarily by higher general and administrative expenses and higher cost of revenues.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$0.1 million for the three months ended March 31, 2022, compared to $0.3 million in net cash provided by investing activities for the three months ended March 31, 2021. The change was driven primarily by a decrease in the purchases of computer equipment and software during the three months ended March 31, 2022 compared to the three months ended March 31,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$1.5 million and $0.7 million for the three months ended March 31, 2022 and 2021, respectively. The increase was primarily driven by higher proceeds from the exercise of stock options, partially offset by payments for employee taxes withheld related to vested stock-based awards.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March 31, 2022, we did not have any short-term or long-term debt, capital lease obligations, long-term operating lease obligations, or significant long-term liabilities.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2021.</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those statements and the notes thereto found in the Company’s Annual Report on Form 10-K for the year ended December 31, 2021.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to matters discussed under the heading “Critical Accounting Policies and Estimates” in Part II, Item 7 of the Company’s Annual Report on Form 10-K for the year ended December 31,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“Part I, Item 1. Financial Statements – Note 2 – Significant Accounting Policies” of this Quarterly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to the information contained in Part II, Item 7A of the Company’s Annual Report on Form 10-K for the year ended December 31, 2021.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Disclosure Controls and Procedures</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at the reasonable assurance level as of March 31, 2022 due to the material weaknesses in our internal control over financial reporting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a reasonable possibility exists that a material misstatement of our annual or interim financial statements could not be prevented or detected on a timely basis. We have identified material weaknesses in our controls related to the following (a) the aggregation of open control deficiencies across the Company’s financial reporting processes because the controls were not fully designed and operating effectively, (b) not fully designing, implementing and monitoring general information technology controls in the areas of user access and program change-management for systems supporting all of the Company’s internal control processes and (c)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w:t>
      </w:r>
    </w:p>
    <w:p>
      <w:pPr>
        <w:spacing w:after="0" w:line="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we inherited this material weakness and the warrants.</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light of these material weaknesses, we performed additional analysis as deemed necessary to ensure that our financial statements were prepared in accordance with U.S. generally accepted accounting principles. Accordingly, management believes that the financial statements included in this Quarterly Report present fairly in all material respects our financial position, results of operations and cash flows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Activities</w:t>
      </w:r>
    </w:p>
    <w:p>
      <w:pPr>
        <w:spacing w:after="0" w:line="1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We currently are implementing several actions, as described below, to remediate the material weaknesses described in this Item 4. Management is committed to ensuring that our internal controls over financial reporting are designed and operating effectively.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Reporting</w:t>
      </w:r>
    </w:p>
    <w:p>
      <w:pPr>
        <w:spacing w:after="0" w:line="1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continue to make progress on our automated and manual business process controls, including reports generated from these IT systems, that are dependent upon the completeness and accuracy of information from the affected ITGC material weakness. We are leveraging these improvements in the design of our future state processes and controls within our new enterprise resource planning (“ERP”) system, which is expected to go live during the second half of 2022. Our remediation plan includes, but is not limited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7" w:name="page28"/>
    <w:bookmarkEnd w:id="27"/>
    <w:p>
      <w:pPr>
        <w:ind w:left="1020" w:hanging="505"/>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Frequent communications between our Audit Committee and management regarding our financial reporting and internal control environment;</w:t>
      </w:r>
    </w:p>
    <w:p>
      <w:pPr>
        <w:spacing w:after="0" w:line="123" w:lineRule="exact"/>
        <w:rPr>
          <w:rFonts w:ascii="Times New Roman" w:cs="Times New Roman" w:eastAsia="Times New Roman" w:hAnsi="Times New Roman"/>
          <w:sz w:val="17"/>
          <w:szCs w:val="17"/>
          <w:color w:val="auto"/>
        </w:rPr>
      </w:pPr>
    </w:p>
    <w:p>
      <w:pPr>
        <w:ind w:left="1020" w:hanging="505"/>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expansion of the finance, accounting, reporting and information technology teams through the addition of experienced and qualified resources;</w:t>
      </w:r>
    </w:p>
    <w:p>
      <w:pPr>
        <w:spacing w:after="0" w:line="57" w:lineRule="exact"/>
        <w:rPr>
          <w:rFonts w:ascii="Times New Roman" w:cs="Times New Roman" w:eastAsia="Times New Roman" w:hAnsi="Times New Roman"/>
          <w:sz w:val="18"/>
          <w:szCs w:val="18"/>
          <w:color w:val="auto"/>
        </w:rPr>
      </w:pPr>
    </w:p>
    <w:p>
      <w:pPr>
        <w:ind w:left="1020" w:hanging="505"/>
        <w:spacing w:after="0" w:line="27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improvement of the process and controls in the determination of the appropriate accounting and classification of our financial instruments and key agreements;</w:t>
      </w:r>
    </w:p>
    <w:p>
      <w:pPr>
        <w:spacing w:after="0" w:line="43"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additional internal controls training, as well as policy and control standardization where possible;</w:t>
      </w:r>
    </w:p>
    <w:p>
      <w:pPr>
        <w:spacing w:after="0" w:line="99"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internal controls processes as part of our Sarbanes-Oxley program to drive accountability and efficiency;</w:t>
      </w:r>
    </w:p>
    <w:p>
      <w:pPr>
        <w:spacing w:after="0" w:line="112"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monthly review of financial statements to evaluate results, observe adherence to policies and agree on necessary actions;</w:t>
      </w:r>
    </w:p>
    <w:p>
      <w:pPr>
        <w:spacing w:after="0" w:line="99"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outside resources to assist with the design and implementation of a risk-based internal controls plan, enhance process documentation, provide company-wide training, and help with management's self-assessment and testing of internal controls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 General Controls (“ITGCs”)</w:t>
      </w:r>
    </w:p>
    <w:p>
      <w:pPr>
        <w:spacing w:after="0" w:line="1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continue to make progress in advancing foundational elements of our ITGCs as it relates to financial reporting. We are leveraging these foundational elements in the design of our future state processes and controls within our new ERP system. Our remediation plan includes, but is not limited to:</w:t>
      </w:r>
    </w:p>
    <w:p>
      <w:pPr>
        <w:spacing w:after="0" w:line="71" w:lineRule="exact"/>
        <w:rPr>
          <w:sz w:val="20"/>
          <w:szCs w:val="20"/>
          <w:color w:val="auto"/>
        </w:rPr>
      </w:pPr>
    </w:p>
    <w:p>
      <w:pPr>
        <w:ind w:left="1020" w:hanging="50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relevant IT systems related to our revenue processes and financial reporting;</w:t>
      </w:r>
    </w:p>
    <w:p>
      <w:pPr>
        <w:spacing w:after="0" w:line="99"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IT change management policies and procedures, control activities, and tools impacting financial reporting to ensure changes affecting financial IT applications are identified, authorized, tested, and implemented appropriately;</w:t>
      </w:r>
    </w:p>
    <w:p>
      <w:pPr>
        <w:spacing w:after="0" w:line="70"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processes for requesting, authorizing, and reviewing user access to key systems which impact our financial reporting, including identifying access to roles where manual business process controls may be required;</w:t>
      </w:r>
    </w:p>
    <w:p>
      <w:pPr>
        <w:spacing w:after="0" w:line="57"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appropriate segregation of duties in relevant systems that impact internal control over financial reporting;</w:t>
      </w:r>
    </w:p>
    <w:p>
      <w:pPr>
        <w:spacing w:after="0" w:line="112"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resources dedicated to monitoring ITGCs related to financial reporting to ensure compliance with policies and procedures; and</w:t>
      </w:r>
    </w:p>
    <w:p>
      <w:pPr>
        <w:spacing w:after="0" w:line="99"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training to ensure a clear understanding of risk assessment and monitoring activities related to automated processes and IT systems and ITGCs related to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accounting requirements (such as warrants)</w:t>
      </w:r>
    </w:p>
    <w:p>
      <w:pPr>
        <w:spacing w:after="0" w:line="1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When fully implemented and operational, we believe the controls we have designed or plan to design will remediate the control deficiencies that have led to the material weaknesses we have identified and strengthen our internal controls over financial reporting.</w:t>
      </w: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operate for a sufficient period of time and management has concluded, through testing, that these controls are operating effectively.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 over financial reporting (as such term is defined in Rules 13a-15(f) and 15d-15(f) of the Exchange Act) during the three months ended March 31, 2022 that have materially affected, or are reasonably likely to materially affect,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From time-to-time, we are party to various legal proceedings, claims and litigation that arise in the normal course of business. In the opinion of management, the ultimate outcome of these matters will not have a material adverse effect on our financial position, results of operations or cash flows. See Note 5, “Commitments and Contingencies,” for further details.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2021.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three months ended March 31, 2022, there were no material changes to the information contained in Part I, Item 1A of the Company's Annual Report on Form 10-K for the year ended December 31, 2021.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60" w:type="dxa"/>
            <w:vAlign w:val="bottom"/>
            <w:gridSpan w:val="1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20" w:type="dxa"/>
            <w:vAlign w:val="bottom"/>
          </w:tcPr>
          <w:p>
            <w:pPr>
              <w:ind w:left="20"/>
              <w:spacing w:after="0"/>
              <w:rPr>
                <w:rFonts w:ascii="Times New Roman" w:cs="Times New Roman" w:eastAsia="Times New Roman" w:hAnsi="Times New Roman"/>
                <w:sz w:val="15"/>
                <w:szCs w:val="15"/>
                <w:color w:val="0000FF"/>
                <w:w w:val="85"/>
              </w:rPr>
            </w:pPr>
            <w:hyperlink r:id="rId136">
              <w:r>
                <w:rPr>
                  <w:rFonts w:ascii="Times New Roman" w:cs="Times New Roman" w:eastAsia="Times New Roman" w:hAnsi="Times New Roman"/>
                  <w:sz w:val="15"/>
                  <w:szCs w:val="15"/>
                  <w:color w:val="0000FF"/>
                  <w:w w:val="85"/>
                </w:rPr>
                <w:t>2.</w:t>
              </w:r>
              <w:r>
                <w:rPr>
                  <w:rFonts w:ascii="Times New Roman" w:cs="Times New Roman" w:eastAsia="Times New Roman" w:hAnsi="Times New Roman"/>
                  <w:sz w:val="15"/>
                  <w:szCs w:val="15"/>
                  <w:u w:val="single" w:color="auto"/>
                  <w:color w:val="0000FF"/>
                  <w:w w:val="85"/>
                </w:rPr>
                <w:t>1</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spacing w:after="0"/>
              <w:rPr>
                <w:rFonts w:ascii="Times New Roman" w:cs="Times New Roman" w:eastAsia="Times New Roman" w:hAnsi="Times New Roman"/>
                <w:sz w:val="15"/>
                <w:szCs w:val="15"/>
                <w:color w:val="0000FF"/>
              </w:rPr>
            </w:pPr>
            <w:hyperlink r:id="rId137">
              <w:r>
                <w:rPr>
                  <w:rFonts w:ascii="Times New Roman" w:cs="Times New Roman" w:eastAsia="Times New Roman" w:hAnsi="Times New Roman"/>
                  <w:sz w:val="15"/>
                  <w:szCs w:val="15"/>
                  <w:color w:val="0000FF"/>
                </w:rPr>
                <w:t>Agreement and Plan of Merger, dated as of January 12, 2021, by and among</w:t>
              </w:r>
            </w:hyperlink>
          </w:p>
        </w:tc>
        <w:tc>
          <w:tcPr>
            <w:tcW w:w="0" w:type="dxa"/>
            <w:vAlign w:val="bottom"/>
          </w:tcPr>
          <w:p>
            <w:pPr>
              <w:spacing w:after="0"/>
              <w:rPr>
                <w:sz w:val="1"/>
                <w:szCs w:val="1"/>
                <w:color w:val="auto"/>
              </w:rPr>
            </w:pPr>
          </w:p>
        </w:tc>
      </w:tr>
      <w:tr>
        <w:trPr>
          <w:trHeight w:val="140"/>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top w:val="single" w:sz="8" w:color="0000FF"/>
            </w:tcBorders>
            <w:gridSpan w:val="9"/>
          </w:tcPr>
          <w:p>
            <w:pPr>
              <w:spacing w:after="0" w:line="140" w:lineRule="exact"/>
              <w:rPr>
                <w:rFonts w:ascii="Times New Roman" w:cs="Times New Roman" w:eastAsia="Times New Roman" w:hAnsi="Times New Roman"/>
                <w:sz w:val="15"/>
                <w:szCs w:val="15"/>
                <w:color w:val="0000FF"/>
              </w:rPr>
            </w:pPr>
            <w:hyperlink r:id="rId137">
              <w:r>
                <w:rPr>
                  <w:rFonts w:ascii="Times New Roman" w:cs="Times New Roman" w:eastAsia="Times New Roman" w:hAnsi="Times New Roman"/>
                  <w:sz w:val="15"/>
                  <w:szCs w:val="15"/>
                  <w:color w:val="0000FF"/>
                </w:rPr>
                <w:t>Hudson Executive Investment Corp., Tailwind Merger Sub I, Inc., Tailwind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4420" w:type="dxa"/>
            <w:vAlign w:val="bottom"/>
            <w:tcBorders>
              <w:top w:val="single" w:sz="8" w:color="0000FF"/>
              <w:bottom w:val="single" w:sz="8" w:color="0000FF"/>
            </w:tcBorders>
            <w:gridSpan w:val="5"/>
          </w:tcPr>
          <w:p>
            <w:pPr>
              <w:spacing w:after="0" w:line="127"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Merger Sub II, LLC, and Groop Internet Platform, Inc. (d/b/a Talkspace).</w:t>
              </w:r>
            </w:hyperlink>
          </w:p>
        </w:tc>
        <w:tc>
          <w:tcPr>
            <w:tcW w:w="18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0" w:type="dxa"/>
            <w:vAlign w:val="bottom"/>
          </w:tcPr>
          <w:p>
            <w:pPr>
              <w:ind w:left="20"/>
              <w:spacing w:after="0"/>
              <w:rPr>
                <w:rFonts w:ascii="Times New Roman" w:cs="Times New Roman" w:eastAsia="Times New Roman" w:hAnsi="Times New Roman"/>
                <w:sz w:val="15"/>
                <w:szCs w:val="15"/>
                <w:color w:val="0000FF"/>
                <w:w w:val="85"/>
              </w:rPr>
            </w:pPr>
            <w:hyperlink r:id="rId138">
              <w:r>
                <w:rPr>
                  <w:rFonts w:ascii="Times New Roman" w:cs="Times New Roman" w:eastAsia="Times New Roman" w:hAnsi="Times New Roman"/>
                  <w:sz w:val="15"/>
                  <w:szCs w:val="15"/>
                  <w:color w:val="0000FF"/>
                  <w:w w:val="85"/>
                </w:rPr>
                <w:t>3.</w:t>
              </w:r>
              <w:r>
                <w:rPr>
                  <w:rFonts w:ascii="Times New Roman" w:cs="Times New Roman" w:eastAsia="Times New Roman" w:hAnsi="Times New Roman"/>
                  <w:sz w:val="15"/>
                  <w:szCs w:val="15"/>
                  <w:u w:val="single" w:color="auto"/>
                  <w:color w:val="0000FF"/>
                  <w:w w:val="85"/>
                </w:rPr>
                <w:t>1</w:t>
              </w:r>
            </w:hyperlink>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13"/>
          </w:tcPr>
          <w:p>
            <w:pPr>
              <w:spacing w:after="0"/>
              <w:rPr>
                <w:rFonts w:ascii="Times New Roman" w:cs="Times New Roman" w:eastAsia="Times New Roman" w:hAnsi="Times New Roman"/>
                <w:sz w:val="15"/>
                <w:szCs w:val="15"/>
                <w:color w:val="0000FF"/>
              </w:rPr>
            </w:pPr>
            <w:hyperlink r:id="rId138">
              <w:r>
                <w:rPr>
                  <w:rFonts w:ascii="Times New Roman" w:cs="Times New Roman" w:eastAsia="Times New Roman" w:hAnsi="Times New Roman"/>
                  <w:sz w:val="15"/>
                  <w:szCs w:val="15"/>
                  <w:color w:val="0000FF"/>
                </w:rPr>
                <w:t>Second Amended and Restated Certificate of Incorporation of Talkspace, Inc.</w:t>
              </w:r>
            </w:hyperlink>
          </w:p>
        </w:tc>
        <w:tc>
          <w:tcPr>
            <w:tcW w:w="0" w:type="dxa"/>
            <w:vAlign w:val="bottom"/>
          </w:tcPr>
          <w:p>
            <w:pPr>
              <w:spacing w:after="0"/>
              <w:rPr>
                <w:sz w:val="1"/>
                <w:szCs w:val="1"/>
                <w:color w:val="auto"/>
              </w:rPr>
            </w:pPr>
          </w:p>
        </w:tc>
      </w:tr>
      <w:tr>
        <w:trPr>
          <w:trHeight w:val="20"/>
        </w:trPr>
        <w:tc>
          <w:tcPr>
            <w:tcW w:w="2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ind w:left="20"/>
              <w:spacing w:after="0" w:line="167" w:lineRule="exact"/>
              <w:rPr>
                <w:rFonts w:ascii="Times New Roman" w:cs="Times New Roman" w:eastAsia="Times New Roman" w:hAnsi="Times New Roman"/>
                <w:sz w:val="15"/>
                <w:szCs w:val="15"/>
                <w:color w:val="0000FF"/>
                <w:w w:val="85"/>
              </w:rPr>
            </w:pPr>
            <w:hyperlink r:id="rId139">
              <w:r>
                <w:rPr>
                  <w:rFonts w:ascii="Times New Roman" w:cs="Times New Roman" w:eastAsia="Times New Roman" w:hAnsi="Times New Roman"/>
                  <w:sz w:val="15"/>
                  <w:szCs w:val="15"/>
                  <w:color w:val="0000FF"/>
                  <w:w w:val="85"/>
                </w:rPr>
                <w:t>3.</w:t>
              </w:r>
              <w:r>
                <w:rPr>
                  <w:rFonts w:ascii="Times New Roman" w:cs="Times New Roman" w:eastAsia="Times New Roman" w:hAnsi="Times New Roman"/>
                  <w:sz w:val="15"/>
                  <w:szCs w:val="15"/>
                  <w:u w:val="single" w:color="auto"/>
                  <w:color w:val="0000FF"/>
                  <w:w w:val="85"/>
                </w:rPr>
                <w:t>2</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rFonts w:ascii="Times New Roman" w:cs="Times New Roman" w:eastAsia="Times New Roman" w:hAnsi="Times New Roman"/>
                <w:sz w:val="15"/>
                <w:szCs w:val="15"/>
                <w:color w:val="0000FF"/>
              </w:rPr>
            </w:pPr>
            <w:hyperlink r:id="rId139">
              <w:r>
                <w:rPr>
                  <w:rFonts w:ascii="Times New Roman" w:cs="Times New Roman" w:eastAsia="Times New Roman" w:hAnsi="Times New Roman"/>
                  <w:sz w:val="15"/>
                  <w:szCs w:val="15"/>
                  <w:color w:val="0000FF"/>
                </w:rPr>
                <w:t>Bylaws of Talkspace, Inc.</w:t>
              </w:r>
            </w:hyperlink>
          </w:p>
        </w:tc>
        <w:tc>
          <w:tcPr>
            <w:tcW w:w="0" w:type="dxa"/>
            <w:vAlign w:val="bottom"/>
          </w:tcPr>
          <w:p>
            <w:pPr>
              <w:spacing w:after="0"/>
              <w:rPr>
                <w:sz w:val="1"/>
                <w:szCs w:val="1"/>
                <w:color w:val="auto"/>
              </w:rPr>
            </w:pPr>
          </w:p>
        </w:tc>
      </w:tr>
      <w:tr>
        <w:trPr>
          <w:trHeight w:val="20"/>
        </w:trPr>
        <w:tc>
          <w:tcPr>
            <w:tcW w:w="2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ind w:left="20"/>
              <w:spacing w:after="0" w:line="167" w:lineRule="exact"/>
              <w:rPr>
                <w:rFonts w:ascii="Times New Roman" w:cs="Times New Roman" w:eastAsia="Times New Roman" w:hAnsi="Times New Roman"/>
                <w:sz w:val="15"/>
                <w:szCs w:val="15"/>
                <w:color w:val="0000FF"/>
                <w:w w:val="85"/>
              </w:rPr>
            </w:pPr>
            <w:hyperlink r:id="rId140">
              <w:r>
                <w:rPr>
                  <w:rFonts w:ascii="Times New Roman" w:cs="Times New Roman" w:eastAsia="Times New Roman" w:hAnsi="Times New Roman"/>
                  <w:sz w:val="15"/>
                  <w:szCs w:val="15"/>
                  <w:color w:val="0000FF"/>
                  <w:w w:val="85"/>
                </w:rPr>
                <w:t>4.</w:t>
              </w:r>
              <w:r>
                <w:rPr>
                  <w:rFonts w:ascii="Times New Roman" w:cs="Times New Roman" w:eastAsia="Times New Roman" w:hAnsi="Times New Roman"/>
                  <w:sz w:val="15"/>
                  <w:szCs w:val="15"/>
                  <w:u w:val="single" w:color="auto"/>
                  <w:color w:val="0000FF"/>
                  <w:w w:val="85"/>
                </w:rPr>
                <w:t>1</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Warrant Agreement, dated as of June 8, 2020, by and between Continental Stock</w:t>
              </w:r>
            </w:hyperlink>
          </w:p>
        </w:tc>
        <w:tc>
          <w:tcPr>
            <w:tcW w:w="0" w:type="dxa"/>
            <w:vAlign w:val="bottom"/>
          </w:tcPr>
          <w:p>
            <w:pPr>
              <w:spacing w:after="0"/>
              <w:rPr>
                <w:sz w:val="1"/>
                <w:szCs w:val="1"/>
                <w:color w:val="auto"/>
              </w:rPr>
            </w:pPr>
          </w:p>
        </w:tc>
      </w:tr>
      <w:tr>
        <w:trPr>
          <w:trHeight w:val="140"/>
        </w:trPr>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tcBorders>
              <w:top w:val="single" w:sz="8" w:color="0000FF"/>
            </w:tcBorders>
            <w:gridSpan w:val="12"/>
          </w:tcPr>
          <w:p>
            <w:pPr>
              <w:spacing w:after="0" w:line="140"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Transfer &amp; Trust Company and Hudson Executive Investment Corp.</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0" w:type="dxa"/>
            <w:vAlign w:val="bottom"/>
          </w:tcPr>
          <w:p>
            <w:pPr>
              <w:ind w:left="20"/>
              <w:spacing w:after="0" w:line="167" w:lineRule="exact"/>
              <w:rPr>
                <w:rFonts w:ascii="Times New Roman" w:cs="Times New Roman" w:eastAsia="Times New Roman" w:hAnsi="Times New Roman"/>
                <w:sz w:val="15"/>
                <w:szCs w:val="15"/>
                <w:color w:val="0000FF"/>
                <w:w w:val="85"/>
              </w:rPr>
            </w:pPr>
            <w:hyperlink r:id="rId142">
              <w:r>
                <w:rPr>
                  <w:rFonts w:ascii="Times New Roman" w:cs="Times New Roman" w:eastAsia="Times New Roman" w:hAnsi="Times New Roman"/>
                  <w:sz w:val="15"/>
                  <w:szCs w:val="15"/>
                  <w:color w:val="0000FF"/>
                  <w:w w:val="85"/>
                </w:rPr>
                <w:t>4.</w:t>
              </w:r>
              <w:r>
                <w:rPr>
                  <w:rFonts w:ascii="Times New Roman" w:cs="Times New Roman" w:eastAsia="Times New Roman" w:hAnsi="Times New Roman"/>
                  <w:sz w:val="15"/>
                  <w:szCs w:val="15"/>
                  <w:u w:val="single" w:color="auto"/>
                  <w:color w:val="0000FF"/>
                  <w:w w:val="85"/>
                </w:rPr>
                <w:t>2</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120" w:type="dxa"/>
            <w:vAlign w:val="bottom"/>
            <w:tcBorders>
              <w:top w:val="single" w:sz="8" w:color="0000FF"/>
            </w:tcBorders>
            <w:gridSpan w:val="4"/>
          </w:tcPr>
          <w:p>
            <w:pPr>
              <w:spacing w:after="0" w:line="167"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Specimen Warrant Certificate of the Registrant.</w:t>
              </w:r>
            </w:hyperlink>
          </w:p>
        </w:tc>
        <w:tc>
          <w:tcPr>
            <w:tcW w:w="9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0" w:type="dxa"/>
            <w:vAlign w:val="bottom"/>
          </w:tcPr>
          <w:p>
            <w:pPr>
              <w:ind w:left="20"/>
              <w:spacing w:after="0" w:line="167" w:lineRule="exact"/>
              <w:rPr>
                <w:rFonts w:ascii="Times New Roman" w:cs="Times New Roman" w:eastAsia="Times New Roman" w:hAnsi="Times New Roman"/>
                <w:sz w:val="15"/>
                <w:szCs w:val="15"/>
                <w:color w:val="0000FF"/>
                <w:w w:val="85"/>
              </w:rPr>
            </w:pPr>
            <w:hyperlink r:id="rId144">
              <w:r>
                <w:rPr>
                  <w:rFonts w:ascii="Times New Roman" w:cs="Times New Roman" w:eastAsia="Times New Roman" w:hAnsi="Times New Roman"/>
                  <w:sz w:val="15"/>
                  <w:szCs w:val="15"/>
                  <w:color w:val="0000FF"/>
                  <w:w w:val="85"/>
                </w:rPr>
                <w:t>4.</w:t>
              </w:r>
              <w:r>
                <w:rPr>
                  <w:rFonts w:ascii="Times New Roman" w:cs="Times New Roman" w:eastAsia="Times New Roman" w:hAnsi="Times New Roman"/>
                  <w:sz w:val="15"/>
                  <w:szCs w:val="15"/>
                  <w:u w:val="single" w:color="auto"/>
                  <w:color w:val="0000FF"/>
                  <w:w w:val="85"/>
                </w:rPr>
                <w:t>3</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Specimen Common Stock Certificate.</w:t>
              </w:r>
            </w:hyperlink>
          </w:p>
        </w:tc>
        <w:tc>
          <w:tcPr>
            <w:tcW w:w="0" w:type="dxa"/>
            <w:vAlign w:val="bottom"/>
          </w:tcPr>
          <w:p>
            <w:pPr>
              <w:spacing w:after="0"/>
              <w:rPr>
                <w:sz w:val="1"/>
                <w:szCs w:val="1"/>
                <w:color w:val="auto"/>
              </w:rPr>
            </w:pPr>
          </w:p>
        </w:tc>
      </w:tr>
      <w:tr>
        <w:trPr>
          <w:trHeight w:val="20"/>
        </w:trPr>
        <w:tc>
          <w:tcPr>
            <w:tcW w:w="2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color w:val="0000FF"/>
                <w:w w:val="91"/>
              </w:rPr>
              <w:t>31.</w:t>
            </w:r>
            <w:r>
              <w:rPr>
                <w:rFonts w:ascii="Times New Roman" w:cs="Times New Roman" w:eastAsia="Times New Roman" w:hAnsi="Times New Roman"/>
                <w:sz w:val="15"/>
                <w:szCs w:val="15"/>
                <w:u w:val="single" w:color="auto"/>
                <w:color w:val="0000FF"/>
                <w:w w:val="91"/>
              </w:rPr>
              <w:t>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sz w:val="20"/>
                <w:szCs w:val="20"/>
                <w:color w:val="auto"/>
              </w:rPr>
            </w:pPr>
            <w:r>
              <w:rPr>
                <w:rFonts w:ascii="Times New Roman" w:cs="Times New Roman" w:eastAsia="Times New Roman" w:hAnsi="Times New Roman"/>
                <w:sz w:val="15"/>
                <w:szCs w:val="15"/>
                <w:color w:val="0000FF"/>
              </w:rPr>
              <w:t>Certification of Chief Executive Officer pursuant to Rule 13a-14(a)/15d-14(a).</w:t>
            </w:r>
          </w:p>
        </w:tc>
        <w:tc>
          <w:tcPr>
            <w:tcW w:w="0" w:type="dxa"/>
            <w:vAlign w:val="bottom"/>
          </w:tcPr>
          <w:p>
            <w:pPr>
              <w:spacing w:after="0"/>
              <w:rPr>
                <w:sz w:val="1"/>
                <w:szCs w:val="1"/>
                <w:color w:val="auto"/>
              </w:rPr>
            </w:pPr>
          </w:p>
        </w:tc>
      </w:tr>
      <w:tr>
        <w:trPr>
          <w:trHeight w:val="20"/>
        </w:trPr>
        <w:tc>
          <w:tcPr>
            <w:tcW w:w="3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color w:val="0000FF"/>
                <w:w w:val="91"/>
              </w:rPr>
              <w:t>31.</w:t>
            </w:r>
            <w:r>
              <w:rPr>
                <w:rFonts w:ascii="Times New Roman" w:cs="Times New Roman" w:eastAsia="Times New Roman" w:hAnsi="Times New Roman"/>
                <w:sz w:val="15"/>
                <w:szCs w:val="15"/>
                <w:u w:val="single" w:color="auto"/>
                <w:color w:val="0000FF"/>
                <w:w w:val="91"/>
              </w:rPr>
              <w:t>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sz w:val="20"/>
                <w:szCs w:val="20"/>
                <w:color w:val="auto"/>
              </w:rPr>
            </w:pPr>
            <w:r>
              <w:rPr>
                <w:rFonts w:ascii="Times New Roman" w:cs="Times New Roman" w:eastAsia="Times New Roman" w:hAnsi="Times New Roman"/>
                <w:sz w:val="15"/>
                <w:szCs w:val="15"/>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3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color w:val="0000FF"/>
                <w:w w:val="91"/>
              </w:rPr>
              <w:t>32.</w:t>
            </w:r>
            <w:r>
              <w:rPr>
                <w:rFonts w:ascii="Times New Roman" w:cs="Times New Roman" w:eastAsia="Times New Roman" w:hAnsi="Times New Roman"/>
                <w:sz w:val="15"/>
                <w:szCs w:val="15"/>
                <w:u w:val="single" w:color="auto"/>
                <w:color w:val="0000FF"/>
                <w:w w:val="91"/>
              </w:rPr>
              <w:t>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sz w:val="20"/>
                <w:szCs w:val="20"/>
                <w:color w:val="auto"/>
              </w:rPr>
            </w:pPr>
            <w:r>
              <w:rPr>
                <w:rFonts w:ascii="Times New Roman" w:cs="Times New Roman" w:eastAsia="Times New Roman" w:hAnsi="Times New Roman"/>
                <w:sz w:val="15"/>
                <w:szCs w:val="15"/>
                <w:color w:val="0000FF"/>
              </w:rPr>
              <w:t>Certification of Chief Executive Officer pursuant to 18 U.S.C. Section 1350.</w:t>
            </w:r>
          </w:p>
        </w:tc>
        <w:tc>
          <w:tcPr>
            <w:tcW w:w="0" w:type="dxa"/>
            <w:vAlign w:val="bottom"/>
          </w:tcPr>
          <w:p>
            <w:pPr>
              <w:spacing w:after="0"/>
              <w:rPr>
                <w:sz w:val="1"/>
                <w:szCs w:val="1"/>
                <w:color w:val="auto"/>
              </w:rPr>
            </w:pPr>
          </w:p>
        </w:tc>
      </w:tr>
      <w:tr>
        <w:trPr>
          <w:trHeight w:val="20"/>
        </w:trPr>
        <w:tc>
          <w:tcPr>
            <w:tcW w:w="3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5"/>
                <w:szCs w:val="15"/>
                <w:color w:val="0000FF"/>
                <w:w w:val="91"/>
              </w:rPr>
              <w:t>32.</w:t>
            </w:r>
            <w:r>
              <w:rPr>
                <w:rFonts w:ascii="Times New Roman" w:cs="Times New Roman" w:eastAsia="Times New Roman" w:hAnsi="Times New Roman"/>
                <w:sz w:val="15"/>
                <w:szCs w:val="15"/>
                <w:u w:val="single" w:color="auto"/>
                <w:color w:val="0000FF"/>
                <w:w w:val="91"/>
              </w:rPr>
              <w:t>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7" w:lineRule="exact"/>
              <w:rPr>
                <w:sz w:val="20"/>
                <w:szCs w:val="20"/>
                <w:color w:val="auto"/>
              </w:rPr>
            </w:pPr>
            <w:r>
              <w:rPr>
                <w:rFonts w:ascii="Times New Roman" w:cs="Times New Roman" w:eastAsia="Times New Roman" w:hAnsi="Times New Roman"/>
                <w:sz w:val="15"/>
                <w:szCs w:val="15"/>
                <w:color w:val="0000FF"/>
              </w:rPr>
              <w:t>Certification of Chief Financial Officer pursuant to 18 U.S.C. Section 1350.</w:t>
            </w:r>
          </w:p>
        </w:tc>
        <w:tc>
          <w:tcPr>
            <w:tcW w:w="0" w:type="dxa"/>
            <w:vAlign w:val="bottom"/>
          </w:tcPr>
          <w:p>
            <w:pPr>
              <w:spacing w:after="0"/>
              <w:rPr>
                <w:sz w:val="1"/>
                <w:szCs w:val="1"/>
                <w:color w:val="auto"/>
              </w:rPr>
            </w:pPr>
          </w:p>
        </w:tc>
      </w:tr>
      <w:tr>
        <w:trPr>
          <w:trHeight w:val="20"/>
        </w:trPr>
        <w:tc>
          <w:tcPr>
            <w:tcW w:w="3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13"/>
          </w:tcPr>
          <w:p>
            <w:pPr>
              <w:spacing w:after="0" w:line="162" w:lineRule="exact"/>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13"/>
          </w:tcPr>
          <w:p>
            <w:pPr>
              <w:spacing w:after="0" w:line="151" w:lineRule="exact"/>
              <w:rPr>
                <w:sz w:val="20"/>
                <w:szCs w:val="20"/>
                <w:color w:val="auto"/>
              </w:rPr>
            </w:pPr>
            <w:r>
              <w:rPr>
                <w:rFonts w:ascii="Times New Roman" w:cs="Times New Roman" w:eastAsia="Times New Roman" w:hAnsi="Times New Roman"/>
                <w:sz w:val="15"/>
                <w:szCs w:val="15"/>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document.</w:t>
            </w:r>
          </w:p>
        </w:tc>
        <w:tc>
          <w:tcPr>
            <w:tcW w:w="0" w:type="dxa"/>
            <w:vAlign w:val="bottom"/>
          </w:tcPr>
          <w:p>
            <w:pPr>
              <w:spacing w:after="0"/>
              <w:rPr>
                <w:sz w:val="1"/>
                <w:szCs w:val="1"/>
                <w:color w:val="auto"/>
              </w:rPr>
            </w:pPr>
          </w:p>
        </w:tc>
      </w:tr>
      <w:tr>
        <w:trPr>
          <w:trHeight w:val="186"/>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0" w:type="dxa"/>
            <w:vAlign w:val="bottom"/>
          </w:tcPr>
          <w:p>
            <w:pPr>
              <w:spacing w:after="0"/>
              <w:rPr>
                <w:sz w:val="1"/>
                <w:szCs w:val="1"/>
                <w:color w:val="auto"/>
              </w:rPr>
            </w:pPr>
          </w:p>
        </w:tc>
      </w:tr>
      <w:tr>
        <w:trPr>
          <w:trHeight w:val="186"/>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86"/>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86"/>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96"/>
        </w:trPr>
        <w:tc>
          <w:tcPr>
            <w:tcW w:w="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bl>
    <w:p>
      <w:pPr>
        <w:ind w:left="1100" w:right="180" w:hanging="1080"/>
        <w:spacing w:after="0" w:line="241" w:lineRule="auto"/>
        <w:tabs>
          <w:tab w:leader="none" w:pos="110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(as formatted as Inline XBRL and contained in Exhibit 101).</w:t>
      </w:r>
    </w:p>
    <w:p>
      <w:pPr>
        <w:spacing w:after="0" w:line="3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 Filed herewith.</w:t>
      </w:r>
    </w:p>
    <w:p>
      <w:pPr>
        <w:spacing w:after="0" w:line="14" w:lineRule="exact"/>
        <w:rPr>
          <w:rFonts w:ascii="Times New Roman" w:cs="Times New Roman" w:eastAsia="Times New Roman" w:hAnsi="Times New Roman"/>
          <w:sz w:val="15"/>
          <w:szCs w:val="15"/>
          <w:color w:val="auto"/>
        </w:rPr>
      </w:pPr>
    </w:p>
    <w:p>
      <w:pPr>
        <w:ind w:left="180" w:hanging="174"/>
        <w:spacing w:after="0"/>
        <w:tabs>
          <w:tab w:leader="none" w:pos="1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28"/>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4"/>
        </w:trPr>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S-4</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333-252638</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2.1</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8"/>
              </w:rPr>
              <w:t>2/2/21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8-K/A</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001-39314</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3.1</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rPr>
              <w:t>6/23/21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8-K/A</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001-39314</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3.2</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rPr>
              <w:t>6/23/21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8-K</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001-39314</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4.1</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rPr>
              <w:t>6/11/20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S-1</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333-238583</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4.3</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8"/>
              </w:rPr>
              <w:t>6/5/20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S-4</w:t>
            </w:r>
          </w:p>
        </w:tc>
        <w:tc>
          <w:tcPr>
            <w:tcW w:w="124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333-252638</w:t>
            </w:r>
          </w:p>
        </w:tc>
        <w:tc>
          <w:tcPr>
            <w:tcW w:w="80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5"/>
              </w:rPr>
              <w:t>4.5</w:t>
            </w:r>
          </w:p>
        </w:tc>
        <w:tc>
          <w:tcPr>
            <w:tcW w:w="10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rPr>
              <w:t>5/20/21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3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2">
            <w:col w:w="6120" w:space="120"/>
            <w:col w:w="4780"/>
          </w:cols>
          <w:pgMar w:left="320" w:top="638" w:right="559" w:bottom="1440" w:gutter="0" w:footer="0" w:header="0"/>
        </w:sectPr>
      </w:pPr>
    </w:p>
    <w:bookmarkStart w:id="32" w:name="page33"/>
    <w:bookmarkEnd w:id="3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94" w:lineRule="exact"/>
        <w:rPr>
          <w:sz w:val="20"/>
          <w:szCs w:val="20"/>
          <w:color w:val="auto"/>
        </w:rPr>
      </w:pPr>
    </w:p>
    <w:p>
      <w:pPr>
        <w:ind w:left="5340" w:right="3260" w:hanging="6149"/>
        <w:spacing w:after="0" w:line="250" w:lineRule="auto"/>
        <w:tabs>
          <w:tab w:leader="none" w:pos="53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-126365</wp:posOffset>
            </wp:positionV>
            <wp:extent cx="32289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72" w:lineRule="exact"/>
        <w:rPr>
          <w:sz w:val="20"/>
          <w:szCs w:val="20"/>
          <w:color w:val="auto"/>
        </w:rPr>
      </w:pPr>
    </w:p>
    <w:p>
      <w:pPr>
        <w:ind w:left="20"/>
        <w:spacing w:after="0"/>
        <w:tabs>
          <w:tab w:leader="none" w:pos="5320" w:val="left"/>
          <w:tab w:leader="none" w:pos="61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15240</wp:posOffset>
            </wp:positionV>
            <wp:extent cx="32289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Jennifer Fulk</w:t>
      </w: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532" w:right="5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Braunstein, certify that:</w:t>
      </w:r>
    </w:p>
    <w:p>
      <w:pPr>
        <w:spacing w:after="0" w:line="206" w:lineRule="exact"/>
        <w:rPr>
          <w:sz w:val="20"/>
          <w:szCs w:val="20"/>
          <w:color w:val="auto"/>
        </w:rPr>
      </w:pPr>
    </w:p>
    <w:p>
      <w:pPr>
        <w:ind w:left="520" w:hanging="514"/>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18" w:lineRule="exact"/>
        <w:rPr>
          <w:rFonts w:ascii="Times New Roman" w:cs="Times New Roman" w:eastAsia="Times New Roman" w:hAnsi="Times New Roman"/>
          <w:sz w:val="18"/>
          <w:szCs w:val="18"/>
          <w:color w:val="auto"/>
        </w:rPr>
      </w:pPr>
    </w:p>
    <w:p>
      <w:pPr>
        <w:jc w:val="both"/>
        <w:ind w:left="520" w:hanging="514"/>
        <w:spacing w:after="0" w:line="24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520" w:hanging="514"/>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20" w:hanging="514"/>
        <w:spacing w:after="0" w:line="253"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jc w:val="both"/>
        <w:ind w:left="1020" w:hanging="505"/>
        <w:spacing w:after="0" w:line="24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ind w:left="520" w:hanging="514"/>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380" w:right="3440" w:hanging="6162"/>
        <w:spacing w:after="0" w:line="250" w:lineRule="auto"/>
        <w:tabs>
          <w:tab w:leader="none" w:pos="536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-126365</wp:posOffset>
            </wp:positionV>
            <wp:extent cx="3220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322072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06" w:lineRule="exact"/>
        <w:rPr>
          <w:sz w:val="20"/>
          <w:szCs w:val="20"/>
          <w:color w:val="auto"/>
        </w:rPr>
      </w:pPr>
    </w:p>
    <w:p>
      <w:pPr>
        <w:ind w:left="520" w:hanging="514"/>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18" w:lineRule="exact"/>
        <w:rPr>
          <w:rFonts w:ascii="Times New Roman" w:cs="Times New Roman" w:eastAsia="Times New Roman" w:hAnsi="Times New Roman"/>
          <w:sz w:val="18"/>
          <w:szCs w:val="18"/>
          <w:color w:val="auto"/>
        </w:rPr>
      </w:pPr>
    </w:p>
    <w:p>
      <w:pPr>
        <w:jc w:val="both"/>
        <w:ind w:left="520" w:hanging="514"/>
        <w:spacing w:after="0" w:line="24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520" w:hanging="514"/>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520" w:hanging="514"/>
        <w:spacing w:after="0" w:line="253"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jc w:val="both"/>
        <w:ind w:left="1020" w:hanging="505"/>
        <w:spacing w:after="0" w:line="24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ind w:left="520" w:hanging="514"/>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020" w:hanging="505"/>
        <w:spacing w:after="0" w:line="26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380" w:val="left"/>
          <w:tab w:leader="none" w:pos="61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15240</wp:posOffset>
            </wp:positionV>
            <wp:extent cx="32372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Jennifer Fulk</w:t>
      </w: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60"/>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5" w:lineRule="exact"/>
        <w:rPr>
          <w:rFonts w:ascii="Times New Roman" w:cs="Times New Roman" w:eastAsia="Times New Roman" w:hAnsi="Times New Roman"/>
          <w:sz w:val="18"/>
          <w:szCs w:val="18"/>
          <w:color w:val="auto"/>
        </w:rPr>
      </w:pPr>
    </w:p>
    <w:p>
      <w:pPr>
        <w:ind w:left="900" w:hanging="360"/>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5340" w:val="left"/>
          <w:tab w:leader="none" w:pos="614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15240</wp:posOffset>
            </wp:positionV>
            <wp:extent cx="32372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Douglas Braunstein</w:t>
      </w:r>
    </w:p>
    <w:p>
      <w:pPr>
        <w:ind w:left="61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60"/>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5" w:lineRule="exact"/>
        <w:rPr>
          <w:rFonts w:ascii="Times New Roman" w:cs="Times New Roman" w:eastAsia="Times New Roman" w:hAnsi="Times New Roman"/>
          <w:sz w:val="18"/>
          <w:szCs w:val="18"/>
          <w:color w:val="auto"/>
        </w:rPr>
      </w:pPr>
    </w:p>
    <w:p>
      <w:pPr>
        <w:ind w:left="900" w:hanging="360"/>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left="20"/>
        <w:spacing w:after="0"/>
        <w:tabs>
          <w:tab w:leader="none" w:pos="5360" w:val="left"/>
          <w:tab w:leader="none" w:pos="616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15240</wp:posOffset>
            </wp:positionV>
            <wp:extent cx="32207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322072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Jennifer Fulk</w:t>
      </w: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446405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36" Type="http://schemas.openxmlformats.org/officeDocument/2006/relationships/hyperlink" Target="https://www.sec.gov/Archives/edgar/data/1803901/000119312521025013/d119648ds4.htm#rom119648_45" TargetMode="External"/><Relationship Id="rId137" Type="http://schemas.openxmlformats.org/officeDocument/2006/relationships/hyperlink" Target="https://www.sec.gov/Archives/edgar/data/1803901/000119312521025013/d119648ds4.htm" TargetMode="External"/><Relationship Id="rId138" Type="http://schemas.openxmlformats.org/officeDocument/2006/relationships/hyperlink" Target="https://www.sec.gov/Archives/edgar/data/1803901/000119312521197385/d182715dex31.htm" TargetMode="External"/><Relationship Id="rId139" Type="http://schemas.openxmlformats.org/officeDocument/2006/relationships/hyperlink" Target="https://www.sec.gov/Archives/edgar/data/1803901/000119312521197385/d182715dex32.htm" TargetMode="External"/><Relationship Id="rId140" Type="http://schemas.openxmlformats.org/officeDocument/2006/relationships/hyperlink" Target="https://www.sec.gov/Archives/edgar/data/0001803901/000119312520166711/d937996dex41.htm" TargetMode="External"/><Relationship Id="rId141" Type="http://schemas.openxmlformats.org/officeDocument/2006/relationships/hyperlink" Target="https://www.sec.gov/Archives/edgar/data/1803901/000119312520166711/d937996dex41.htm" TargetMode="External"/><Relationship Id="rId142" Type="http://schemas.openxmlformats.org/officeDocument/2006/relationships/hyperlink" Target="https://www.sec.gov/Archives/edgar/data/0001803901/000119312520161434/d846732dex43.htm" TargetMode="External"/><Relationship Id="rId143" Type="http://schemas.openxmlformats.org/officeDocument/2006/relationships/hyperlink" Target="https://www.sec.gov/Archives/edgar/data/1803901/000119312520161434/d846732dex43.htm" TargetMode="External"/><Relationship Id="rId144" Type="http://schemas.openxmlformats.org/officeDocument/2006/relationships/hyperlink" Target="https://www.sec.gov/Archives/edgar/data/0001803901/000119312521167533/d119648dex45.htm" TargetMode="External"/><Relationship Id="rId145" Type="http://schemas.openxmlformats.org/officeDocument/2006/relationships/hyperlink" Target="https://www.sec.gov/Archives/edgar/data/1803901/000119312521167533/d11964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2022-05-05T07:09:05Z</dcterms:created>
  <dcterms:modified xsi:type="dcterms:W3CDTF">2022-05-05T07:09:05Z</dcterms:modified>
</cp:coreProperties>
</file>