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3"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8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234" w:right="339" w:bottom="1440" w:gutter="0" w:footer="0" w:header="0"/>
          <w:type w:val="continuous"/>
        </w:sectPr>
      </w:pPr>
    </w:p>
    <w:tbl>
      <w:tblPr>
        <w:tblLayout w:type="fixed"/>
        <w:tblInd w:w="1280" w:type="dxa"/>
        <w:tblCellMar>
          <w:top w:w="0" w:type="dxa"/>
          <w:left w:w="0" w:type="dxa"/>
          <w:bottom w:w="0" w:type="dxa"/>
          <w:right w:w="0" w:type="dxa"/>
        </w:tblCellMar>
      </w:tblPr>
      <w:tr>
        <w:trPr>
          <w:trHeight w:val="238"/>
        </w:trPr>
        <w:tc>
          <w:tcPr>
            <w:tcW w:w="344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8"/>
              </w:rPr>
              <w:t>622 Third Avenue, New York, New York</w:t>
            </w:r>
          </w:p>
        </w:tc>
        <w:tc>
          <w:tcPr>
            <w:tcW w:w="40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4"/>
        </w:trPr>
        <w:tc>
          <w:tcPr>
            <w:tcW w:w="34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40" w:type="dxa"/>
            <w:vAlign w:val="bottom"/>
          </w:tcPr>
          <w:p>
            <w:pPr>
              <w:jc w:val="center"/>
              <w:ind w:left="329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3440" w:type="dxa"/>
            <w:vAlign w:val="bottom"/>
          </w:tcPr>
          <w:p>
            <w:pPr>
              <w:spacing w:after="0"/>
              <w:rPr>
                <w:sz w:val="24"/>
                <w:szCs w:val="24"/>
                <w:color w:val="auto"/>
              </w:rPr>
            </w:pPr>
          </w:p>
        </w:tc>
        <w:tc>
          <w:tcPr>
            <w:tcW w:w="40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(212) 284-7206</w:t>
            </w:r>
          </w:p>
        </w:tc>
      </w:tr>
    </w:tbl>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TALK</w:t>
            </w:r>
          </w:p>
        </w:tc>
        <w:tc>
          <w:tcPr>
            <w:tcW w:w="120" w:type="dxa"/>
            <w:vAlign w:val="bottom"/>
          </w:tcPr>
          <w:p>
            <w:pPr>
              <w:spacing w:after="0"/>
              <w:rPr>
                <w:sz w:val="17"/>
                <w:szCs w:val="17"/>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9"/>
                <w:szCs w:val="19"/>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69" w:lineRule="exact"/>
        <w:rPr>
          <w:sz w:val="24"/>
          <w:szCs w:val="24"/>
          <w:color w:val="auto"/>
        </w:rPr>
      </w:pPr>
    </w:p>
    <w:p>
      <w:pPr>
        <w:ind w:right="5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6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May 8, 2023, the registrant had 163,659,536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60" w:type="dxa"/>
            <w:vAlign w:val="bottom"/>
            <w:gridSpan w:val="3"/>
            <w:vMerge w:val="continue"/>
          </w:tcPr>
          <w:p>
            <w:pPr>
              <w:spacing w:after="0"/>
              <w:rPr>
                <w:sz w:val="17"/>
                <w:szCs w:val="17"/>
                <w:color w:val="auto"/>
              </w:rPr>
            </w:pPr>
          </w:p>
        </w:tc>
        <w:tc>
          <w:tcPr>
            <w:tcW w:w="9300" w:type="dxa"/>
            <w:vAlign w:val="bottom"/>
            <w:gridSpan w:val="2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2023 (unaudited) and December 31, 2022</w:t>
            </w:r>
          </w:p>
        </w:tc>
        <w:tc>
          <w:tcPr>
            <w:tcW w:w="20" w:type="dxa"/>
            <w:vAlign w:val="bottom"/>
            <w:tcBorders>
              <w:bottom w:val="single" w:sz="8" w:color="0000EE"/>
            </w:tcBorders>
          </w:tcPr>
          <w:p>
            <w:pPr>
              <w:spacing w:after="0"/>
              <w:rPr>
                <w:sz w:val="18"/>
                <w:szCs w:val="18"/>
                <w:color w:val="auto"/>
              </w:rPr>
            </w:pPr>
          </w:p>
        </w:tc>
        <w:tc>
          <w:tcPr>
            <w:tcW w:w="21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March 31, 2023 and 2022</w:t>
            </w:r>
          </w:p>
        </w:tc>
        <w:tc>
          <w:tcPr>
            <w:tcW w:w="8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(unaudited) for the three months ended March 31, 2023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2022</w:t>
            </w:r>
          </w:p>
        </w:tc>
        <w:tc>
          <w:tcPr>
            <w:tcW w:w="20" w:type="dxa"/>
            <w:vAlign w:val="bottom"/>
            <w:tcBorders>
              <w:bottom w:val="single" w:sz="8" w:color="0000EE"/>
            </w:tcBorders>
          </w:tcPr>
          <w:p>
            <w:pPr>
              <w:spacing w:after="0"/>
              <w:rPr>
                <w:sz w:val="17"/>
                <w:szCs w:val="17"/>
                <w:color w:val="auto"/>
              </w:rPr>
            </w:pPr>
          </w:p>
        </w:tc>
        <w:tc>
          <w:tcPr>
            <w:tcW w:w="86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3640" w:type="dxa"/>
            <w:vAlign w:val="bottom"/>
            <w:tcBorders>
              <w:top w:val="single" w:sz="8" w:color="0000FF"/>
            </w:tcBorders>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5"/>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4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125,083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7"/>
        </w:trPr>
        <w:tc>
          <w:tcPr>
            <w:tcW w:w="7480" w:type="dxa"/>
            <w:vAlign w:val="bottom"/>
            <w:gridSpan w:val="8"/>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141,356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152,557</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0"/>
        </w:trPr>
        <w:tc>
          <w:tcPr>
            <w:tcW w:w="7480" w:type="dxa"/>
            <w:vAlign w:val="bottom"/>
            <w:gridSpan w:val="8"/>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144,780</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156,254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7"/>
        </w:trPr>
        <w:tc>
          <w:tcPr>
            <w:tcW w:w="7480" w:type="dxa"/>
            <w:vAlign w:val="bottom"/>
            <w:gridSpan w:val="8"/>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6"/>
                <w:szCs w:val="16"/>
                <w:color w:val="auto"/>
              </w:rPr>
            </w:pPr>
          </w:p>
        </w:tc>
        <w:tc>
          <w:tcPr>
            <w:tcW w:w="14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21,597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27,318</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r>
      <w:tr>
        <w:trPr>
          <w:trHeight w:val="221"/>
        </w:trPr>
        <w:tc>
          <w:tcPr>
            <w:tcW w:w="20" w:type="dxa"/>
            <w:vAlign w:val="bottom"/>
            <w:shd w:val="clear" w:color="auto" w:fill="CFF0FC"/>
          </w:tcPr>
          <w:p>
            <w:pPr>
              <w:spacing w:after="0"/>
              <w:rPr>
                <w:sz w:val="19"/>
                <w:szCs w:val="19"/>
                <w:color w:val="auto"/>
              </w:rPr>
            </w:pPr>
          </w:p>
        </w:tc>
        <w:tc>
          <w:tcPr>
            <w:tcW w:w="7460" w:type="dxa"/>
            <w:vAlign w:val="bottom"/>
            <w:gridSpan w:val="7"/>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23,143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28,718</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46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15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Common stock of $0.0001 par value — Authorized: 1,000,000,000 shares at March 31, 2023 and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December 31, 2022; Issued and outstanding: 163,119,345 and 161,155,030 shares at March 31, 2023</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50"/>
        </w:trPr>
        <w:tc>
          <w:tcPr>
            <w:tcW w:w="748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381,581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378,722</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(259,960 )</w:t>
            </w: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(251,202 )</w:t>
            </w:r>
          </w:p>
        </w:tc>
      </w:tr>
      <w:tr>
        <w:trPr>
          <w:trHeight w:val="241"/>
        </w:trPr>
        <w:tc>
          <w:tcPr>
            <w:tcW w:w="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gridSpan w:val="5"/>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8"/>
              </w:rPr>
              <w:t>Total stockholders’ equity</w:t>
            </w:r>
          </w:p>
        </w:tc>
        <w:tc>
          <w:tcPr>
            <w:tcW w:w="558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121,637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127,536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4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144,780</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156,254</w:t>
            </w: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-3642360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-3007995</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-2047875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-1405255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0"/>
                <w:szCs w:val="20"/>
                <w:color w:val="auto"/>
              </w:rPr>
            </w:pPr>
          </w:p>
        </w:tc>
      </w:tr>
      <w:tr>
        <w:trPr>
          <w:trHeight w:val="237"/>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Pr>
          <w:p>
            <w:pPr>
              <w:spacing w:after="0"/>
              <w:rPr>
                <w:sz w:val="20"/>
                <w:szCs w:val="20"/>
                <w:color w:val="auto"/>
              </w:rPr>
            </w:pPr>
          </w:p>
        </w:tc>
      </w:tr>
      <w:tr>
        <w:trPr>
          <w:trHeight w:val="237"/>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(9,039 )</w:t>
            </w:r>
          </w:p>
        </w:tc>
        <w:tc>
          <w:tcPr>
            <w:tcW w:w="6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(21,208 )</w:t>
            </w:r>
          </w:p>
        </w:tc>
      </w:tr>
      <w:tr>
        <w:trPr>
          <w:trHeight w:val="24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4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(424 )</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(869 )</w:t>
            </w:r>
          </w:p>
        </w:tc>
      </w:tr>
      <w:tr>
        <w:trPr>
          <w:trHeight w:val="20"/>
        </w:trPr>
        <w:tc>
          <w:tcPr>
            <w:tcW w:w="68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48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(8,615 )</w:t>
            </w:r>
          </w:p>
        </w:tc>
        <w:tc>
          <w:tcPr>
            <w:tcW w:w="6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(20,339 )</w:t>
            </w:r>
          </w:p>
        </w:tc>
      </w:tr>
      <w:tr>
        <w:trPr>
          <w:trHeight w:val="243"/>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(8,758 )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(20,360 )</w:t>
            </w:r>
          </w:p>
        </w:tc>
      </w:tr>
      <w:tr>
        <w:trPr>
          <w:trHeight w:val="20"/>
        </w:trPr>
        <w:tc>
          <w:tcPr>
            <w:tcW w:w="6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r>
      <w:tr>
        <w:trPr>
          <w:trHeight w:val="214"/>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 net loss</w:t>
            </w: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161,797,781</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154,083,443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-2515235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-2515235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-1572260</wp:posOffset>
            </wp:positionV>
            <wp:extent cx="685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-1572260</wp:posOffset>
            </wp:positionV>
            <wp:extent cx="6858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-1255395</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-1255395</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-937895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-937895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40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22"/>
        </w:trPr>
        <w:tc>
          <w:tcPr>
            <w:tcW w:w="43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12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200" w:type="dxa"/>
            <w:vAlign w:val="bottom"/>
          </w:tcPr>
          <w:p>
            <w:pPr>
              <w:spacing w:after="0"/>
              <w:rPr>
                <w:sz w:val="10"/>
                <w:szCs w:val="10"/>
                <w:color w:val="auto"/>
              </w:rPr>
            </w:pPr>
          </w:p>
        </w:tc>
        <w:tc>
          <w:tcPr>
            <w:tcW w:w="1260" w:type="dxa"/>
            <w:vAlign w:val="bottom"/>
            <w:gridSpan w:val="2"/>
          </w:tcPr>
          <w:p>
            <w:pPr>
              <w:jc w:val="center"/>
              <w:ind w:right="359"/>
              <w:spacing w:after="0" w:line="11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20" w:type="dxa"/>
            <w:vAlign w:val="bottom"/>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12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240" w:type="dxa"/>
            <w:vAlign w:val="bottom"/>
          </w:tcPr>
          <w:p>
            <w:pPr>
              <w:spacing w:after="0"/>
              <w:rPr>
                <w:sz w:val="10"/>
                <w:szCs w:val="10"/>
                <w:color w:val="auto"/>
              </w:rPr>
            </w:pPr>
          </w:p>
        </w:tc>
        <w:tc>
          <w:tcPr>
            <w:tcW w:w="880" w:type="dxa"/>
            <w:vAlign w:val="bottom"/>
          </w:tcPr>
          <w:p>
            <w:pPr>
              <w:jc w:val="right"/>
              <w:ind w:right="28"/>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0"/>
                <w:szCs w:val="10"/>
                <w:color w:val="auto"/>
              </w:rPr>
            </w:pPr>
          </w:p>
        </w:tc>
        <w:tc>
          <w:tcPr>
            <w:tcW w:w="1260" w:type="dxa"/>
            <w:vAlign w:val="bottom"/>
            <w:gridSpan w:val="2"/>
          </w:tcPr>
          <w:p>
            <w:pPr>
              <w:jc w:val="center"/>
              <w:ind w:right="339"/>
              <w:spacing w:after="0" w:line="115" w:lineRule="exact"/>
              <w:rPr>
                <w:sz w:val="20"/>
                <w:szCs w:val="20"/>
                <w:color w:val="auto"/>
              </w:rPr>
            </w:pPr>
            <w:r>
              <w:rPr>
                <w:rFonts w:ascii="Times New Roman" w:cs="Times New Roman" w:eastAsia="Times New Roman" w:hAnsi="Times New Roman"/>
                <w:sz w:val="11"/>
                <w:szCs w:val="11"/>
                <w:b w:val="1"/>
                <w:bCs w:val="1"/>
                <w:color w:val="auto"/>
                <w:w w:val="95"/>
              </w:rPr>
              <w:t>deficit</w:t>
            </w:r>
          </w:p>
        </w:tc>
        <w:tc>
          <w:tcPr>
            <w:tcW w:w="260" w:type="dxa"/>
            <w:vAlign w:val="bottom"/>
          </w:tcPr>
          <w:p>
            <w:pPr>
              <w:spacing w:after="0"/>
              <w:rPr>
                <w:sz w:val="10"/>
                <w:szCs w:val="10"/>
                <w:color w:val="auto"/>
              </w:rPr>
            </w:pPr>
          </w:p>
        </w:tc>
        <w:tc>
          <w:tcPr>
            <w:tcW w:w="920" w:type="dxa"/>
            <w:vAlign w:val="bottom"/>
            <w:gridSpan w:val="2"/>
          </w:tcPr>
          <w:p>
            <w:pPr>
              <w:jc w:val="right"/>
              <w:ind w:right="52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6"/>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161,155,030</w:t>
            </w: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(251,202</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100" w:type="dxa"/>
            <w:vAlign w:val="bottom"/>
            <w:shd w:val="clear" w:color="auto" w:fill="CFF0FC"/>
          </w:tcPr>
          <w:p>
            <w:pPr>
              <w:spacing w:after="0"/>
              <w:rPr>
                <w:sz w:val="19"/>
                <w:szCs w:val="19"/>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1,739,265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9"/>
                <w:szCs w:val="19"/>
                <w:color w:val="auto"/>
              </w:rPr>
            </w:pPr>
          </w:p>
        </w:tc>
      </w:tr>
      <w:tr>
        <w:trPr>
          <w:trHeight w:val="23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225,050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Pr>
          <w:p>
            <w:pPr>
              <w:spacing w:after="0"/>
              <w:rPr>
                <w:sz w:val="19"/>
                <w:szCs w:val="19"/>
                <w:color w:val="auto"/>
              </w:rPr>
            </w:pPr>
          </w:p>
        </w:tc>
      </w:tr>
      <w:tr>
        <w:trPr>
          <w:trHeight w:val="22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(8,758 )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(8,758 )</w:t>
            </w:r>
          </w:p>
        </w:tc>
      </w:tr>
      <w:tr>
        <w:trPr>
          <w:trHeight w:val="23"/>
        </w:trPr>
        <w:tc>
          <w:tcPr>
            <w:tcW w:w="2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2023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163,119,345</w:t>
            </w:r>
          </w:p>
        </w:tc>
        <w:tc>
          <w:tcPr>
            <w:tcW w:w="240" w:type="dxa"/>
            <w:vAlign w:val="bottom"/>
          </w:tcPr>
          <w:p>
            <w:pPr>
              <w:spacing w:after="0"/>
              <w:rPr>
                <w:sz w:val="19"/>
                <w:szCs w:val="19"/>
                <w:color w:val="auto"/>
              </w:rPr>
            </w:pP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381,581</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(259,960 )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3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200" w:type="dxa"/>
            <w:vAlign w:val="bottom"/>
          </w:tcPr>
          <w:p>
            <w:pPr>
              <w:spacing w:after="0"/>
              <w:rPr>
                <w:sz w:val="11"/>
                <w:szCs w:val="11"/>
                <w:color w:val="auto"/>
              </w:rPr>
            </w:pPr>
          </w:p>
        </w:tc>
        <w:tc>
          <w:tcPr>
            <w:tcW w:w="1260" w:type="dxa"/>
            <w:vAlign w:val="bottom"/>
            <w:gridSpan w:val="2"/>
          </w:tcPr>
          <w:p>
            <w:pPr>
              <w:jc w:val="center"/>
              <w:ind w:right="359"/>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12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240" w:type="dxa"/>
            <w:vAlign w:val="bottom"/>
          </w:tcPr>
          <w:p>
            <w:pPr>
              <w:spacing w:after="0"/>
              <w:rPr>
                <w:sz w:val="10"/>
                <w:szCs w:val="10"/>
                <w:color w:val="auto"/>
              </w:rPr>
            </w:pPr>
          </w:p>
        </w:tc>
        <w:tc>
          <w:tcPr>
            <w:tcW w:w="880" w:type="dxa"/>
            <w:vAlign w:val="bottom"/>
          </w:tcPr>
          <w:p>
            <w:pPr>
              <w:jc w:val="right"/>
              <w:ind w:right="28"/>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0"/>
                <w:szCs w:val="10"/>
                <w:color w:val="auto"/>
              </w:rPr>
            </w:pPr>
          </w:p>
        </w:tc>
        <w:tc>
          <w:tcPr>
            <w:tcW w:w="1260" w:type="dxa"/>
            <w:vAlign w:val="bottom"/>
            <w:gridSpan w:val="2"/>
          </w:tcPr>
          <w:p>
            <w:pPr>
              <w:jc w:val="center"/>
              <w:ind w:right="339"/>
              <w:spacing w:after="0" w:line="115" w:lineRule="exact"/>
              <w:rPr>
                <w:sz w:val="20"/>
                <w:szCs w:val="20"/>
                <w:color w:val="auto"/>
              </w:rPr>
            </w:pPr>
            <w:r>
              <w:rPr>
                <w:rFonts w:ascii="Times New Roman" w:cs="Times New Roman" w:eastAsia="Times New Roman" w:hAnsi="Times New Roman"/>
                <w:sz w:val="11"/>
                <w:szCs w:val="11"/>
                <w:b w:val="1"/>
                <w:bCs w:val="1"/>
                <w:color w:val="auto"/>
                <w:w w:val="95"/>
              </w:rPr>
              <w:t>deficit</w:t>
            </w:r>
          </w:p>
        </w:tc>
        <w:tc>
          <w:tcPr>
            <w:tcW w:w="260" w:type="dxa"/>
            <w:vAlign w:val="bottom"/>
          </w:tcPr>
          <w:p>
            <w:pPr>
              <w:spacing w:after="0"/>
              <w:rPr>
                <w:sz w:val="10"/>
                <w:szCs w:val="10"/>
                <w:color w:val="auto"/>
              </w:rPr>
            </w:pPr>
          </w:p>
        </w:tc>
        <w:tc>
          <w:tcPr>
            <w:tcW w:w="920" w:type="dxa"/>
            <w:vAlign w:val="bottom"/>
            <w:gridSpan w:val="2"/>
          </w:tcPr>
          <w:p>
            <w:pPr>
              <w:jc w:val="right"/>
              <w:ind w:right="52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6"/>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(171,530</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100" w:type="dxa"/>
            <w:vAlign w:val="bottom"/>
            <w:shd w:val="clear" w:color="auto" w:fill="CFF0FC"/>
          </w:tcPr>
          <w:p>
            <w:pPr>
              <w:spacing w:after="0"/>
              <w:rPr>
                <w:sz w:val="19"/>
                <w:szCs w:val="19"/>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2,164,870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9"/>
                <w:szCs w:val="19"/>
                <w:color w:val="auto"/>
              </w:rPr>
            </w:pPr>
          </w:p>
        </w:tc>
      </w:tr>
      <w:tr>
        <w:trPr>
          <w:trHeight w:val="23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(67 )</w:t>
            </w: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9"/>
                <w:szCs w:val="19"/>
                <w:color w:val="auto"/>
              </w:rPr>
            </w:pPr>
          </w:p>
        </w:tc>
      </w:tr>
      <w:tr>
        <w:trPr>
          <w:trHeight w:val="230"/>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(20,360 )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(20,360 )</w:t>
            </w:r>
          </w:p>
        </w:tc>
      </w:tr>
      <w:tr>
        <w:trPr>
          <w:trHeight w:val="23"/>
        </w:trPr>
        <w:tc>
          <w:tcPr>
            <w:tcW w:w="2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2022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155,104,655</w:t>
            </w:r>
          </w:p>
        </w:tc>
        <w:tc>
          <w:tcPr>
            <w:tcW w:w="240" w:type="dxa"/>
            <w:vAlign w:val="bottom"/>
          </w:tcPr>
          <w:p>
            <w:pPr>
              <w:spacing w:after="0"/>
              <w:rPr>
                <w:sz w:val="19"/>
                <w:szCs w:val="19"/>
                <w:color w:val="auto"/>
              </w:rPr>
            </w:pP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368,152</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(191,890 )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-1559560</wp:posOffset>
            </wp:positionV>
            <wp:extent cx="7683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-1559560</wp:posOffset>
            </wp:positionV>
            <wp:extent cx="68580" cy="651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-1559560</wp:posOffset>
            </wp:positionV>
            <wp:extent cx="68580" cy="651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-1559560</wp:posOffset>
            </wp:positionV>
            <wp:extent cx="68580" cy="651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651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-179070</wp:posOffset>
            </wp:positionV>
            <wp:extent cx="7683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-179070</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685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685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Represents an amount lower than $1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17"/>
        </w:trPr>
        <w:tc>
          <w:tcPr>
            <w:tcW w:w="20" w:type="dxa"/>
            <w:vAlign w:val="bottom"/>
            <w:shd w:val="clear" w:color="auto" w:fill="CFF0FC"/>
          </w:tcPr>
          <w:p>
            <w:pPr>
              <w:spacing w:after="0"/>
              <w:rPr>
                <w:sz w:val="18"/>
                <w:szCs w:val="18"/>
                <w:color w:val="auto"/>
              </w:rPr>
            </w:pPr>
          </w:p>
        </w:tc>
        <w:tc>
          <w:tcPr>
            <w:tcW w:w="7600" w:type="dxa"/>
            <w:vAlign w:val="bottom"/>
            <w:gridSpan w:val="5"/>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2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478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FF0FC"/>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(8,758 )</w:t>
            </w:r>
          </w:p>
        </w:tc>
        <w:tc>
          <w:tcPr>
            <w:tcW w:w="58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(20,360 )</w:t>
            </w: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(2,820 )</w:t>
            </w:r>
          </w:p>
        </w:tc>
        <w:tc>
          <w:tcPr>
            <w:tcW w:w="5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20"/>
                <w:szCs w:val="20"/>
                <w:color w:val="auto"/>
              </w:rPr>
            </w:pP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Decrease in deferred revenues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(232 )</w:t>
            </w: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(1,160 )</w:t>
            </w: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(6,702 )</w:t>
            </w:r>
          </w:p>
        </w:tc>
        <w:tc>
          <w:tcPr>
            <w:tcW w:w="5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(1,837 )</w:t>
            </w: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(95 )</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37"/>
        </w:trPr>
        <w:tc>
          <w:tcPr>
            <w:tcW w:w="762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7620" w:type="dxa"/>
            <w:vAlign w:val="bottom"/>
            <w:gridSpan w:val="6"/>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(9 )</w:t>
            </w:r>
          </w:p>
        </w:tc>
        <w:tc>
          <w:tcPr>
            <w:tcW w:w="5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2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7620" w:type="dxa"/>
            <w:vAlign w:val="bottom"/>
            <w:gridSpan w:val="6"/>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(65 )</w:t>
            </w: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(558 )</w:t>
            </w:r>
          </w:p>
        </w:tc>
      </w:tr>
      <w:tr>
        <w:trPr>
          <w:trHeight w:val="236"/>
        </w:trPr>
        <w:tc>
          <w:tcPr>
            <w:tcW w:w="762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(13,462 )</w:t>
            </w: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(13,729 )</w:t>
            </w:r>
          </w:p>
        </w:tc>
      </w:tr>
      <w:tr>
        <w:trPr>
          <w:trHeight w:val="243"/>
        </w:trPr>
        <w:tc>
          <w:tcPr>
            <w:tcW w:w="762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125,083</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FF0FC"/>
          </w:tcPr>
          <w:p>
            <w:pPr>
              <w:spacing w:after="0"/>
              <w:rPr>
                <w:sz w:val="15"/>
                <w:szCs w:val="15"/>
                <w:color w:val="auto"/>
              </w:rPr>
            </w:pPr>
          </w:p>
        </w:tc>
        <w:tc>
          <w:tcPr>
            <w:tcW w:w="7600" w:type="dxa"/>
            <w:vAlign w:val="bottom"/>
            <w:gridSpan w:val="5"/>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Supplemental cash flow data:</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120" w:type="dxa"/>
            <w:vAlign w:val="bottom"/>
            <w:tcBorders>
              <w:top w:val="single" w:sz="8" w:color="auto"/>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78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762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-2236470</wp:posOffset>
            </wp:positionV>
            <wp:extent cx="7747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-1602105</wp:posOffset>
            </wp:positionV>
            <wp:extent cx="7747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-967740</wp:posOffset>
            </wp:positionV>
            <wp:extent cx="7747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-650875</wp:posOffset>
            </wp:positionV>
            <wp:extent cx="7747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Talkspace’s founding in 2012, the Company has connected millions of patients with licensed behavioral health providers across a wide and growing spectrum of care through virtual counseling, psychotherapy, and psychiatry.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three wholly owned subsidiaries, Talkspace LLC, Talkspace Network LLC and Groop Internet Platform LTD. In addition, the Company holds a variable interest in one professional association and six professional corporations, which have been established pursuant to the requirements of their respective domestic jurisdiction governing the corporate practice of medicine. See Note 11, “Variable Interest Entities,” in the notes to the condensed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 significant accounting policies applied in the annual consolidated financial statements of the Company as of December 31, 2022, have been applied consistently in these unaudited condensed consolidated financial statements, unless otherwise stated. These condensed consolidated financial statements should be read in conjunction with the consolidated financial statements as of and for the year ended December 31, 2022 included in the Company’s Annual Report on Form 10-K for the year ended December 31,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the preparation of the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financial statements include, but are not limited to, the recognition and disclosure of contingent liabilities,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reviewed recent accounting pronouncements and concluded that they are either not applicable to its business or that no material effect is expected on the condensed consolidated financial statements as a result of their future adoption.</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in accordance using the expected value method, as this method best predicts the amount of consideration to which the Company will be entitled based on the terms of its contracts.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its platform, Talkspace serves its business-to-business (“B2B”) channel, comprised of large health insurance plans and employee assistance programs (“Payors”), and large enterprise clients (“DTE”) who offer their insured members and employees access to the Company's platform at in-network reimbursement rates, or while their employer is under an active contract with Talkspace, where applicable, and its business-to-consumer (“Consumer”) channel, comprised of individual consumers who subscribe directly to the Company's platform.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contracts with Payors to provide its therapy and psychiatry services to their eligible covered members. Revenue is recognized at a point in time, as virtual therapy or psychiatry session is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using the expected value method primarily based on actual historical collection experience for each insurance payor over a twelve-month period. Revenue from Payors is presented net of implicit price concessions. Contracts with Payors include annual evergreen clauses and generally may be terminated by either party typically upon a minimum 60-day advance notice.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its therapist platform for their employees, primarily based on a per-member-per-month access fee model. Revenues from access fees are recognized ratably over the contractual term. The majority of contracts with enterprise clients typically range in length from one to three years and are generally non-cancelable during the initial contractual term.</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 is rendered. Members may cancel their subscription at any time and will receive a pro-rata refund for the subscription price. The transaction price from member subscription revenue and supplementary a la carte offerings includes variable consideration in the form of refunds. The Company estimates the refund liability for the variable consideration portion of the transaction price primarily based on historical experience. The refund liability is recorded within the “Accrued expenses and other current liabilities” line item in the condensed consolidated balance sheets. Revenue from individual consumers is presented net of refunds.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from sales to unaffiliated customers disaggregated by revenue source: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460" w:type="dxa"/>
            <w:vAlign w:val="bottom"/>
          </w:tcPr>
          <w:p>
            <w:pPr>
              <w:spacing w:after="0"/>
              <w:rPr>
                <w:sz w:val="20"/>
                <w:szCs w:val="20"/>
                <w:color w:val="auto"/>
              </w:rPr>
            </w:pPr>
          </w:p>
        </w:tc>
        <w:tc>
          <w:tcPr>
            <w:tcW w:w="1760" w:type="dxa"/>
            <w:vAlign w:val="bottom"/>
          </w:tcPr>
          <w:p>
            <w:pPr>
              <w:jc w:val="right"/>
              <w:ind w:right="737"/>
              <w:spacing w:after="0"/>
              <w:rPr>
                <w:sz w:val="20"/>
                <w:szCs w:val="20"/>
                <w:color w:val="auto"/>
              </w:rPr>
            </w:pPr>
            <w:r>
              <w:rPr>
                <w:rFonts w:ascii="Times New Roman" w:cs="Times New Roman" w:eastAsia="Times New Roman" w:hAnsi="Times New Roman"/>
                <w:sz w:val="14"/>
                <w:szCs w:val="14"/>
                <w:color w:val="auto"/>
              </w:rPr>
              <w:t>Unaudited</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20"/>
                <w:szCs w:val="20"/>
                <w:color w:val="auto"/>
              </w:rPr>
            </w:pPr>
          </w:p>
        </w:tc>
      </w:tr>
      <w:tr>
        <w:trPr>
          <w:trHeight w:val="243"/>
        </w:trPr>
        <w:tc>
          <w:tcPr>
            <w:tcW w:w="6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Payor 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shd w:val="clear" w:color="auto" w:fill="CFF0FC"/>
          </w:tcPr>
          <w:p>
            <w:pPr>
              <w:spacing w:after="0"/>
              <w:rPr>
                <w:sz w:val="21"/>
                <w:szCs w:val="21"/>
                <w:color w:val="auto"/>
              </w:rPr>
            </w:pPr>
          </w:p>
        </w:tc>
      </w:tr>
      <w:tr>
        <w:trPr>
          <w:trHeight w:val="239"/>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DTE revenue</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0"/>
                <w:szCs w:val="20"/>
                <w:color w:val="auto"/>
              </w:rPr>
            </w:pPr>
          </w:p>
        </w:tc>
      </w:tr>
      <w:tr>
        <w:trPr>
          <w:trHeight w:val="241"/>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B2B revenue</w:t>
            </w:r>
          </w:p>
        </w:tc>
        <w:tc>
          <w:tcPr>
            <w:tcW w:w="4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shd w:val="clear" w:color="auto" w:fill="CFF0FC"/>
          </w:tcPr>
          <w:p>
            <w:pPr>
              <w:spacing w:after="0"/>
              <w:rPr>
                <w:sz w:val="20"/>
                <w:szCs w:val="20"/>
                <w:color w:val="auto"/>
              </w:rPr>
            </w:pP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revenue</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tcPr>
          <w:p>
            <w:pPr>
              <w:spacing w:after="0"/>
              <w:rPr>
                <w:sz w:val="20"/>
                <w:szCs w:val="20"/>
                <w:color w:val="auto"/>
              </w:rPr>
            </w:pPr>
          </w:p>
        </w:tc>
      </w:tr>
      <w:tr>
        <w:trPr>
          <w:trHeight w:val="276"/>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Accounts receivables are stated net of credit losses allowance. The Company is exposed to credit losses primarily through its contracts with health insurance plans, employee assistance programs and enterprise clients. The Company’s methodology for estimating credit loss is based on historical collection experience, customer creditworthiness, current and future economic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was immaterial as of March 31, 2023 and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 to provide services. As of March 31, 2023, deferred revenue related mainly to the Company’s consumer channel. The Company expects to satisfy the majority of its performance obligations associated with deferred revenue within one year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accounted for as liabilities in accordance with ASC 815-40 and are presented within warrant liabilities in the accompanying condensed consolidated balance sheets. The warrant liabilities were measured at fair value at inception and thereafter on a recurring, quarterly basis, with changes in fair value presented within financial income, net, in the condensed consolidated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 during the three months ended March 31, 2023 and 2022: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 Liabilities</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For the Three Months Ended March 31, 2023 </w:t>
      </w:r>
      <w:r>
        <w:rPr>
          <w:rFonts w:ascii="Times New Roman" w:cs="Times New Roman" w:eastAsia="Times New Roman" w:hAnsi="Times New Roman"/>
          <w:sz w:val="14"/>
          <w:szCs w:val="14"/>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483"/>
        </w:trPr>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7"/>
        </w:trPr>
        <w:tc>
          <w:tcPr>
            <w:tcW w:w="22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gridSpan w:val="7"/>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 xml:space="preserve">For the three Months Ended March 31, 2022 </w:t>
            </w:r>
            <w:r>
              <w:rPr>
                <w:rFonts w:ascii="Times New Roman" w:cs="Times New Roman" w:eastAsia="Times New Roman" w:hAnsi="Times New Roman"/>
                <w:sz w:val="14"/>
                <w:szCs w:val="14"/>
                <w:color w:val="auto"/>
              </w:rPr>
              <w:t>(unaudited)</w:t>
            </w:r>
          </w:p>
        </w:tc>
      </w:tr>
      <w:tr>
        <w:trPr>
          <w:trHeight w:val="184"/>
        </w:trPr>
        <w:tc>
          <w:tcPr>
            <w:tcW w:w="220" w:type="dxa"/>
            <w:vAlign w:val="bottom"/>
          </w:tcPr>
          <w:p>
            <w:pPr>
              <w:spacing w:after="0"/>
              <w:rPr>
                <w:sz w:val="15"/>
                <w:szCs w:val="15"/>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Ending 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-702945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-8890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4220" w:space="720"/>
            <w:col w:w="6300"/>
          </w:cols>
          <w:pgMar w:left="320" w:top="126" w:right="339" w:bottom="1440" w:gutter="0" w:footer="0" w:header="0"/>
          <w:type w:val="continuous"/>
        </w:sectPr>
      </w:pPr>
    </w:p>
    <w:p>
      <w:pPr>
        <w:ind w:left="20"/>
        <w:spacing w:after="0"/>
        <w:tabs>
          <w:tab w:leader="none" w:pos="4940" w:val="left"/>
          <w:tab w:leader="none" w:pos="6300" w:val="left"/>
          <w:tab w:leader="none" w:pos="7000" w:val="left"/>
          <w:tab w:leader="none" w:pos="8620" w:val="left"/>
          <w:tab w:leader="none" w:pos="9220" w:val="left"/>
          <w:tab w:leader="none" w:pos="10700" w:val="left"/>
        </w:tabs>
        <w:rPr>
          <w:sz w:val="20"/>
          <w:szCs w:val="20"/>
          <w:color w:val="auto"/>
        </w:rPr>
      </w:pPr>
      <w:r>
        <w:rPr>
          <w:rFonts w:ascii="Times New Roman" w:cs="Times New Roman" w:eastAsia="Times New Roman" w:hAnsi="Times New Roman"/>
          <w:sz w:val="18"/>
          <w:szCs w:val="18"/>
          <w:color w:val="auto"/>
        </w:rPr>
        <w:t>Private Placement Warrants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4,070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(875 )</w:t>
        <w:tab/>
        <w:t>$</w:t>
      </w:r>
      <w:r>
        <w:rPr>
          <w:sz w:val="20"/>
          <w:szCs w:val="20"/>
          <w:color w:val="auto"/>
        </w:rPr>
        <w:tab/>
      </w:r>
      <w:r>
        <w:rPr>
          <w:rFonts w:ascii="Times New Roman" w:cs="Times New Roman" w:eastAsia="Times New Roman" w:hAnsi="Times New Roman"/>
          <w:sz w:val="17"/>
          <w:szCs w:val="17"/>
          <w:color w:val="auto"/>
        </w:rPr>
        <w:t>3,195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2022, the Company entered into a long-term lease agreement for new office space in New York, NY. This operating lease expires two years from the rent commencement date and has the option to be renewed for an additional year. The Company recognizes ROU lease asset and lease liability based on the present value of the future minimum lease payments at the lease commencement date. The Company did not include the renewal options as part of the ROU lease asset and lease liability at the commencement date as it was not reasonably certain that the renewal option will be exercised. The Company used incremental borrowing rates based on the estimated rate of interest for collateralized borrowing over a similar term of the lease payments at commencement date in determining the present value of future payments. As of March 31, 2023 the weighted-average remaining lease term was 1.83 years and weighted-average discount rate was 7.17%. As of March 31, 2023 and December 31, 2022, the ROU lease asset was of $0.4 million and is included within the "Other assets" line item in the condensed consolidated balance sheet. As of March 31, 2023 and December 31, 2022, the short-term portion of the lease liability was $0.2 million and is included within the "Accrued expenses and other current liabilities" line item in the condensed consolidated balance sheet. As of March 31, 2023 and December 31, 2022, the long-term portion of the lease liability was $0.2 million and $0.3 million, respectively, and is included within the "Other liabilities" line item in the condensed consolidated balance sheet. Operating lease cost recognized for the three months ended March 31, 2023 was $0.1 million.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wholly owned subsidiary, Groop Internet Platform LTD, located in Israel, leases its operating facilities under a month-to-month operating lease agreement. Leases with an initial term of 12 months or less are not recorded on the balance sheet. The Company recognizes rent expense for these leases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maturities of the Company’s lease liabilities as of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c>
          <w:tcPr>
            <w:tcW w:w="23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85"/>
        </w:trPr>
        <w:tc>
          <w:tcPr>
            <w:tcW w:w="84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3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43"/>
        </w:trPr>
        <w:tc>
          <w:tcPr>
            <w:tcW w:w="8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 remainder of 2023</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500" w:type="dxa"/>
            <w:vAlign w:val="bottom"/>
            <w:shd w:val="clear" w:color="auto" w:fill="CFF0FC"/>
          </w:tcPr>
          <w:p>
            <w:pPr>
              <w:spacing w:after="0"/>
              <w:rPr>
                <w:sz w:val="21"/>
                <w:szCs w:val="21"/>
                <w:color w:val="auto"/>
              </w:rPr>
            </w:pP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1"/>
        </w:trPr>
        <w:tc>
          <w:tcPr>
            <w:tcW w:w="8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CONTINGENT LIABILITIES</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2022, the Company and certain of its current and former officers and directors were named as defendants in securities class action complaints filed in the United States District Court for the Southern District of New York under the case headings: (1) Baron v. Talkspace et al., No. 22-cv-00163 (S.D.N.Y.) and (2) Valdez v. Talkspace et al., No. 22-cv-00840 (S.D.N.Y.), which were subsequently consolidated under the caption </w:t>
      </w:r>
      <w:r>
        <w:rPr>
          <w:rFonts w:ascii="Times New Roman" w:cs="Times New Roman" w:eastAsia="Times New Roman" w:hAnsi="Times New Roman"/>
          <w:sz w:val="18"/>
          <w:szCs w:val="18"/>
          <w:i w:val="1"/>
          <w:iCs w:val="1"/>
          <w:color w:val="auto"/>
        </w:rPr>
        <w:t>In re Talkspace,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Litigation</w:t>
      </w:r>
      <w:r>
        <w:rPr>
          <w:rFonts w:ascii="Times New Roman" w:cs="Times New Roman" w:eastAsia="Times New Roman" w:hAnsi="Times New Roman"/>
          <w:sz w:val="18"/>
          <w:szCs w:val="18"/>
          <w:color w:val="auto"/>
        </w:rPr>
        <w:t>, No. 22-cv-00163 (S.D.N.Y) (the “Securities Action”). The Securities Action asserts violations of sections 10(b), 14(a) and 20(a)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Exchange Act of 1934 and SEC Rules 10b-5 and 14a-9 promulgated thereunder. These actions generally relate to public disclosures and statements by the Company in connection with its merger with Hudson Executive Investment Corp. (“HEIC”).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2022, the Company’s subsidiary Tailwind Merger Sub II, LLC, certain of the Company’s current and former directors and officers, and others were named as defendants in a putative class action complaint filed in the Delaware Court of Chancery under the case caption </w:t>
      </w:r>
      <w:r>
        <w:rPr>
          <w:rFonts w:ascii="Times New Roman" w:cs="Times New Roman" w:eastAsia="Times New Roman" w:hAnsi="Times New Roman"/>
          <w:sz w:val="18"/>
          <w:szCs w:val="18"/>
          <w:i w:val="1"/>
          <w:iCs w:val="1"/>
          <w:color w:val="auto"/>
        </w:rPr>
        <w:t>Valdez v. Braunstein, et al.,</w:t>
      </w:r>
      <w:r>
        <w:rPr>
          <w:rFonts w:ascii="Times New Roman" w:cs="Times New Roman" w:eastAsia="Times New Roman" w:hAnsi="Times New Roman"/>
          <w:sz w:val="18"/>
          <w:szCs w:val="18"/>
          <w:color w:val="auto"/>
        </w:rPr>
        <w:t xml:space="preserve"> C.A. No. 2022-1148 (Del. Ch.) (the “Delaware Action”). The Delaware Action asserts claims for breach of fiduciary duty and aiding and abetting breach of fiduciary duty relating to the merger with HEIC, among other things, based on many of the same facts at issue in the Securities Action. The complaint seeks, among other things damages on behalf of putative class members who did not redeem their shares in connection with the Company’s merger with HEIC.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resolved the Securities Action and the Delaware Action through mediation. The settlement resolves these litigations with respect to all named defendants. The Company recorded an accrual for its respective share of the settlement agreement as of December 31, 2022. The settlement will have to be approved by the court, which the Company expects will occur in the third quarter of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and July 2022, two individuals filed stockholder derivative lawsuits on behalf of Talkspace in the United States District Court for the Southern District of New York under the case captions: (1) </w:t>
      </w:r>
      <w:r>
        <w:rPr>
          <w:rFonts w:ascii="Times New Roman" w:cs="Times New Roman" w:eastAsia="Times New Roman" w:hAnsi="Times New Roman"/>
          <w:sz w:val="18"/>
          <w:szCs w:val="18"/>
          <w:i w:val="1"/>
          <w:iCs w:val="1"/>
          <w:color w:val="auto"/>
        </w:rPr>
        <w:t>Odsvall v. Oren Frank et al.,</w:t>
      </w:r>
      <w:r>
        <w:rPr>
          <w:rFonts w:ascii="Times New Roman" w:cs="Times New Roman" w:eastAsia="Times New Roman" w:hAnsi="Times New Roman"/>
          <w:sz w:val="18"/>
          <w:szCs w:val="18"/>
          <w:color w:val="auto"/>
        </w:rPr>
        <w:t xml:space="preserve"> No. 22-cv-05016 (S.D.N.Y.) and (2) </w:t>
      </w:r>
      <w:r>
        <w:rPr>
          <w:rFonts w:ascii="Times New Roman" w:cs="Times New Roman" w:eastAsia="Times New Roman" w:hAnsi="Times New Roman"/>
          <w:sz w:val="18"/>
          <w:szCs w:val="18"/>
          <w:i w:val="1"/>
          <w:iCs w:val="1"/>
          <w:color w:val="auto"/>
        </w:rPr>
        <w:t>Nayman v. Berg, et al.,</w:t>
      </w:r>
      <w:r>
        <w:rPr>
          <w:rFonts w:ascii="Times New Roman" w:cs="Times New Roman" w:eastAsia="Times New Roman" w:hAnsi="Times New Roman"/>
          <w:sz w:val="18"/>
          <w:szCs w:val="18"/>
          <w:color w:val="auto"/>
        </w:rPr>
        <w:t xml:space="preserve"> No. 22-cv-06258 (S.D.N.Y.), which were subsequently consolidated under the caption </w:t>
      </w:r>
      <w:r>
        <w:rPr>
          <w:rFonts w:ascii="Times New Roman" w:cs="Times New Roman" w:eastAsia="Times New Roman" w:hAnsi="Times New Roman"/>
          <w:sz w:val="18"/>
          <w:szCs w:val="18"/>
          <w:i w:val="1"/>
          <w:iCs w:val="1"/>
          <w:color w:val="auto"/>
        </w:rPr>
        <w:t>In re Talkspace Stockholder Derivative Litigation</w:t>
      </w:r>
      <w:r>
        <w:rPr>
          <w:rFonts w:ascii="Times New Roman" w:cs="Times New Roman" w:eastAsia="Times New Roman" w:hAnsi="Times New Roman"/>
          <w:sz w:val="18"/>
          <w:szCs w:val="18"/>
          <w:color w:val="auto"/>
        </w:rPr>
        <w:t>, No. 22-cv-05016 (S.D.N.Y.) (the “Derivative Action”). The Derivative Action names certain of the Company’s current and former officers and directors as defendants and the Company as a nominal defendant. The Derivative Action asserts claims for violations of federal securities laws, breach of fiduciary duty, and aiding and abetting breaches of fiduciary duty relating to the merger with HEIC, among other things, based on many of the same facts at issue in the Securities Action.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the parties agreed to resolve the Derivative Action with respect to all named defendants in exchange for the Company’s agreement to implement certain changes to its Governance environment. The settlement will have to be approved by the court, which the Company expects will occur in the third quarter of 2023. The Company is responsible for payment of legal fees to the counsel representing the plaintiffs in the Derivative Action. The Company accrued the estimated total legal fees as of December 31, 2022.</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there were outstanding 12,780,000 Private Placement Warrants and 21,350,000 Public Warrants to purchase the Company’s common stock at an exercise price of $11.50 per share. As of March 31, 2023 and December 31, 2022, no shares of preferred stock were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the talent.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 As of March 31, 2023, no employee stock purchases have been made under the 2021 ESPP.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restricted stock units included in the respective components of operating expenses in the condensed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40" w:type="dxa"/>
            <w:vAlign w:val="bottom"/>
          </w:tcPr>
          <w:p>
            <w:pPr>
              <w:spacing w:after="0"/>
              <w:rPr>
                <w:sz w:val="14"/>
                <w:szCs w:val="14"/>
                <w:color w:val="auto"/>
              </w:rPr>
            </w:pP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15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2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380" w:type="dxa"/>
            <w:vAlign w:val="bottom"/>
            <w:gridSpan w:val="2"/>
            <w:shd w:val="clear" w:color="auto" w:fill="CFF0FC"/>
          </w:tcPr>
          <w:p>
            <w:pPr>
              <w:jc w:val="right"/>
              <w:ind w:right="106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52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4240" w:type="dxa"/>
            <w:vAlign w:val="bottom"/>
          </w:tcPr>
          <w:p>
            <w:pPr>
              <w:spacing w:after="0"/>
              <w:rPr>
                <w:sz w:val="24"/>
                <w:szCs w:val="24"/>
                <w:color w:val="auto"/>
              </w:rPr>
            </w:pPr>
          </w:p>
        </w:tc>
        <w:tc>
          <w:tcPr>
            <w:tcW w:w="314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-522605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-504825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6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579"/>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577"/>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(8,758 )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(20,360 )</w:t>
            </w: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161,797,781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(0.05 )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following were excluded from the calculation of diluted net loss per share since each would have had an anti-dilutive effect given the Company's net loss: 14,746,915 stock options, 11,549,261 restricted stock units, 12,780,000 Private Placement Warrants and 21,350,000 Public Warrants to purchase the Company’s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following were excluded from the calculation of diluted income per share since each would have had an anti-dilutive effect given the Company's net loss: 18,455,605 stock options, 5,450,924 restricted stock units, 12,780,000 Private Placement Warrants and 21,350,000 Public Warrants to purchase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unaudited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User acquisition</w:t>
            </w:r>
          </w:p>
        </w:tc>
        <w:tc>
          <w:tcPr>
            <w:tcW w:w="2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-668020</wp:posOffset>
            </wp:positionV>
            <wp:extent cx="7747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a variable interest in Talkspace Provider Network, PA (“TPN”) and certain affiliated professional entities (“PC entities”). TPN and the PC entities are VIEs. 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assets and liabilities of the Company's consolidated VIEs as of March 31, 2023 and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-882015</wp:posOffset>
            </wp:positionV>
            <wp:extent cx="138874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8745" cy="1797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-548005</wp:posOffset>
            </wp:positionV>
            <wp:extent cx="7747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2022.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2022 and “Forward-Looking Statements” sections and elsewhere in this Quarterly Report, our actual results may differ materially from those anticipated in these forward-looking statements.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three months ended March 31, 2023 and 2022. For a discussion of our results of operations, liquidity and capital resources for the three months ended March 31, 2021, see "Management's Discussion and Analysis of Financial Condition and Results of Operations" in Part I, Item 2 of our Quarterly Report on Form 10-Q for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and, since Talkspace’s founding in 2012,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business-to-business (“B2B”) channel, comprised of large health plans and employee assistance programs (“Payors”) such as Aetna, Cigna, Premera and Optum and large enterprise clients (“DTE”) such as Google and Expedia (collectively, our “clients”), who offer their insured members and employees access to our platform at in-network reimbursement rates, or while their employer is under an active contract with Talkspace, where applicable, and our business-to-consumer (“Consumer”) channel, comprised of individual consumers who subscribe directly to our platform.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2023, we had approximately 98 million B2B eligible lives and over 15,100 consumer active members. For the three months ended March 31, 2023, our clinicians completed 171,700 B2B sessions related to members covered under our health plan clients, as compared to 90,600 completed B2B sessions for the three months ended March 31, 2022. Please refer to the “Key Business Metrics” section below for a description of active members and B2B eligible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and as one reporting unit, which is how the chief operating decision maker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40" w:type="dxa"/>
            <w:vAlign w:val="bottom"/>
            <w:gridSpan w:val="3"/>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320" w:type="dxa"/>
            <w:vAlign w:val="bottom"/>
          </w:tcPr>
          <w:p>
            <w:pPr>
              <w:spacing w:after="0"/>
              <w:rPr>
                <w:sz w:val="16"/>
                <w:szCs w:val="16"/>
                <w:color w:val="auto"/>
              </w:rPr>
            </w:pPr>
          </w:p>
        </w:tc>
        <w:tc>
          <w:tcPr>
            <w:tcW w:w="2440" w:type="dxa"/>
            <w:vAlign w:val="bottom"/>
            <w:tcBorders>
              <w:bottom w:val="single" w:sz="8" w:color="auto"/>
            </w:tcBorders>
            <w:gridSpan w:val="3"/>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2320" w:type="dxa"/>
            <w:vAlign w:val="bottom"/>
          </w:tcPr>
          <w:p>
            <w:pPr>
              <w:spacing w:after="0"/>
              <w:rPr>
                <w:sz w:val="14"/>
                <w:szCs w:val="14"/>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B2B eligible lives at period end </w:t>
            </w:r>
            <w:r>
              <w:rPr>
                <w:rFonts w:ascii="Times New Roman" w:cs="Times New Roman" w:eastAsia="Times New Roman" w:hAnsi="Times New Roman"/>
                <w:sz w:val="18"/>
                <w:szCs w:val="18"/>
                <w:i w:val="1"/>
                <w:iCs w:val="1"/>
                <w:color w:val="auto"/>
              </w:rPr>
              <w:t>(in millions)</w:t>
            </w:r>
          </w:p>
        </w:tc>
        <w:tc>
          <w:tcPr>
            <w:tcW w:w="23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B2B sessions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period end</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period end</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Consumer active members at period end</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r>
      <w:tr>
        <w:trPr>
          <w:trHeight w:val="675"/>
        </w:trPr>
        <w:tc>
          <w:tcPr>
            <w:tcW w:w="5360" w:type="dxa"/>
            <w:vAlign w:val="bottom"/>
          </w:tcPr>
          <w:p>
            <w:pPr>
              <w:spacing w:after="0"/>
              <w:rPr>
                <w:sz w:val="24"/>
                <w:szCs w:val="24"/>
                <w:color w:val="auto"/>
              </w:rPr>
            </w:pPr>
          </w:p>
        </w:tc>
        <w:tc>
          <w:tcPr>
            <w:tcW w:w="23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B2B Eligible Lives: </w:t>
      </w:r>
      <w:r>
        <w:rPr>
          <w:rFonts w:ascii="Times New Roman" w:cs="Times New Roman" w:eastAsia="Times New Roman" w:hAnsi="Times New Roman"/>
          <w:sz w:val="18"/>
          <w:szCs w:val="18"/>
          <w:color w:val="auto"/>
        </w:rPr>
        <w:t>We consider B2B lives “eligible” if such persons are eligible to receive treatment on the Talkspace platform, in the case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B2B eligible lives than we actually serve.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members “active” (i) in the case of our B2B members, if such members have engaged on our platform during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days, such as sending a text, video or audio message to, or participating in a video call with, a provider, completing a satisfaction or progress report survey or signing up for our platform, and (ii) in the case of our consumer members, commencing on the date such member initiates contact with a provider on our platform until the term of their monthly, quarterly or bi-annual subscription plan expires, unless terminated early. While a growth in active members typically highlights strong engagement with our members, not all active members are associated with revenue in that particular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contract with health insurance plans, employee assistance organizations and enterprises to provide services to individuals who are qualified to receive access to the Company’s services through the Company’s commercial arrangements. We generate revenues from payments from insured members and claims paid by their respective insurance companies and from contracted platform access fees paid to us by our enterprise clients for the delivery of therapy services to their members or employees. We recognize revenues from services provided to insured members at a point in time, as virtual therapy or psychiatry session is rendered. We recognize revenue from our enterprise clients ratably over the contractual term based primarily on a per-member-per month access fee model.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generate revenues from the sale of monthly, quarterly, bi-annual and annual membership subscriptions to the Company's therapy platform as well as supplementary a la carte offerings directly to individual consumers through a subscription plan. We recognize member subscription revenues ratably over the subscription period, beginning when therapy services commence. We recognize revenues from supplementary a la carte offerings at a point in time, as virtual therapy session is rendered. Members may cancel their subscription at any time and will receive a pro-rata refund for the subscription price.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growth is generated from increasing our eligible covered lives through contracting with health plans, increasing utilization within eligible covered lives, expanding enterprise clients, and increasing membership subscriptions.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is comprised primarily of therapist payments. Cost of revenues is largely driven by the size of our provider network that is required to service the growth of our health plan and enterprise clients, in addition to the growth of our customer base.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authority to approve the payment of incentive bonuses to providers with certain licenses during periods of higher demand for providers with such licenses. For our employee providers, they receive a fixed-salary and discretionary bonuses, where applicable, all of which is included in cost of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however we expect further incremental increases to be minimal.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taxes on income consists primarily of foreign income taxes related to income generated by our subsidiary organized under the laws of Israel.</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2023 and 2022 and the dollar and percentage change between the respective periods: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 share and per share data)</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30,150</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16,588</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16,748</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15,021</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net</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Clinical operations, net</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(175 )</w:t>
            </w:r>
          </w:p>
        </w:tc>
        <w:tc>
          <w:tcPr>
            <w:tcW w:w="3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13,469</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21,408</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(7,939 )</w:t>
            </w:r>
          </w:p>
        </w:tc>
        <w:tc>
          <w:tcPr>
            <w:tcW w:w="3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(2,646 )</w:t>
            </w:r>
          </w:p>
        </w:tc>
        <w:tc>
          <w:tcPr>
            <w:tcW w:w="3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25,787</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36,229</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(10,442 )</w:t>
            </w:r>
          </w:p>
        </w:tc>
        <w:tc>
          <w:tcPr>
            <w:tcW w:w="3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(28.8 )</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46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(9,039 )</w:t>
            </w:r>
          </w:p>
        </w:tc>
        <w:tc>
          <w:tcPr>
            <w:tcW w:w="66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(21,208 )</w:t>
            </w: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income, net</w:t>
            </w:r>
          </w:p>
        </w:tc>
        <w:tc>
          <w:tcPr>
            <w:tcW w:w="4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(424 )</w:t>
            </w:r>
          </w:p>
        </w:tc>
        <w:tc>
          <w:tcPr>
            <w:tcW w:w="6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(869 )</w:t>
            </w:r>
          </w:p>
        </w:tc>
        <w:tc>
          <w:tcPr>
            <w:tcW w:w="7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(51.2 )</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 on income</w:t>
            </w:r>
          </w:p>
        </w:tc>
        <w:tc>
          <w:tcPr>
            <w:tcW w:w="46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(8,615 )</w:t>
            </w:r>
          </w:p>
        </w:tc>
        <w:tc>
          <w:tcPr>
            <w:tcW w:w="66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(20,339 )</w:t>
            </w: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on income</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(8,758 )</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(20,360 )</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increased by $3.2 million, or 10.6% to $33.3 million for the three months ended March 31, 2023 from</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$30.2 million for the three</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months ended March 31, 2022. The increase was principally due to a 70.6% growth in B2B revenue driven by a higher number of completed B2B sessions and an increase in covered lives from health plan clients and new enterprise clients, partially offset by a 39.9% decline in consumer subscription revenue. Revenue from our health plan clients increased by $6.7 million, or 82.7%, to $14.8 million for the three months ended March 31, 2023 from $8.1 million for the three months ended March 31, 2022. Enterprise client contracts increased by 38 clients, or 20.1%, to 227 clients as of March 31, 2023 from 189 clients as of March 31, 2022. This increase in the number of enterprise clients drove revenue to increase by $3.0 million, or 52.6% to $8.7 million for the three months ended March 31, 2023 from $5.7 million for the three months ended March 31, 2022. Consumer subscriptions revenue decreased by $6.6 million, or 39.9%, to $9.8 million for the three months ended March 31, 2023 from $16.4 million for the three months ended March 31, 2022, due to the Company's intentional and strategic decision to reduce marketing spend related to this service.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Costs of revenues. </w:t>
      </w:r>
      <w:r>
        <w:rPr>
          <w:rFonts w:ascii="Times New Roman" w:cs="Times New Roman" w:eastAsia="Times New Roman" w:hAnsi="Times New Roman"/>
          <w:sz w:val="18"/>
          <w:szCs w:val="18"/>
          <w:color w:val="auto"/>
        </w:rPr>
        <w:t>Cost of revenues increased by $1.5 million, or 9.6%, to $16.6 million for the three months ended March 31, 2023 from $15.1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2022, primarily due to increased hours worked by therapists to meet strong customer engagement.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increased by $1.7 million, or 11.5%, to $16.7 million for the three months ended March 31, 2023 from $15.0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2022. Gross margin was 50.2% for the three months ended March 31, 2023, compared to 49.8% during the three months ended March 31, 2022. The increase in gross margin was primarily driven by higher network productivity.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expenses increased by $0.3 million, or 6.3% to $5.3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 from $5.0 million for the three months ended March 31, 2022. This was primarily due to higher investments in our technology platform.</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Clinical operations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operations expenses decreased by $0.2 million, or 9.9% to $1.6 million for the three months ended March 31,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$1.8 million for the three months ended March 31, 2022. This was primarily due to a decrease in provider recruitment costs.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Sales and marketing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marketing expenses decreased by $7.9 million, or 37.1%, to $13.5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from $21.4 million for the three months ended March 31, 2022. The decrease in sales and marketing expenses was primarily driven by a decrease in direct marketing and promotional costs in order to optimize for profitability.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$2.6 million, or 33.0%, to $5.4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2023 from $8.0 million for the three months ended March 31, 2022. This was primarily due to a decrease in professional fees and subcontractor costs in connection with our path to profitability.</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Financial income, net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income, net was $0.4 million for the three months ended March 31, 2023, compared to financial income, net of $0.9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March 31, 2022. For the three months ended March 31, 2023 financial income, net was primarily driven by interest income earned on our money market accounts of $0.6 million partially offset by non-cash losses resulting from the remeasurement of warrant liabilities of $0.2 million. For the three months ended March 31, 2022 financial income, net was primarily driven by non-cash gains resulting from the remeasurement of warrant liabilities.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Taxes on income. </w:t>
      </w: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Israel.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depreciation and amortization, (ii) interest and other expenses (income), net, (iii) tax benefit and expense, and (iv) stock-based compensation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months ended March 31,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(8,758 )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(20,360 )</w:t>
            </w: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Financial income, net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21"/>
                <w:szCs w:val="21"/>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(424 )</w:t>
            </w:r>
          </w:p>
        </w:tc>
        <w:tc>
          <w:tcPr>
            <w:tcW w:w="5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(869 )</w:t>
            </w: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jc w:val="both"/>
        <w:ind w:firstLine="8"/>
        <w:spacing w:after="0" w:line="243" w:lineRule="auto"/>
        <w:tabs>
          <w:tab w:leader="none" w:pos="221"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2023, financial income, net, primarily consisted of $0.6 million of interest income from our money market accounts partially offset by $0.2 million in losses resulting from the remeasurement of warrant liabilities. For the three months ended March 31, 2022, financial income, net primarily consisted of $0.9 million in gains resulting from the remeasurement of warrant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we had $125.1 million of cash and cash equivalents ($138.5 million as of December 31, 2022), which we use to finance our operations and support a variety of growth initiatives and investments. We had no debt as of March 31, 2023. We expect to generate operating losses for the foreseeable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foreseeable future using available cash and cash equivalent balances as of March 31, 2023. However, in the future we may require additional capital to respond to technological advancements, competitive dynamics, customer demands, business opportunities,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capital.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(13,462 )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(13,729 )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52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-548005</wp:posOffset>
            </wp:positionV>
            <wp:extent cx="7683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cash used in operating activities was driven primarily by the positive impact of lower operating expenses offset by unfavorable timing of collections on receivables and payments of account payables and accrued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investing activities was driven primarily by an increase in the proceeds from the sale of computer equipment and a decrease in the purchases of computer equipment and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cash provided by financing activities was primarily driven by a decrease in the proceeds from the exercise of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did not have any short-term or long-term debt, or significant long-term liabilities.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2023, we have a long-term operating lease for our office space in New York, NY. See Note 5, “Leases” in the notes to the condensed consolidated financial statements for further details.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settlement was reached in February 2023 for certain class action lawsuits ending the ongoing litigation, see Item 1, “Legal Proceedings” in Part II, “Other Information” for further details. In addition, we may in the future be involved in various legal proceedings, claims and litigation that arise in the normal course of business. We accrue for estimated loss contingencies related to legal matters when available information indicates that it is probable a liability had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See Note 6, “Commitments and Contingent Liabilities” in the notes to the condensed consolidated financial statements for further details.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clients against liabilities if there is a breach of a client’s data or if our service infringes a third party’s intellectual property rights. To date, we have not incurred any material costs as a result of such indemnifications.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audited consolidated financial statements are summarized in Note 2 to those financial statements in the Company’s Annual Report on Form 10-K for the year ended December 31, 2022.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there were no material changes to matters discussed under the heading “Critical Accounting Policies and Estimates” in Part II, Item 7 of the Company’s Annual Report on Form 10-K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“Part I, Item 1. Financial Statements – Note 2 – Significant Accounting Policies” of this Quarterly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of the Company's Annual Report on Form 10-K for the fiscal year ended December 31, 2022.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2022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the Company's Annual Report on Form 10-K or any forward-looking statements we may publicly make from time-to-time, whether as a result of any new information, future events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there were no material changes to the information contained in Part II, Item 7A of the Company’s Annual Report on Form 10-K for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report, an evaluation was carried out under the supervision, and with the participation of, our management including our Chief Executive Officer (“CEO”) and Chief Financial Officer (“CFO”), of the effectiveness of the design and operation of our disclosure controls and procedures (as defined in Rules 13a-15(e) and 15d-15(e) under the Exchange Act of 1934, as amended (the “Act”)) as of March 31, 2023. Based upon the evaluation and although management has made significant progress in the design and implementation of IT and business process controls, our CEO and CFO concluded our disclosure controls and procedures are not effective as of such date solely due to material weaknesses in internal controls over financial reporting that were disclosed in our Annual Report on Form 10-K for the fiscal year ended December 31, 2022 and are discussed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described in Part II, Item 9A of our Annual Report on Form 10-K for the fiscal year ended December 31, 2022, we concluded that our internal control over financial reporting was not effective solely due to the existence of the following material weaknesses described in our Annual Report on Form 10-K for the fiscal year ended December 31, 2022:</w:t>
      </w:r>
    </w:p>
    <w:p>
      <w:pPr>
        <w:spacing w:after="0" w:line="284" w:lineRule="exact"/>
        <w:rPr>
          <w:sz w:val="20"/>
          <w:szCs w:val="20"/>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 ineffective ITGCs, or that use data produced from systems impacted by the ineffective ITGCs were deemed ineffective;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have an adequate process in place to monitor and provide oversight over the completion of its testing and assessment of the design and operating effectiveness of internal control over financial reporting in a timely manner.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weaknesses did not result in any identified misstatements to the financial statements, and there were no changes to previously released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the Material Weakness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 described above, as well as the continued improvement of the Company’s internal control over financial reporting. Management has implemented and continues to implement measures designed to ensure that control deficiencies contributing to the material weakness are remediated, such that these controls are designed, implemented and operating effectively.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Remediation efforts include but are not limited to, (a) hiring additional personnel with appropriate technical skill sets, (b) developing an execution plan and resourcing to test controls and providing timely feedback of any deficiencies noted to complete remediation (c) establishing a training program for the entire organization to support ongoing execution of internal controls and adherence to control activities (d) actively monitoring corrective actions and providing status reporting to leadership on the progress.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will test and evaluate the implementation of internal controls and revised processes to ascertain whether they are designed and operating effectively to provide reasonable assurance that they will prevent or detect a material error in our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once these actions have been completed, it will remediate the material weakness. The material weakness will not be considered remediated, however, until the applicable controls operate for a sufficient period of time and management has concluded, through testing, that controls are operating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March 31, 2023 which have materially affected, or are reasonably likely to materially affect, the Company’s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settlement was reached in February 2023 for certain class action lawsuits ending the ongoing litigation. The settlement for these lawsuits will have to be approved by the court, which the Company expects will occur in the third quarter of 2023. See Note 6, “Commitments and Contingent Liabilities” in the notes to the condensed consolidated financial statements for further details.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2022.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three months ended March 31, 2023, there were no material changes to the information contained in Part I, Item 1A of the Company's Annual Report on Form 10-K for the year ended December 31,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r>
      <w:tr>
        <w:trPr>
          <w:trHeight w:val="21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Furnished</w:t>
            </w:r>
          </w:p>
        </w:tc>
      </w:tr>
      <w:tr>
        <w:trPr>
          <w:trHeight w:val="235"/>
        </w:trPr>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gridSpan w:val="3"/>
          </w:tcPr>
          <w:p>
            <w:pPr>
              <w:ind w:left="36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r>
      <w:tr>
        <w:trPr>
          <w:trHeight w:val="405"/>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10"/>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09"/>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09"/>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237" w:lineRule="auto"/>
        <w:rPr>
          <w:sz w:val="20"/>
          <w:szCs w:val="20"/>
          <w:color w:val="auto"/>
        </w:rPr>
      </w:pPr>
      <w:r>
        <w:rPr>
          <w:rFonts w:ascii="Times New Roman" w:cs="Times New Roman" w:eastAsia="Times New Roman" w:hAnsi="Times New Roman"/>
          <w:sz w:val="15"/>
          <w:szCs w:val="15"/>
          <w:color w:val="auto"/>
        </w:rPr>
        <w:t>** Furnished herewith.</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7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7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5"/>
        </w:trPr>
        <w:tc>
          <w:tcPr>
            <w:tcW w:w="3420" w:type="dxa"/>
            <w:vAlign w:val="bottom"/>
          </w:tcPr>
          <w:p>
            <w:pPr>
              <w:spacing w:after="0"/>
              <w:rPr>
                <w:sz w:val="24"/>
                <w:szCs w:val="24"/>
                <w:color w:val="auto"/>
              </w:rPr>
            </w:pPr>
          </w:p>
        </w:tc>
        <w:tc>
          <w:tcPr>
            <w:tcW w:w="2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508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0"/>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60"/>
        </w:trPr>
        <w:tc>
          <w:tcPr>
            <w:tcW w:w="34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1"/>
        </w:trPr>
        <w:tc>
          <w:tcPr>
            <w:tcW w:w="3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34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2023-05-10T07:11:11Z</dcterms:created>
  <dcterms:modified xsi:type="dcterms:W3CDTF">2023-05-10T07:11:11Z</dcterms:modified>
</cp:coreProperties>
</file>