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10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No. 001-39314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HUDSON EXECUTIVE INVESTMENT CORP.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230"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84-4636604</w:t>
      </w:r>
    </w:p>
    <w:p>
      <w:pPr>
        <w:spacing w:after="0" w:line="31" w:lineRule="exact"/>
        <w:rPr>
          <w:sz w:val="24"/>
          <w:szCs w:val="24"/>
          <w:color w:val="auto"/>
        </w:rPr>
      </w:pPr>
    </w:p>
    <w:p>
      <w:pPr>
        <w:sectPr>
          <w:pgSz w:w="11900" w:h="16838" w:orient="portrait"/>
          <w:cols w:equalWidth="0" w:num="2">
            <w:col w:w="7300" w:space="720"/>
            <w:col w:w="3120"/>
          </w:cols>
          <w:pgMar w:left="320" w:top="230" w:right="439" w:bottom="0" w:gutter="0" w:footer="0" w:header="0"/>
          <w:type w:val="continuous"/>
        </w:sectPr>
      </w:pPr>
    </w:p>
    <w:p>
      <w:pPr>
        <w:spacing w:after="0" w:line="12"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180" w:space="720"/>
            <w:col w:w="3240"/>
          </w:cols>
          <w:pgMar w:left="320" w:top="230" w:right="439" w:bottom="0" w:gutter="0" w:footer="0" w:header="0"/>
          <w:type w:val="continuous"/>
        </w:sectPr>
      </w:pPr>
    </w:p>
    <w:p>
      <w:pPr>
        <w:spacing w:after="0" w:line="1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570 Lexington Avenue, 35th Floor</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New York, New York 10022</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(212) 521-8495</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ectPr>
          <w:pgSz w:w="11900" w:h="16838" w:orient="portrait"/>
          <w:cols w:equalWidth="0" w:num="1">
            <w:col w:w="11140"/>
          </w:cols>
          <w:pgMar w:left="320" w:top="230" w:right="439" w:bottom="0" w:gutter="0" w:footer="0" w:header="0"/>
          <w:type w:val="continuous"/>
        </w:sectPr>
      </w:pP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Units, each consisting of one share of Class A</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HECCU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common stock and one-half of one redeemable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Class A common stock, par value $0.0001 per</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HEC</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Warrants, each whole warrant exercisable for</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HECCW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one share of Class A common stock, each at an</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exercise price of $11.50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230" w:right="4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May 14, 2021, 41,400,000 Class A ordinary shares, $0.0001 par value, and 10,350,000 Class B ordinary shares, $0.0001 par value, were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0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6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PART 1 – FINANCIAL INFORMATION</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6"/>
        </w:trPr>
        <w:tc>
          <w:tcPr>
            <w:tcW w:w="10660" w:type="dxa"/>
            <w:vAlign w:val="bottom"/>
            <w:gridSpan w:val="14"/>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980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Management’s Discussion and Analysis of Financial Condition and Results of Operations</w:t>
              </w:r>
            </w:hyperlink>
          </w:p>
        </w:tc>
        <w:tc>
          <w:tcPr>
            <w:tcW w:w="33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9800" w:type="dxa"/>
            <w:vAlign w:val="bottom"/>
            <w:gridSpan w:val="1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1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550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660" w:type="dxa"/>
            <w:vAlign w:val="bottom"/>
            <w:gridSpan w:val="14"/>
          </w:tcPr>
          <w:p>
            <w:pPr>
              <w:spacing w:after="0"/>
              <w:rPr>
                <w:sz w:val="20"/>
                <w:szCs w:val="20"/>
                <w:color w:val="auto"/>
              </w:rPr>
            </w:pPr>
            <w:r>
              <w:rPr>
                <w:rFonts w:ascii="Arial" w:cs="Arial" w:eastAsia="Arial" w:hAnsi="Arial"/>
                <w:sz w:val="18"/>
                <w:szCs w:val="18"/>
                <w:b w:val="1"/>
                <w:bCs w:val="1"/>
                <w:color w:val="auto"/>
              </w:rPr>
              <w:t>PART II - OTHER INFORMATION</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13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Legal Proceedings.</w:t>
              </w:r>
            </w:hyperlink>
          </w:p>
        </w:tc>
        <w:tc>
          <w:tcPr>
            <w:tcW w:w="842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1A.</w:t>
            </w:r>
          </w:p>
        </w:tc>
        <w:tc>
          <w:tcPr>
            <w:tcW w:w="9800" w:type="dxa"/>
            <w:vAlign w:val="bottom"/>
            <w:gridSpan w:val="1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44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Unregistered Sales of Equity Securities and Use of Proceeds.</w:t>
              </w:r>
            </w:hyperlink>
          </w:p>
        </w:tc>
        <w:tc>
          <w:tcPr>
            <w:tcW w:w="540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9800" w:type="dxa"/>
            <w:vAlign w:val="bottom"/>
            <w:gridSpan w:val="1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Defaults Upon Senior Securities.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18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Mine Safety Disclosures.</w:t>
              </w:r>
            </w:hyperlink>
          </w:p>
        </w:tc>
        <w:tc>
          <w:tcPr>
            <w:tcW w:w="540" w:type="dxa"/>
            <w:vAlign w:val="bottom"/>
            <w:tcBorders>
              <w:top w:val="single" w:sz="8" w:color="0000EE"/>
            </w:tcBorders>
          </w:tcPr>
          <w:p>
            <w:pPr>
              <w:spacing w:after="0"/>
              <w:rPr>
                <w:sz w:val="24"/>
                <w:szCs w:val="24"/>
                <w:color w:val="auto"/>
              </w:rPr>
            </w:pPr>
          </w:p>
        </w:tc>
        <w:tc>
          <w:tcPr>
            <w:tcW w:w="744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5.</w:t>
            </w:r>
          </w:p>
        </w:tc>
        <w:tc>
          <w:tcPr>
            <w:tcW w:w="13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Other Information.</w:t>
              </w:r>
            </w:hyperlink>
          </w:p>
        </w:tc>
        <w:tc>
          <w:tcPr>
            <w:tcW w:w="844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6.</w:t>
            </w:r>
          </w:p>
        </w:tc>
        <w:tc>
          <w:tcPr>
            <w:tcW w:w="9800" w:type="dxa"/>
            <w:vAlign w:val="bottom"/>
            <w:gridSpan w:val="1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160" w:type="dxa"/>
            <w:vAlign w:val="bottom"/>
            <w:gridSpan w:val="1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60" w:type="dxa"/>
            <w:vAlign w:val="bottom"/>
            <w:gridSpan w:val="1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SIGNATURES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85"/>
        </w:trPr>
        <w:tc>
          <w:tcPr>
            <w:tcW w:w="8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PART 1 – FINANCIAL INFORMATION</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7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960" w:type="dxa"/>
            <w:vAlign w:val="bottom"/>
          </w:tcPr>
          <w:p>
            <w:pPr>
              <w:ind w:left="360"/>
              <w:spacing w:after="0"/>
              <w:rPr>
                <w:sz w:val="20"/>
                <w:szCs w:val="20"/>
                <w:color w:val="auto"/>
              </w:rPr>
            </w:pPr>
            <w:r>
              <w:rPr>
                <w:rFonts w:ascii="Arial" w:cs="Arial" w:eastAsia="Arial" w:hAnsi="Arial"/>
                <w:sz w:val="18"/>
                <w:szCs w:val="18"/>
                <w:b w:val="1"/>
                <w:bCs w:val="1"/>
                <w:color w:val="auto"/>
              </w:rPr>
              <w:t>CONDENSED CONSOLIDATED FINANCIAL STATEMENTS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20" w:type="dxa"/>
            <w:vAlign w:val="bottom"/>
          </w:tcPr>
          <w:p>
            <w:pPr>
              <w:spacing w:after="0"/>
              <w:rPr>
                <w:sz w:val="24"/>
                <w:szCs w:val="24"/>
                <w:color w:val="auto"/>
              </w:rPr>
            </w:pPr>
          </w:p>
        </w:tc>
        <w:tc>
          <w:tcPr>
            <w:tcW w:w="7960" w:type="dxa"/>
            <w:vAlign w:val="bottom"/>
          </w:tcPr>
          <w:p>
            <w:pPr>
              <w:jc w:val="center"/>
              <w:ind w:left="1510"/>
              <w:spacing w:after="0"/>
              <w:rPr>
                <w:sz w:val="20"/>
                <w:szCs w:val="20"/>
                <w:color w:val="auto"/>
              </w:rPr>
            </w:pPr>
            <w:r>
              <w:rPr>
                <w:rFonts w:ascii="Arial" w:cs="Arial" w:eastAsia="Arial" w:hAnsi="Arial"/>
                <w:sz w:val="18"/>
                <w:szCs w:val="18"/>
                <w:b w:val="1"/>
                <w:bCs w:val="1"/>
                <w:color w:val="auto"/>
              </w:rPr>
              <w:t>HUDSON EXECUTIVE INVESTMENT CORP.</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7960" w:type="dxa"/>
            <w:vAlign w:val="bottom"/>
          </w:tcPr>
          <w:p>
            <w:pPr>
              <w:jc w:val="center"/>
              <w:ind w:left="151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7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4"/>
                <w:szCs w:val="14"/>
                <w:color w:val="auto"/>
                <w:w w:val="95"/>
              </w:rPr>
              <w:t>(Unaudited)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2"/>
              <w:spacing w:after="0" w:line="142" w:lineRule="exact"/>
              <w:rPr>
                <w:sz w:val="20"/>
                <w:szCs w:val="20"/>
                <w:color w:val="auto"/>
              </w:rPr>
            </w:pPr>
            <w:r>
              <w:rPr>
                <w:rFonts w:ascii="Arial" w:cs="Arial" w:eastAsia="Arial" w:hAnsi="Arial"/>
                <w:sz w:val="14"/>
                <w:szCs w:val="14"/>
                <w:color w:val="auto"/>
                <w:w w:val="98"/>
              </w:rPr>
              <w:t>(Audited)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ASSETS</w:t>
            </w:r>
          </w:p>
        </w:tc>
        <w:tc>
          <w:tcPr>
            <w:tcW w:w="7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0"/>
              </w:rPr>
              <w:t>Cash</w:t>
            </w:r>
          </w:p>
        </w:tc>
        <w:tc>
          <w:tcPr>
            <w:tcW w:w="7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377,294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1,178,377</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151,334</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118,525</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528,628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1,296,902</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414,275,432</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414,228,281</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414,804,060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415,525,183</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1,588,952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1,631,390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10,070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Promissory note – related party</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2,586</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1,601,608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1,641,460</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FPA liability</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1,650,000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4,225,000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45,126,600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53,594,000</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Deferred underwriting fee payable</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14,490,000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14,490,000</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62,868,208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7"/>
              </w:rPr>
              <w:t>73,950,460</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Class A common stock subject to possible redemption, 34,693,585 and 33,657,472 shares at $10.00 per share as of</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March 31, 2021 and December 31, 2020, respectively</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346,935,850</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336,574,720</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 shares issued and outstanding</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color w:val="auto"/>
                <w:w w:val="90"/>
              </w:rPr>
              <w:t>Class A common stock, $0.0001 par value; 380,000,000 shares authorized; 6,706,415 and 7,742,528 shares issued and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w w:val="91"/>
              </w:rPr>
              <w:t>outstanding (excluding 34,693,585 and 33,657,472 shares subject to possible redemption) as of March 31, 2021 and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December 31, 2020, respectively</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02"/>
        </w:trPr>
        <w:tc>
          <w:tcPr>
            <w:tcW w:w="8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Class B common stock, $0.0001 par value; 20,000,000 shares authorized; 10,350,000 shares issued and outstanding as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 March 31, 2021 and December 31, 2020</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21,873,075</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32,234,102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(16,874,779)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(27,235,908)</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5,000,002</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414,804,060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415,525,183</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For the Period</w:t>
            </w:r>
          </w:p>
        </w:tc>
        <w:tc>
          <w:tcPr>
            <w:tcW w:w="0" w:type="dxa"/>
            <w:vAlign w:val="bottom"/>
          </w:tcPr>
          <w:p>
            <w:pPr>
              <w:spacing w:after="0"/>
              <w:rPr>
                <w:sz w:val="1"/>
                <w:szCs w:val="1"/>
                <w:color w:val="auto"/>
              </w:rPr>
            </w:pPr>
          </w:p>
        </w:tc>
      </w:tr>
      <w:tr>
        <w:trPr>
          <w:trHeight w:val="148"/>
        </w:trPr>
        <w:tc>
          <w:tcPr>
            <w:tcW w:w="8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from February 6,</w:t>
            </w:r>
          </w:p>
        </w:tc>
        <w:tc>
          <w:tcPr>
            <w:tcW w:w="0" w:type="dxa"/>
            <w:vAlign w:val="bottom"/>
          </w:tcPr>
          <w:p>
            <w:pPr>
              <w:spacing w:after="0"/>
              <w:rPr>
                <w:sz w:val="1"/>
                <w:szCs w:val="1"/>
                <w:color w:val="auto"/>
              </w:rPr>
            </w:pPr>
          </w:p>
        </w:tc>
      </w:tr>
      <w:tr>
        <w:trPr>
          <w:trHeight w:val="148"/>
        </w:trPr>
        <w:tc>
          <w:tcPr>
            <w:tcW w:w="8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Three Months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(Inception)</w:t>
            </w:r>
          </w:p>
        </w:tc>
        <w:tc>
          <w:tcPr>
            <w:tcW w:w="0" w:type="dxa"/>
            <w:vAlign w:val="bottom"/>
          </w:tcPr>
          <w:p>
            <w:pPr>
              <w:spacing w:after="0"/>
              <w:rPr>
                <w:sz w:val="1"/>
                <w:szCs w:val="1"/>
                <w:color w:val="auto"/>
              </w:rPr>
            </w:pPr>
          </w:p>
        </w:tc>
      </w:tr>
      <w:tr>
        <w:trPr>
          <w:trHeight w:val="148"/>
        </w:trPr>
        <w:tc>
          <w:tcPr>
            <w:tcW w:w="8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48"/>
        </w:trPr>
        <w:tc>
          <w:tcPr>
            <w:tcW w:w="8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85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728,422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20" w:type="dxa"/>
            <w:vAlign w:val="bottom"/>
          </w:tcPr>
          <w:p>
            <w:pPr>
              <w:ind w:left="360"/>
              <w:spacing w:after="0"/>
              <w:rPr>
                <w:sz w:val="20"/>
                <w:szCs w:val="20"/>
                <w:color w:val="auto"/>
              </w:rPr>
            </w:pPr>
            <w:r>
              <w:rPr>
                <w:rFonts w:ascii="Arial" w:cs="Arial" w:eastAsia="Arial" w:hAnsi="Arial"/>
                <w:sz w:val="18"/>
                <w:szCs w:val="18"/>
                <w:b w:val="1"/>
                <w:bCs w:val="1"/>
                <w:color w:val="auto"/>
              </w:rPr>
              <w:t>Loss from operations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(728,422)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Change in fair value of Warrants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8,467,400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FPA</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2,575,000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20" w:type="dxa"/>
            <w:vAlign w:val="bottom"/>
          </w:tcPr>
          <w:p>
            <w:pPr>
              <w:ind w:left="360"/>
              <w:spacing w:after="0"/>
              <w:rPr>
                <w:sz w:val="20"/>
                <w:szCs w:val="20"/>
                <w:color w:val="auto"/>
              </w:rPr>
            </w:pPr>
            <w:r>
              <w:rPr>
                <w:rFonts w:ascii="Arial" w:cs="Arial" w:eastAsia="Arial" w:hAnsi="Arial"/>
                <w:sz w:val="18"/>
                <w:szCs w:val="18"/>
                <w:color w:val="auto"/>
              </w:rPr>
              <w:t>Interest earned on marketable securities held in Trust Account</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47,151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11,089,551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10,361,129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520" w:type="dxa"/>
            <w:vAlign w:val="bottom"/>
          </w:tcPr>
          <w:p>
            <w:pPr>
              <w:ind w:left="360"/>
              <w:spacing w:after="0"/>
              <w:rPr>
                <w:sz w:val="20"/>
                <w:szCs w:val="20"/>
                <w:color w:val="auto"/>
              </w:rPr>
            </w:pPr>
            <w:r>
              <w:rPr>
                <w:rFonts w:ascii="Arial" w:cs="Arial" w:eastAsia="Arial" w:hAnsi="Arial"/>
                <w:sz w:val="18"/>
                <w:szCs w:val="18"/>
                <w:b w:val="1"/>
                <w:bCs w:val="1"/>
                <w:color w:val="auto"/>
              </w:rPr>
              <w:t>Net income (loss)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10,361,129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41,400,000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income per share, Class A redeemable common stock</w:t>
            </w:r>
          </w:p>
        </w:tc>
        <w:tc>
          <w:tcPr>
            <w:tcW w:w="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10,350,000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share, Class B non-redeemable common stock</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THREE MONTHS ENDED MARCH 31, 2021</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gridSpan w:val="3"/>
          </w:tcPr>
          <w:p>
            <w:pPr>
              <w:ind w:left="40"/>
              <w:spacing w:after="0"/>
              <w:rPr>
                <w:sz w:val="20"/>
                <w:szCs w:val="20"/>
                <w:color w:val="auto"/>
              </w:rPr>
            </w:pPr>
            <w:r>
              <w:rPr>
                <w:rFonts w:ascii="Arial" w:cs="Arial" w:eastAsia="Arial" w:hAnsi="Arial"/>
                <w:sz w:val="14"/>
                <w:szCs w:val="14"/>
                <w:b w:val="1"/>
                <w:bCs w:val="1"/>
                <w:color w:val="auto"/>
                <w:w w:val="93"/>
              </w:rPr>
              <w:t>Class A</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left="320"/>
              <w:spacing w:after="0"/>
              <w:rPr>
                <w:sz w:val="20"/>
                <w:szCs w:val="20"/>
                <w:color w:val="auto"/>
              </w:rPr>
            </w:pPr>
            <w:r>
              <w:rPr>
                <w:rFonts w:ascii="Arial" w:cs="Arial" w:eastAsia="Arial" w:hAnsi="Arial"/>
                <w:sz w:val="14"/>
                <w:szCs w:val="14"/>
                <w:b w:val="1"/>
                <w:bCs w:val="1"/>
                <w:color w:val="auto"/>
                <w:w w:val="89"/>
              </w:rPr>
              <w:t>Class B</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200" w:type="dxa"/>
            <w:vAlign w:val="bottom"/>
            <w:gridSpan w:val="5"/>
            <w:vMerge w:val="restart"/>
          </w:tcPr>
          <w:p>
            <w:pPr>
              <w:jc w:val="center"/>
              <w:ind w:right="13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jc w:val="center"/>
              <w:ind w:right="36"/>
              <w:spacing w:after="0"/>
              <w:rPr>
                <w:sz w:val="20"/>
                <w:szCs w:val="20"/>
                <w:color w:val="auto"/>
              </w:rPr>
            </w:pPr>
            <w:r>
              <w:rPr>
                <w:rFonts w:ascii="Arial" w:cs="Arial" w:eastAsia="Arial" w:hAnsi="Arial"/>
                <w:sz w:val="14"/>
                <w:szCs w:val="14"/>
                <w:b w:val="1"/>
                <w:bCs w:val="1"/>
                <w:color w:val="auto"/>
                <w:w w:val="91"/>
              </w:rPr>
              <w:t>Common Stock</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Paid-in</w:t>
            </w:r>
          </w:p>
        </w:tc>
        <w:tc>
          <w:tcPr>
            <w:tcW w:w="1200" w:type="dxa"/>
            <w:vAlign w:val="bottom"/>
            <w:gridSpan w:val="5"/>
            <w:vMerge w:val="continue"/>
          </w:tcPr>
          <w:p>
            <w:pPr>
              <w:spacing w:after="0"/>
              <w:rPr>
                <w:sz w:val="14"/>
                <w:szCs w:val="14"/>
                <w:color w:val="auto"/>
              </w:rPr>
            </w:pPr>
          </w:p>
        </w:tc>
        <w:tc>
          <w:tcPr>
            <w:tcW w:w="1080" w:type="dxa"/>
            <w:vAlign w:val="bottom"/>
            <w:gridSpan w:val="4"/>
          </w:tcPr>
          <w:p>
            <w:pPr>
              <w:jc w:val="center"/>
              <w:ind w:right="41"/>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40" w:type="dxa"/>
            <w:vAlign w:val="bottom"/>
            <w:gridSpan w:val="4"/>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5"/>
          </w:tcPr>
          <w:p>
            <w:pPr>
              <w:jc w:val="center"/>
              <w:ind w:right="460"/>
              <w:spacing w:after="0" w:line="142" w:lineRule="exact"/>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2"/>
                <w:szCs w:val="12"/>
                <w:color w:val="auto"/>
              </w:rPr>
            </w:pPr>
          </w:p>
        </w:tc>
        <w:tc>
          <w:tcPr>
            <w:tcW w:w="1000" w:type="dxa"/>
            <w:vAlign w:val="bottom"/>
            <w:gridSpan w:val="4"/>
          </w:tcPr>
          <w:p>
            <w:pPr>
              <w:jc w:val="center"/>
              <w:ind w:right="330"/>
              <w:spacing w:after="0" w:line="142" w:lineRule="exact"/>
              <w:rPr>
                <w:sz w:val="20"/>
                <w:szCs w:val="20"/>
                <w:color w:val="auto"/>
              </w:rPr>
            </w:pPr>
            <w:r>
              <w:rPr>
                <w:rFonts w:ascii="Arial" w:cs="Arial" w:eastAsia="Arial" w:hAnsi="Arial"/>
                <w:sz w:val="14"/>
                <w:szCs w:val="14"/>
                <w:b w:val="1"/>
                <w:bCs w:val="1"/>
                <w:color w:val="auto"/>
                <w:w w:val="98"/>
              </w:rPr>
              <w:t>Deficit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61"/>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January 1, 2021</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7,742,528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774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10,350,000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0"/>
              </w:rPr>
              <w:t>$1,035</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4"/>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$ 32,234,102</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$(27,235,908)</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5,000,003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80" w:type="dxa"/>
            <w:vAlign w:val="bottom"/>
            <w:gridSpan w:val="2"/>
          </w:tcPr>
          <w:p>
            <w:pPr>
              <w:spacing w:after="0" w:line="201" w:lineRule="exact"/>
              <w:rPr>
                <w:sz w:val="20"/>
                <w:szCs w:val="20"/>
                <w:color w:val="auto"/>
              </w:rPr>
            </w:pPr>
            <w:r>
              <w:rPr>
                <w:rFonts w:ascii="Arial" w:cs="Arial" w:eastAsia="Arial" w:hAnsi="Arial"/>
                <w:sz w:val="18"/>
                <w:szCs w:val="18"/>
                <w:color w:val="auto"/>
                <w:w w:val="95"/>
              </w:rPr>
              <w:t>Change in value of common stock subject to possible</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redemption</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5"/>
              </w:rPr>
              <w:t>(1,036,113)</w:t>
            </w:r>
          </w:p>
        </w:tc>
        <w:tc>
          <w:tcPr>
            <w:tcW w:w="120" w:type="dxa"/>
            <w:vAlign w:val="bottom"/>
          </w:tcPr>
          <w:p>
            <w:pPr>
              <w:spacing w:after="0"/>
              <w:rPr>
                <w:sz w:val="20"/>
                <w:szCs w:val="20"/>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300" w:type="dxa"/>
            <w:vAlign w:val="bottom"/>
            <w:gridSpan w:val="6"/>
          </w:tcPr>
          <w:p>
            <w:pPr>
              <w:jc w:val="right"/>
              <w:ind w:right="120"/>
              <w:spacing w:after="0"/>
              <w:rPr>
                <w:sz w:val="20"/>
                <w:szCs w:val="20"/>
                <w:color w:val="auto"/>
              </w:rPr>
            </w:pPr>
            <w:r>
              <w:rPr>
                <w:rFonts w:ascii="Arial" w:cs="Arial" w:eastAsia="Arial" w:hAnsi="Arial"/>
                <w:sz w:val="18"/>
                <w:szCs w:val="18"/>
                <w:color w:val="auto"/>
              </w:rPr>
              <w:t>(10,361,027)</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w w:val="97"/>
              </w:rPr>
              <w:t>(10,361,130)</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10,361,129</w:t>
            </w:r>
          </w:p>
        </w:tc>
        <w:tc>
          <w:tcPr>
            <w:tcW w:w="1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1"/>
              <w:spacing w:after="0"/>
              <w:rPr>
                <w:sz w:val="20"/>
                <w:szCs w:val="20"/>
                <w:color w:val="auto"/>
              </w:rPr>
            </w:pPr>
            <w:r>
              <w:rPr>
                <w:rFonts w:ascii="Arial" w:cs="Arial" w:eastAsia="Arial" w:hAnsi="Arial"/>
                <w:sz w:val="18"/>
                <w:szCs w:val="18"/>
                <w:color w:val="auto"/>
              </w:rPr>
              <w:t>10,361,129</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Balance – March 31, 2021</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6,706,415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671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10,350,000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1,035</w:t>
            </w:r>
          </w:p>
        </w:tc>
        <w:tc>
          <w:tcPr>
            <w:tcW w:w="160" w:type="dxa"/>
            <w:vAlign w:val="bottom"/>
          </w:tcPr>
          <w:p>
            <w:pPr>
              <w:spacing w:after="0"/>
              <w:rPr>
                <w:sz w:val="19"/>
                <w:szCs w:val="19"/>
                <w:color w:val="auto"/>
              </w:rPr>
            </w:pPr>
          </w:p>
        </w:tc>
        <w:tc>
          <w:tcPr>
            <w:tcW w:w="96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$ 21,873,075</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(16,874,779</w:t>
            </w:r>
          </w:p>
        </w:tc>
        <w:tc>
          <w:tcPr>
            <w:tcW w:w="22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5,000,002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220" w:type="dxa"/>
            <w:vAlign w:val="bottom"/>
          </w:tcPr>
          <w:p>
            <w:pPr>
              <w:spacing w:after="0"/>
              <w:rPr>
                <w:sz w:val="24"/>
                <w:szCs w:val="24"/>
                <w:color w:val="auto"/>
              </w:rPr>
            </w:pPr>
          </w:p>
        </w:tc>
        <w:tc>
          <w:tcPr>
            <w:tcW w:w="7880" w:type="dxa"/>
            <w:vAlign w:val="bottom"/>
            <w:gridSpan w:val="25"/>
          </w:tcPr>
          <w:p>
            <w:pPr>
              <w:ind w:left="900"/>
              <w:spacing w:after="0"/>
              <w:rPr>
                <w:sz w:val="20"/>
                <w:szCs w:val="20"/>
                <w:color w:val="auto"/>
              </w:rPr>
            </w:pPr>
            <w:r>
              <w:rPr>
                <w:rFonts w:ascii="Arial" w:cs="Arial" w:eastAsia="Arial" w:hAnsi="Arial"/>
                <w:sz w:val="18"/>
                <w:szCs w:val="18"/>
                <w:b w:val="1"/>
                <w:bCs w:val="1"/>
                <w:color w:val="auto"/>
              </w:rPr>
              <w:t>FOR THE PERIOD FEBRUARY 6, 2020 (INCEPTION) THROUGH MARCH 31, 2020</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w w:val="89"/>
              </w:rPr>
              <w:t>Class A</w:t>
            </w:r>
          </w:p>
        </w:tc>
        <w:tc>
          <w:tcPr>
            <w:tcW w:w="120" w:type="dxa"/>
            <w:vAlign w:val="bottom"/>
          </w:tcPr>
          <w:p>
            <w:pPr>
              <w:spacing w:after="0"/>
              <w:rPr>
                <w:sz w:val="24"/>
                <w:szCs w:val="24"/>
                <w:color w:val="auto"/>
              </w:rPr>
            </w:pPr>
          </w:p>
        </w:tc>
        <w:tc>
          <w:tcPr>
            <w:tcW w:w="1420" w:type="dxa"/>
            <w:vAlign w:val="bottom"/>
            <w:gridSpan w:val="5"/>
          </w:tcPr>
          <w:p>
            <w:pPr>
              <w:jc w:val="center"/>
              <w:ind w:left="320"/>
              <w:spacing w:after="0"/>
              <w:rPr>
                <w:sz w:val="20"/>
                <w:szCs w:val="20"/>
                <w:color w:val="auto"/>
              </w:rPr>
            </w:pPr>
            <w:r>
              <w:rPr>
                <w:rFonts w:ascii="Arial" w:cs="Arial" w:eastAsia="Arial" w:hAnsi="Arial"/>
                <w:sz w:val="14"/>
                <w:szCs w:val="14"/>
                <w:b w:val="1"/>
                <w:bCs w:val="1"/>
                <w:color w:val="auto"/>
                <w:w w:val="89"/>
              </w:rPr>
              <w:t>Class B</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24"/>
                <w:szCs w:val="24"/>
                <w:color w:val="auto"/>
              </w:rPr>
            </w:pPr>
          </w:p>
        </w:tc>
        <w:tc>
          <w:tcPr>
            <w:tcW w:w="10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93"/>
              </w:rPr>
              <w:t>Common Stock</w:t>
            </w:r>
          </w:p>
        </w:tc>
        <w:tc>
          <w:tcPr>
            <w:tcW w:w="120" w:type="dxa"/>
            <w:vAlign w:val="bottom"/>
          </w:tcPr>
          <w:p>
            <w:pPr>
              <w:spacing w:after="0"/>
              <w:rPr>
                <w:sz w:val="14"/>
                <w:szCs w:val="14"/>
                <w:color w:val="auto"/>
              </w:rPr>
            </w:pPr>
          </w:p>
        </w:tc>
        <w:tc>
          <w:tcPr>
            <w:tcW w:w="1420" w:type="dxa"/>
            <w:vAlign w:val="bottom"/>
            <w:gridSpan w:val="5"/>
          </w:tcPr>
          <w:p>
            <w:pPr>
              <w:jc w:val="center"/>
              <w:ind w:left="320"/>
              <w:spacing w:after="0"/>
              <w:rPr>
                <w:sz w:val="20"/>
                <w:szCs w:val="20"/>
                <w:color w:val="auto"/>
              </w:rPr>
            </w:pPr>
            <w:r>
              <w:rPr>
                <w:rFonts w:ascii="Arial" w:cs="Arial" w:eastAsia="Arial" w:hAnsi="Arial"/>
                <w:sz w:val="14"/>
                <w:szCs w:val="14"/>
                <w:b w:val="1"/>
                <w:bCs w:val="1"/>
                <w:color w:val="auto"/>
                <w:w w:val="91"/>
              </w:rPr>
              <w:t>Common Stock</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Shares</w:t>
            </w:r>
          </w:p>
        </w:tc>
        <w:tc>
          <w:tcPr>
            <w:tcW w:w="4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61"/>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February 6, 2020 (inception)</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Issuance of Class B common stock to Sponsor</w:t>
            </w:r>
          </w:p>
        </w:tc>
        <w:tc>
          <w:tcPr>
            <w:tcW w:w="500" w:type="dxa"/>
            <w:vAlign w:val="bottom"/>
          </w:tcPr>
          <w:p>
            <w:pPr>
              <w:spacing w:after="0"/>
              <w:rPr>
                <w:sz w:val="18"/>
                <w:szCs w:val="18"/>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5"/>
          </w:tcPr>
          <w:p>
            <w:pPr>
              <w:ind w:left="180"/>
              <w:spacing w:after="0"/>
              <w:rPr>
                <w:sz w:val="20"/>
                <w:szCs w:val="20"/>
                <w:color w:val="auto"/>
              </w:rPr>
            </w:pPr>
            <w:r>
              <w:rPr>
                <w:rFonts w:ascii="Arial" w:cs="Arial" w:eastAsia="Arial" w:hAnsi="Arial"/>
                <w:sz w:val="18"/>
                <w:szCs w:val="18"/>
                <w:color w:val="auto"/>
              </w:rPr>
              <w:t>10,350,000(1)</w:t>
            </w: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1,035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23,965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5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Balance – March 31, 2020</w:t>
            </w:r>
          </w:p>
        </w:tc>
        <w:tc>
          <w:tcPr>
            <w:tcW w:w="50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88"/>
              </w:rPr>
              <w:t>10,350,000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1,035</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23,965</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(24,000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2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300" w:hanging="424"/>
        <w:spacing w:after="0" w:line="286" w:lineRule="auto"/>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February 6, 2020, the Sponsor purchased an aggregate of 8,625,000 shares of Class B common stock of the Company. On June 8, 2020, the Company effected a 1.2:1 stock split of the Class B common stock, resulting in an aggregate of 10,350,000 shares of Class B common stock outstanding. All share and per-share amounts have been retroactively restated to reflect the stock split.</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For the Period</w:t>
            </w:r>
          </w:p>
        </w:tc>
        <w:tc>
          <w:tcPr>
            <w:tcW w:w="0" w:type="dxa"/>
            <w:vAlign w:val="bottom"/>
          </w:tcPr>
          <w:p>
            <w:pPr>
              <w:spacing w:after="0"/>
              <w:rPr>
                <w:sz w:val="1"/>
                <w:szCs w:val="1"/>
                <w:color w:val="auto"/>
              </w:rPr>
            </w:pPr>
          </w:p>
        </w:tc>
      </w:tr>
      <w:tr>
        <w:trPr>
          <w:trHeight w:val="148"/>
        </w:trPr>
        <w:tc>
          <w:tcPr>
            <w:tcW w:w="8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49"/>
        </w:trPr>
        <w:tc>
          <w:tcPr>
            <w:tcW w:w="8520" w:type="dxa"/>
            <w:vAlign w:val="bottom"/>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Three Months</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February 6, 2020</w:t>
            </w:r>
          </w:p>
        </w:tc>
        <w:tc>
          <w:tcPr>
            <w:tcW w:w="0" w:type="dxa"/>
            <w:vAlign w:val="bottom"/>
          </w:tcPr>
          <w:p>
            <w:pPr>
              <w:spacing w:after="0"/>
              <w:rPr>
                <w:sz w:val="1"/>
                <w:szCs w:val="1"/>
                <w:color w:val="auto"/>
              </w:rPr>
            </w:pPr>
          </w:p>
        </w:tc>
      </w:tr>
      <w:tr>
        <w:trPr>
          <w:trHeight w:val="148"/>
        </w:trPr>
        <w:tc>
          <w:tcPr>
            <w:tcW w:w="85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(Inception)</w:t>
            </w:r>
          </w:p>
        </w:tc>
        <w:tc>
          <w:tcPr>
            <w:tcW w:w="0" w:type="dxa"/>
            <w:vAlign w:val="bottom"/>
          </w:tcPr>
          <w:p>
            <w:pPr>
              <w:spacing w:after="0"/>
              <w:rPr>
                <w:sz w:val="1"/>
                <w:szCs w:val="1"/>
                <w:color w:val="auto"/>
              </w:rPr>
            </w:pPr>
          </w:p>
        </w:tc>
      </w:tr>
      <w:tr>
        <w:trPr>
          <w:trHeight w:val="148"/>
        </w:trPr>
        <w:tc>
          <w:tcPr>
            <w:tcW w:w="8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8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8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2021</w:t>
            </w:r>
          </w:p>
        </w:tc>
        <w:tc>
          <w:tcPr>
            <w:tcW w:w="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center"/>
              <w:ind w:right="35"/>
              <w:spacing w:after="0" w:line="142"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10,361,129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Change in fair value of Warrants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(8,467,400)</w:t>
            </w:r>
          </w:p>
        </w:tc>
        <w:tc>
          <w:tcPr>
            <w:tcW w:w="120" w:type="dxa"/>
            <w:vAlign w:val="bottom"/>
          </w:tcPr>
          <w:p>
            <w:pPr>
              <w:spacing w:after="0"/>
              <w:rPr>
                <w:sz w:val="18"/>
                <w:szCs w:val="18"/>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FPA</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(2,575,000)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Interest earned on marketable securities held in Trust Account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(47,151)</w:t>
            </w:r>
          </w:p>
        </w:tc>
        <w:tc>
          <w:tcPr>
            <w:tcW w:w="120" w:type="dxa"/>
            <w:vAlign w:val="bottom"/>
          </w:tcPr>
          <w:p>
            <w:pPr>
              <w:spacing w:after="0"/>
              <w:rPr>
                <w:sz w:val="18"/>
                <w:szCs w:val="18"/>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costs paid through promissory note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2,586</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Formation cost paid by Sponsor</w:t>
            </w: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(32,809)</w:t>
            </w:r>
          </w:p>
        </w:tc>
        <w:tc>
          <w:tcPr>
            <w:tcW w:w="120" w:type="dxa"/>
            <w:vAlign w:val="bottom"/>
          </w:tcPr>
          <w:p>
            <w:pPr>
              <w:spacing w:after="0"/>
              <w:rPr>
                <w:sz w:val="18"/>
                <w:szCs w:val="18"/>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(42,438)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0"/>
        </w:trPr>
        <w:tc>
          <w:tcPr>
            <w:tcW w:w="8520" w:type="dxa"/>
            <w:vAlign w:val="bottom"/>
          </w:tcPr>
          <w:p>
            <w:pPr>
              <w:ind w:left="360"/>
              <w:spacing w:after="0"/>
              <w:rPr>
                <w:sz w:val="20"/>
                <w:szCs w:val="20"/>
                <w:color w:val="auto"/>
              </w:rPr>
            </w:pPr>
            <w:r>
              <w:rPr>
                <w:rFonts w:ascii="Arial" w:cs="Arial" w:eastAsia="Arial" w:hAnsi="Arial"/>
                <w:sz w:val="18"/>
                <w:szCs w:val="18"/>
                <w:b w:val="1"/>
                <w:bCs w:val="1"/>
                <w:color w:val="auto"/>
              </w:rPr>
              <w:t>Net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(801,083)</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(801,083)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Cash – Beginning</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1,178,377</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Ending</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377,294</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8"/>
                <w:szCs w:val="18"/>
                <w:b w:val="1"/>
                <w:bCs w:val="1"/>
                <w:color w:val="auto"/>
              </w:rPr>
              <w:t>Non-Cash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10,361,130</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8"/>
                <w:szCs w:val="18"/>
                <w:color w:val="auto"/>
              </w:rPr>
              <w:t>Offering costs included in accrued offering costs</w:t>
            </w: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w w:val="99"/>
              </w:rPr>
              <w:t>Deferred offering costs paid directly by Sponsor in consideration for the issuance of Class B common stock</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8"/>
                <w:szCs w:val="18"/>
                <w:color w:val="auto"/>
              </w:rPr>
              <w:t>Payment of offering costs through promissory note — related party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commissions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Hudson Executive Investment Corp. (the “Company”) was incorporated in Delaware on February 6, 2020. The Company was formed for the purpose of entering into a merger, capital stock exchange, asset acquisition, stock purchase, reorganization or similar business combination with one or more businesses (the “Business Combination”).</w:t>
      </w:r>
    </w:p>
    <w:p>
      <w:pPr>
        <w:spacing w:after="0" w:line="184"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2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All activity for the period from February 6, 2020 (inception) through March 31, 2021 relates to the Company’s formation, its initial public offering (“Initial Public Offering”), which is described below, and identifying a target company for a Business Combination, and activities in connection with the proposed acquisition of GROOP Internet Platform, Inc., a Delaware corporation (“Talkspace”) (see Note 6). The Company will not generate any operating revenues until after the completion of a Business Combination, at the earliest. The Company generates non-operating income in the form of interest income from the proceeds derived from the Initial Public Offering. The Company has selected December 31 as its fiscal year end.</w:t>
      </w:r>
    </w:p>
    <w:p>
      <w:pPr>
        <w:spacing w:after="0" w:line="16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Company has two subsidiaries, Tailwind Merger Sub I, Inc., a wholly-owned subsidiary of the Company incorporated in Delaware on January 18, 2021 (“Merger Sub 1”) and Tailwind Merger Sub II, LLC, a wholly -owned subsidiary of the Company also incorporated in Delaware on January 18, 2021 (“Merger Sub 2”).</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June 8, 2020. On June 11, 2020, the Company consummated the Initial Public Offering of 41,400,000 units (the “Units” and, with respect to the shares of Class A common stock included in the Units sold, the “Public Shares”), which includes the full exercise by the underwriter of the over-allotment option to purchase an additional 5,400,000 Units, at $10.00 per Unit, generating gross proceeds of $414,000,000, which is described in Note 3.</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10,280,000 warrants (the “Private Placement Warrants”), at a price of $1.00 per Private Placement Warrant, in a private placement to HEC Sponsor LLC (the “Sponsor”), generating gross proceeds of $10,280,000, which is described in Note 4.</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Transaction costs amounted to $23,353,182, consisting of $8,280,000 of underwriting fees, $14,490,000 of deferred underwriting fees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$583,182 of other offering costs. At March 31, 2021 and December 31, 2020, cash of $377,294 and $1,178,377, respectively, was held outside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Trust Account (as defined below) and is available for working capital purposes.</w:t>
      </w:r>
    </w:p>
    <w:p>
      <w:pPr>
        <w:spacing w:after="0" w:line="21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Following the closing of the Initial Public Offering on June 11, 2020, an amount of $414,000,000 ($10.00 per Unit) from the net proceeds of the sale of the Units in the Initial Public Offering and the sale of the Private Placement Warrants was placed in a trust account (“Trust Account”) which will be invested only in U.S. government securities, within the meaning set forth in Section 2(a)(16) of the Investment Company Act of 1940, as amended (the “Investment Company Act”), with a maturity of 185 days or less or less until the earlier of: (i) the completion of a Business Combination and (ii) the distribution of the funds held in the Trust Account, as described below.</w:t>
      </w:r>
    </w:p>
    <w:p>
      <w:pPr>
        <w:spacing w:after="0" w:line="188"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a Business Combination with one or more target businesses that together have an aggregate fair market value of at least 80% of the value of the Trust Account (excluding the deferred underwriting commissions and taxes payable on income earned on the Trust Account) at the time of the agreement to enter into an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$10.00 per Public Share, plus any pro rata interest earned on the funds held in the Trust Account and not previously released to the Company to pay its tax obligations). There will be no redemption rights upon the completion of a Business Combination with respect to the Company’s warrants.</w:t>
      </w:r>
    </w:p>
    <w:p>
      <w:pPr>
        <w:spacing w:after="0" w:line="17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Company will proceed with a Business Combination only if the Company has net tangible assets of at least $5,000,001 upon consummation of the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and the Company’s officers and directors (the “initial stockholders”) have agreed to vote their Founder Shares (as defined in Note 5) and any Public Shares purchased during or after the Initial Public Offering in favor of approving a Business Combination. Additionally, each public stockholder may elect to redeem their Public Shares irrespective of whether they vote for or against the proposed transaction or do not vote at all.</w:t>
      </w:r>
    </w:p>
    <w:p>
      <w:pPr>
        <w:spacing w:after="0" w:line="192"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Public Shares, without the prior consent of the Company.</w:t>
      </w:r>
    </w:p>
    <w:p>
      <w:pPr>
        <w:spacing w:after="0" w:line="188"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initial stockholders have agreed (a) to waive their redemption rights with respect to their Founder Shares and Public Shares held by them in connection with the completion of a Business Combination and (b) not to propose an amendment to the Amended and Restated Certificate of Incorporation (i) to modify the substance or timing of the Company’s obligation to redeem 100% of its Public Shares if the Company does not complete a Business Combination within 24 months from the closing of the Initial Public Offering or (ii) with respect to any other provision relating to stockholders’ rights or pre-initial business combination activity, unless the Company provides the public stockholders with the opportunity to redeem their Public Shares in conjunction with any such amendment.</w:t>
      </w:r>
    </w:p>
    <w:p>
      <w:pPr>
        <w:spacing w:after="0" w:line="192"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The Company will have until June 11, 2022 to complete a Business Combination (the “Combination Period”). If the Company is unable to complete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 obligations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liquidate and dissolve,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68"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The initial stockholders have agreed to waive their liquidation rights with respect to the Founder Shares if the Company fails to complete a Business Combination within the Combination Period. However, if the initial stockholders acquire Public Shares in or after the Initial Public Offering, such Public Shares will be entitled to liquidating distributions from the Trust Account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92"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(1) $10.00 per Public Share and (2) the actual amount per Public Share held in the Trust Account as of the date of the liquidation of the Trust Account, if less than $10.00 per Public Share due to reductions in the value of the trust assets, less taxes payable,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provided that such liability will not apply to any claims by a third party or prospective target business who executed a waiver of any and all rights to monies held in the Trust Account (whether or not such waiver is enforceable) nor will it apply to any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As of March 31, 2021, the Company had $377,294 in its operating bank accounts, $414,275,432 in securities held in the Trust Account to be used for a Business Combination or to repurchase or redeem its common stock in connection therewith and working capital deficit of $1,072,980.</w:t>
      </w:r>
    </w:p>
    <w:p>
      <w:pPr>
        <w:spacing w:after="0" w:line="12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Company intends to complete a Business Combination as further discussed in Note 6. However, in the absence of a completed Business Combination, the Company may require additional capital. If the Company is unable to raise additional capital, it may be required to take additional measures to conserve liquidity, which could include, but not necessarily be limited to, suspending the pursuit of a Business Combination. The Company cannot provide any assurance that new financing will be available to it on commercially acceptable terms, if at all.</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connection with the Company’s assessment of going concern considerations in accordance with Financial Accounting Standard Board’s Accounting Standards Update (“ASU”) 2014-15, “Disclosures of Uncertainties about an Entity’s Ability to Continue as a Going Concern,” the Company has determined that the liquidity condition of the Company raise substantial doubt about the Company’s ability to continue as a going concern through one year from the issuance date of the financial statements. No adjustments have been made to the carrying amounts of assets or liabilities should the Company be unable to continue as a going concern.</w:t>
      </w: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spacing w:after="0" w:line="166"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Company’s Amended and Restated Annual Report on Form 10-K for the period ended December 31, 2020 filed with the SEC on May 4, 2021. The interim results for the three months ended March 31, 2021 are not necessarily indicative of the results to be expected for the period ending December 31, 2020 or for any future periods.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subsidiary. All significant intercompany balances and transactions have been eliminated in consolidation.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70" w:lineRule="exact"/>
        <w:rPr>
          <w:sz w:val="20"/>
          <w:szCs w:val="20"/>
          <w:color w:val="auto"/>
        </w:rPr>
      </w:pPr>
    </w:p>
    <w:p>
      <w:pPr>
        <w:ind w:left="120" w:right="160" w:firstLine="44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120" w:right="620" w:firstLine="440"/>
        <w:spacing w:after="0" w:line="263"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76"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One of the more significant accounting estimates included in these financial statements is the determination of the fair value of the warrant liability. Such estimates may be subject to change as more current information becomes available and accordingly the actual results could differ significantly from those estimates.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March 31, 2021 and December 31,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 and FPA Liabilities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Company accounts for the Warrants and FPA (as defined below) in accordance with the guidance contained in ASC 815-40, under which the Warrants and FPA do not meet the criteria for equity treatment and must be recorded as liabilities. Accordingly, the Company classifies the Warrants and FPA as liabilities at their fair value and adjust the Warrants and FPA to fair value at each reporting period. These liabilities are subject to re-measurement at each balance sheet date until exercised, and any change in fair value is recognized in the statement of operations. The fair value of the Public Warrants has been estimated using the Public Warrants’ quoted market price. The Private Placement Warrants and FPA are valued using a Modified Black Scholes Option Pricing Model.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120" w:right="220"/>
        <w:spacing w:after="0" w:line="311" w:lineRule="auto"/>
        <w:rPr>
          <w:sz w:val="20"/>
          <w:szCs w:val="20"/>
          <w:color w:val="auto"/>
        </w:rPr>
      </w:pPr>
      <w:r>
        <w:rPr>
          <w:rFonts w:ascii="Arial" w:cs="Arial" w:eastAsia="Arial" w:hAnsi="Arial"/>
          <w:sz w:val="16"/>
          <w:szCs w:val="16"/>
          <w:color w:val="auto"/>
        </w:rPr>
        <w:t>rights that are considered to be outside of the Company’s control and subject to occurrence of uncertain future events. Accordingly, at March 31, 2021 and December 31, 2020, there are 34,693,585 and 33,657,472 shares of Class A common stock subject to possible redemption presented as temporary equity, outside of the stockholders’ equity section of the Company’s unaudited condensed consolidated balance sheets, respectively.</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As of March 31, 2021, the Company had a deferred tax asset of approximately $143,000, which had a full valuation allowance.</w:t>
      </w:r>
    </w:p>
    <w:p>
      <w:pPr>
        <w:spacing w:after="0" w:line="17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2021 and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Income (Loss) per Common Share</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Net income (loss) per common share is computed by dividing net income by the weighted average number of common shares outstanding for the period. The Company has not considered the effect of warrants sold in the Initial Public Offering and private placement to purchase 30,980,000 shares of Class A common stock in the calculation of diluted income per share, since the exercise of the warrants are contingent upon the occurrence of future events and the inclusion of such warrants would be anti-dilutive.</w:t>
      </w:r>
    </w:p>
    <w:p>
      <w:pPr>
        <w:spacing w:after="0" w:line="187"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The Company’s statements of operations includes a presentation of loss per share for common shares subject to possible redemption in a manner similar to the two-class method of loss per share. Net income per common share, basic and diluted, for Class A redeemable common stock is calculated by dividing the interest income earned on the Trust Account less franchise and income taxes, by the weighted average number of Class A redeemable common stock outstanding since original issuance. Net loss per share, basic and diluted, for Class B non-redeemable common stock is calculated by dividing the net loss, adjusted for income attributable to Class A redeemable common stock, net of applicable franchise and income taxes, by the weighted average number of Class B non-redeemable common stock outstanding for the period. Class B non-redeemable common stock includes the Founder Shares as these shares do not have any redemption features and do not participate in the income earned on the Trust Account.</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reflects the calculation of basic and diluted net income (loss) per common share (in dollars, except per share amounts):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9"/>
        </w:trPr>
        <w:tc>
          <w:tcPr>
            <w:tcW w:w="8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48"/>
        </w:trPr>
        <w:tc>
          <w:tcPr>
            <w:tcW w:w="8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48"/>
        </w:trPr>
        <w:tc>
          <w:tcPr>
            <w:tcW w:w="8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February 6,</w:t>
            </w:r>
          </w:p>
        </w:tc>
        <w:tc>
          <w:tcPr>
            <w:tcW w:w="0" w:type="dxa"/>
            <w:vAlign w:val="bottom"/>
          </w:tcPr>
          <w:p>
            <w:pPr>
              <w:spacing w:after="0"/>
              <w:rPr>
                <w:sz w:val="1"/>
                <w:szCs w:val="1"/>
                <w:color w:val="auto"/>
              </w:rPr>
            </w:pPr>
          </w:p>
        </w:tc>
      </w:tr>
      <w:tr>
        <w:trPr>
          <w:trHeight w:val="148"/>
        </w:trPr>
        <w:tc>
          <w:tcPr>
            <w:tcW w:w="8660" w:type="dxa"/>
            <w:vAlign w:val="bottom"/>
          </w:tcPr>
          <w:p>
            <w:pPr>
              <w:spacing w:after="0"/>
              <w:rPr>
                <w:sz w:val="12"/>
                <w:szCs w:val="12"/>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Three Months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(Inception)</w:t>
            </w:r>
          </w:p>
        </w:tc>
        <w:tc>
          <w:tcPr>
            <w:tcW w:w="0" w:type="dxa"/>
            <w:vAlign w:val="bottom"/>
          </w:tcPr>
          <w:p>
            <w:pPr>
              <w:spacing w:after="0"/>
              <w:rPr>
                <w:sz w:val="1"/>
                <w:szCs w:val="1"/>
                <w:color w:val="auto"/>
              </w:rPr>
            </w:pPr>
          </w:p>
        </w:tc>
      </w:tr>
      <w:tr>
        <w:trPr>
          <w:trHeight w:val="148"/>
        </w:trPr>
        <w:tc>
          <w:tcPr>
            <w:tcW w:w="8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8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8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Redeemable Class A Common Stock</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Numerator: Earnings allocable to Redeemable Class A Common Stock</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47,151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60" w:type="dxa"/>
            <w:vAlign w:val="bottom"/>
          </w:tcPr>
          <w:p>
            <w:pPr>
              <w:ind w:left="720"/>
              <w:spacing w:after="0"/>
              <w:rPr>
                <w:sz w:val="20"/>
                <w:szCs w:val="20"/>
                <w:color w:val="auto"/>
              </w:rPr>
            </w:pPr>
            <w:r>
              <w:rPr>
                <w:rFonts w:ascii="Arial" w:cs="Arial" w:eastAsia="Arial" w:hAnsi="Arial"/>
                <w:sz w:val="18"/>
                <w:szCs w:val="18"/>
                <w:color w:val="auto"/>
              </w:rPr>
              <w:t>Income and Franchise Tax</w:t>
            </w: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(47,151)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Earnings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Denominator: Weighted Average Redeemable Class A Common Stock</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Redeemable Class A Common Stock, Basic and Diluted</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41,400,000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Basic and diluted net income per share, Class 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Non-Redeemable Class B Common Stock</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Numerator: Net Income (Loss) minus Redeemable Net Earnings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10,361,129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8660" w:type="dxa"/>
            <w:vAlign w:val="bottom"/>
          </w:tcPr>
          <w:p>
            <w:pPr>
              <w:ind w:left="720"/>
              <w:spacing w:after="0"/>
              <w:rPr>
                <w:sz w:val="20"/>
                <w:szCs w:val="20"/>
                <w:color w:val="auto"/>
              </w:rPr>
            </w:pPr>
            <w:r>
              <w:rPr>
                <w:rFonts w:ascii="Arial" w:cs="Arial" w:eastAsia="Arial" w:hAnsi="Arial"/>
                <w:sz w:val="18"/>
                <w:szCs w:val="18"/>
                <w:color w:val="auto"/>
              </w:rPr>
              <w:t>Lees: Redeemable Net Earnings</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Non-Redeemable Net Loss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10,361,129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8660" w:type="dxa"/>
            <w:vAlign w:val="bottom"/>
          </w:tcPr>
          <w:p>
            <w:pPr>
              <w:ind w:left="1080"/>
              <w:spacing w:after="0"/>
              <w:rPr>
                <w:sz w:val="20"/>
                <w:szCs w:val="20"/>
                <w:color w:val="auto"/>
              </w:rPr>
            </w:pPr>
            <w:r>
              <w:rPr>
                <w:rFonts w:ascii="Arial" w:cs="Arial" w:eastAsia="Arial" w:hAnsi="Arial"/>
                <w:sz w:val="18"/>
                <w:szCs w:val="18"/>
                <w:color w:val="auto"/>
              </w:rPr>
              <w:t>Denominator: Weighted Average Non-Redeemable Class A and B Common Stock</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Non-Redeemable Class B Common Stock, Basic and Diluted</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10,350,000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7,500,000</w:t>
            </w:r>
          </w:p>
        </w:tc>
        <w:tc>
          <w:tcPr>
            <w:tcW w:w="0" w:type="dxa"/>
            <w:vAlign w:val="bottom"/>
          </w:tcPr>
          <w:p>
            <w:pPr>
              <w:spacing w:after="0"/>
              <w:rPr>
                <w:sz w:val="1"/>
                <w:szCs w:val="1"/>
                <w:color w:val="auto"/>
              </w:rPr>
            </w:pPr>
          </w:p>
        </w:tc>
      </w:tr>
      <w:tr>
        <w:trPr>
          <w:trHeight w:val="230"/>
        </w:trPr>
        <w:tc>
          <w:tcPr>
            <w:tcW w:w="8660" w:type="dxa"/>
            <w:vAlign w:val="bottom"/>
          </w:tcPr>
          <w:p>
            <w:pPr>
              <w:ind w:left="360"/>
              <w:spacing w:after="0"/>
              <w:rPr>
                <w:sz w:val="20"/>
                <w:szCs w:val="20"/>
                <w:color w:val="auto"/>
              </w:rPr>
            </w:pPr>
            <w:r>
              <w:rPr>
                <w:rFonts w:ascii="Arial" w:cs="Arial" w:eastAsia="Arial" w:hAnsi="Arial"/>
                <w:sz w:val="18"/>
                <w:szCs w:val="18"/>
                <w:color w:val="auto"/>
              </w:rPr>
              <w:t>Basic and diluted net loss per share, Class B</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jc w:val="both"/>
        <w:ind w:left="120" w:right="220" w:firstLine="440"/>
        <w:spacing w:after="0" w:line="342"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 approximates the carrying amounts represented in the accompanying condensed consolidated balance sheets, primarily due to their short-term nature.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condensed consolidated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PUBLIC OFFERING</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Pursuant to the Initial Public Offering, the Company sold 41,400,000 Units, which includes the full exercise by the underwriters of their option to purchase an additional 5,400,000 Units at a price of $10.00 per Unit. Each Unit consists of one share of Class A common stock and one-half of one redeemable warrant (“Public Warrant”). Each whole Public Warrant entitles the holder to purchase one share of Class A common stock at a price of $11.50 per share, subject to adjustment (see Note 7).</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PRIVATE PLACEMENT</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Simultaneously with the closing of the Initial Public Offering, the Sponsor purchased an aggregate of 10,280,000 Private Placement Warrants for an aggregate purchase price of $10,280,000. Each Private Placement Warrant is exercisable to purchase one share of Class A common stock at an exercise price of $11.50 per share, subject to adjustment (see Note 7). A portion of the proceeds from the Private Placement Warrants were added to the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RELATED PARTY TRANSACTIONS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Founder Shares</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February 2020, the Sponsor paid $25,000 to cover certain offering costs of the Company in consideration of 8,625,000 shares of the Company’s Class B common stock (the “Founder Shares”) for an aggregate price of $25,000. On May 20, 2020, the Sponsor transferred 25,000 Founder Shares to Amy Schulman, a director, and on June 3, 2020 the Sponsor transferred 25,000 shares to Thelma Duggin, a director, resulting in the Sponsor holding an aggregate of 8,575,000 Founder Shares. On June 8, 2020, the Company effected a 1:1.2 stock split of its Class B common stock, resulting an aggregate of 10,350,000 Founder Shares issued and outstanding, of which 10,300,000 Founder Shares are held by the Sponsor and 50,000 Founder Shares are held by the directors. All share and per-share amounts have been retroactively restated to reflect the stock split.</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Sponsor has agreed, subject to certain limited exceptions, not to transfer, assign or sell any of the Founder Shares until the earlier to occur of</w:t>
      </w:r>
    </w:p>
    <w:p>
      <w:pPr>
        <w:spacing w:after="0" w:line="46" w:lineRule="exact"/>
        <w:rPr>
          <w:sz w:val="20"/>
          <w:szCs w:val="20"/>
          <w:color w:val="auto"/>
        </w:rPr>
      </w:pPr>
    </w:p>
    <w:p>
      <w:pPr>
        <w:ind w:left="420" w:hanging="304"/>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one year after the completion of a Business Combination or (B) subsequent to a Business Combination, (x) if the last reported sale price of the</w:t>
      </w:r>
    </w:p>
    <w:p>
      <w:pPr>
        <w:spacing w:after="0" w:line="32" w:lineRule="exact"/>
        <w:rPr>
          <w:rFonts w:ascii="Arial" w:cs="Arial" w:eastAsia="Arial" w:hAnsi="Arial"/>
          <w:sz w:val="16"/>
          <w:szCs w:val="16"/>
          <w:color w:val="auto"/>
        </w:rPr>
      </w:pPr>
    </w:p>
    <w:p>
      <w:pPr>
        <w:ind w:left="120" w:right="140"/>
        <w:spacing w:after="0" w:line="253" w:lineRule="auto"/>
        <w:rPr>
          <w:rFonts w:ascii="Arial" w:cs="Arial" w:eastAsia="Arial" w:hAnsi="Arial"/>
          <w:sz w:val="16"/>
          <w:szCs w:val="16"/>
          <w:color w:val="auto"/>
        </w:rPr>
      </w:pPr>
      <w:r>
        <w:rPr>
          <w:rFonts w:ascii="Arial" w:cs="Arial" w:eastAsia="Arial" w:hAnsi="Arial"/>
          <w:sz w:val="18"/>
          <w:szCs w:val="18"/>
          <w:color w:val="auto"/>
        </w:rPr>
        <w:t>Class A common stock equals or exceeds $12.00 per share (as adjusted for stock splits, stock dividends, reorganizations, recapitalizations and the like) for any 20 trading days within any 30-trading day period commencing at least 150 days after a Business Combination, or (y) the date following the completion of a Business Combination on which the Company completes a liquidation, merger, stock exchange, reorganization or other similar transaction that results in all of the Company’s stockholders having the right to exchange their shares of Class A common stock for cash, securities or other property.</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Promissory Note – Related Party</w:t>
      </w:r>
    </w:p>
    <w:p>
      <w:pPr>
        <w:spacing w:after="0" w:line="12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On February 6, 2020, the Company issued the Promissory Note to the Sponsor, pursuant to which the Company could borrow up to an aggregate principal amount of $300,000. The Promissory Note was non-interest bearing and payable on the earlier of December 31, 2020 or the consummation of the Initial Public Offering. The outstanding balance of $129,706 under the Promissory Note was repaid on June 12, 2020.</w:t>
      </w:r>
    </w:p>
    <w:p>
      <w:pPr>
        <w:spacing w:after="0" w:line="3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320" w:top="459" w:right="5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Loans</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addition, in order to finance transaction costs in connection with a Business Combination, the Sponsor, an affiliate of the Sponsor, or certain of the Company’s officers and directors or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warrants of the post Business Combination entity. The warrants would be identical to the Private Placement Warrants. As of March 31, 2021, $2,586 was outstanding.</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Administrative Support Agreement</w:t>
      </w:r>
    </w:p>
    <w:p>
      <w:pPr>
        <w:spacing w:after="0" w:line="12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Company entered into an agreement whereby, commencing on June 8, 2020 through the earlier of the Company’s consummation of a Business Combination and its liquidation, the Company will pay an affiliate of the Sponsor a total of $10,000 per month for office space, secretarial and administrative services. For the three months ended March 31, 2021, the Company incurred $30,000. As of March 31, 2021 and December 31, 2020, $100,000 and $70,000, respectively, is included in accrued expenses in the accompanying condensed consolidated balance sheets.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Forward Purchase Agreement</w:t>
      </w:r>
    </w:p>
    <w:p>
      <w:pPr>
        <w:spacing w:after="0" w:line="12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The Company entered into a forward purchase agreement (the “FPA”) with HEC Master Fund LP (“HEC Master”) pursuant to which HEC Master has committed to purchase from the Company up to 5,000,000 forward purchase units (the “Forward Purchase Units”), consisting of one share of Class A common stock (the “Forward Purchase Shares”) and one-half of one warrant to purchase one share of Class A common stock (the “Forward Purchase Warrants” and together with the Forward Purchase Units and the Forward Purchase Shares, the “Forward Purchase Securities”), for $10.00 per unit, or an aggregate amount of up to $50,000,000, in a private placement that will close concurrently with the closing of a Business Combination. The proceeds from the sale of these Forward Purchase Units, together with the amounts available to the Company from the Trust Account (after giving effect to any redemptions of Public Shares) and any other equity or debt financing obtained by the Company in connection with the Business Combination, will be used to satisfy the cash requirements of the Business Combination, including funding the purchase price and paying expenses and retaining specified amounts to be used by the post-Business Combination company for working capital or other purposes. To the extent that the amounts available from the Trust Account and other financing are sufficient for such cash requirements, HEC Master may purchase less than 5,000,000 Forward Purchase Units. In addition, HEC Master’s commitment under the forward purchase agreement will be subject to approval, prior to the Company entering into a definitive agreement for the initial Business Combination, of its investment committee. Pursuant to the terms of the Forward Purchase Agreement, HEC Master will have the option to assign its commitment to one of its affiliates and up to $2,500,000 to members of the Company’s management team. The Forward Purchase Shares will be identical to the shares of Class A common stock included in the units sold in the Initial Public Offering, except that they will be subject to transfer restrictions and registration rights. The Forward Purchase Warrants will have the same terms as the Private Placement Warrants so long as they are held by HEC Master or its permitted assignees and transferees.</w:t>
      </w:r>
    </w:p>
    <w:p>
      <w:pPr>
        <w:spacing w:after="0" w:line="176"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connection with the signing of the Merger Agreement, the Company and HEC Master amended the Forward Purchase Agreement. Pursuant to the First Amendment to the Forward Purchase Agreement, dated January 12, 2021, HEC Master’s purchase obligations were amended such that HEC Master is obligated to purchase 2,500,000 Forward Purchase Units and backstop up to $25,000,000 of redemptions by HEC stockholders through the purchase of additional Forward Purchase Units, in each case valued at $10.00 per Forward Purchase Unit, in a private placement that will close concurrently with the closing of the Business Combination.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Pursuant to a registration rights agreement entered into on June 8, 2020, the holders of the Founder Shares, Private Placement Warrants, Forward Purchase Securities and warrants that may be issued upon conversion of Working Capital Loans (and any Class A common stock issuable upon the exercise of the Private Placement Warrants, Forward Purchase Warrants and warrants issued upon conversion of the Working Capital Loans and upon conversion of the Founder Shares) are entitled to registration rights, requiring the Company to register such securities for resale (in the case of the Founder Shares, only after conversion to shares of Class A common stock). The holders of these securities will be entitled to make up to three demands, excluding short form registration demands, that the Company register such securities. In addition, the holders will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Underwriting Agreement</w:t>
      </w:r>
    </w:p>
    <w:p>
      <w:pPr>
        <w:spacing w:after="0" w:line="121"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The underwriters were paid a cash underwriting discount of $0.20 per Unit, or $8,280,000 in the aggregate. In addition, the underwriters are entitled to a deferred fee of $0.35 per Unit, or $14,490,000 in the aggregate. The deferred fee will be forfeited by the underwriters in the event that the Company fails to complete a Business Combination, subject to the terms of the underwriting agreement.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Agreement</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On January 12, 2021, Hudson Executive Investment Corp. (“HEC”) entered into an Agreement and Plan of Merger (the “Merger Agreement”) by and among HEC, Tailwind Merger Sub I, Inc., a Delaware corporation and direct, wholly owned subsidiary of HEC (“First Merger Sub”), Tailwind Merger Sub II, LLC, a Delaware limited liability company and direct, wholly owned subsidiary of HEC (“Second Merger Sub”) and GROOP Internet Platform, Inc., a Delaware corporation (“Talkspace”).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Merger Agreement, the parties thereto will enter into a business combination transaction (the “Business Combination”) by which,</w:t>
      </w:r>
    </w:p>
    <w:p>
      <w:pPr>
        <w:spacing w:after="0" w:line="46" w:lineRule="exact"/>
        <w:rPr>
          <w:sz w:val="20"/>
          <w:szCs w:val="20"/>
          <w:color w:val="auto"/>
        </w:rPr>
      </w:pPr>
    </w:p>
    <w:p>
      <w:pPr>
        <w:ind w:left="340" w:hanging="224"/>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First Merger Sub will merge with and into the Company with the Company being the surviving corporation in the merger (the “First Merger”) and</w:t>
      </w:r>
    </w:p>
    <w:p>
      <w:pPr>
        <w:spacing w:after="0" w:line="20" w:lineRule="exact"/>
        <w:rPr>
          <w:rFonts w:ascii="Arial" w:cs="Arial" w:eastAsia="Arial" w:hAnsi="Arial"/>
          <w:sz w:val="17"/>
          <w:szCs w:val="17"/>
          <w:color w:val="auto"/>
        </w:rPr>
      </w:pPr>
    </w:p>
    <w:p>
      <w:pPr>
        <w:ind w:left="120" w:right="600" w:hanging="4"/>
        <w:spacing w:after="0" w:line="277" w:lineRule="auto"/>
        <w:tabs>
          <w:tab w:leader="none" w:pos="385" w:val="left"/>
        </w:tabs>
        <w:numPr>
          <w:ilvl w:val="0"/>
          <w:numId w:val="5"/>
        </w:numPr>
        <w:rPr>
          <w:rFonts w:ascii="Arial" w:cs="Arial" w:eastAsia="Arial" w:hAnsi="Arial"/>
          <w:sz w:val="17"/>
          <w:szCs w:val="17"/>
          <w:color w:val="auto"/>
        </w:rPr>
      </w:pPr>
      <w:r>
        <w:rPr>
          <w:rFonts w:ascii="Arial" w:cs="Arial" w:eastAsia="Arial" w:hAnsi="Arial"/>
          <w:sz w:val="17"/>
          <w:szCs w:val="17"/>
          <w:color w:val="auto"/>
        </w:rPr>
        <w:t>Second Merger Sub will merge with and into the surviving corporation with Second Merger Sub being the surviving entity in the merger (the “Second Merger” and, together with the First Merger, being collectively referred to as the “Mergers” and, together with the other transactions contemplated by the Merger Agreement, the “Transactions” and the closing of the Transactions, the “Closing”).</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Pursuant to the terms of the Merger Agreement, at the effective time of the Merger:</w:t>
      </w:r>
    </w:p>
    <w:p>
      <w:pPr>
        <w:spacing w:after="0" w:line="131" w:lineRule="exact"/>
        <w:rPr>
          <w:sz w:val="20"/>
          <w:szCs w:val="20"/>
          <w:color w:val="auto"/>
        </w:rPr>
      </w:pPr>
    </w:p>
    <w:p>
      <w:pPr>
        <w:ind w:left="540" w:right="160" w:hanging="424"/>
        <w:spacing w:after="0" w:line="255"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shares of common stock and preferred stock of the Company and all vested options exercisable for common stock of the Company, in each case, outstanding immediately prior to the effective time of the First Merger, will be cancelled in exchange for the right to receive, at the election of the holders thereof, a number of shares of common stock, par value $0.0001 per share, of HEC (“HEC Common Stock”) or a combination of shares of HEC Common Stock and cash, in each case, as adjusted pursuant to the Merger Agreement, which in the aggregate with the options to acquire common stock of the Company to be assumed by HEC in exchange for options to acquire HEC Common Stock, will equal to the Merger Consideration;</w:t>
      </w:r>
    </w:p>
    <w:p>
      <w:pPr>
        <w:spacing w:after="0" w:line="97" w:lineRule="exact"/>
        <w:rPr>
          <w:rFonts w:ascii="Arial" w:cs="Arial" w:eastAsia="Arial" w:hAnsi="Arial"/>
          <w:sz w:val="18"/>
          <w:szCs w:val="18"/>
          <w:color w:val="auto"/>
        </w:rPr>
      </w:pPr>
    </w:p>
    <w:p>
      <w:pPr>
        <w:ind w:left="540" w:right="60" w:hanging="424"/>
        <w:spacing w:after="0" w:line="25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maximum amount of cash (the “Closing Cash Consideration”) that may be paid to pre-closing holders of the Company’s stock and vested options pursuant to the foregoing is equal to (i) the amount of cash held by HEC in its trust account (after reduction for the aggregate amount of cash payable in respect of any HEC stockholder redemptions),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amounts received by HEC upon consummation of the PIPE Investment and the transactions contemplated under the HEC Forward Purchase Agreement (each as defined below),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(iii) $250,000,000, </w:t>
      </w:r>
      <w:r>
        <w:rPr>
          <w:rFonts w:ascii="Arial" w:cs="Arial" w:eastAsia="Arial" w:hAnsi="Arial"/>
          <w:sz w:val="18"/>
          <w:szCs w:val="18"/>
          <w:i w:val="1"/>
          <w:iCs w:val="1"/>
          <w:color w:val="auto"/>
        </w:rPr>
        <w:t>minus</w:t>
      </w:r>
      <w:r>
        <w:rPr>
          <w:rFonts w:ascii="Arial" w:cs="Arial" w:eastAsia="Arial" w:hAnsi="Arial"/>
          <w:sz w:val="18"/>
          <w:szCs w:val="18"/>
          <w:color w:val="auto"/>
        </w:rPr>
        <w:t xml:space="preserve"> (iv) the transaction expenses of the parties to the Merger Agreement;</w:t>
      </w:r>
    </w:p>
    <w:p>
      <w:pPr>
        <w:spacing w:after="0" w:line="93" w:lineRule="exact"/>
        <w:rPr>
          <w:rFonts w:ascii="Arial" w:cs="Arial" w:eastAsia="Arial" w:hAnsi="Arial"/>
          <w:sz w:val="18"/>
          <w:szCs w:val="18"/>
          <w:color w:val="auto"/>
        </w:rPr>
      </w:pPr>
    </w:p>
    <w:p>
      <w:pPr>
        <w:ind w:left="540" w:right="60" w:hanging="424"/>
        <w:spacing w:after="0" w:line="259"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maximum number of shares of HEC Common Stock that may be issued to pre-closing holders of the Company’s stock and options, including HEC Common Shares underlying any assumed options, pursuant to the foregoing is equal to a number determined dividing (a) (i) the Merger Consideration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the Closing Cash Consideration, minus (iii) the Sponsor Share Amount, minus (iv) the transaction expenses of the parties to the Merger Agreement, by (b) $10.00</w:t>
      </w:r>
    </w:p>
    <w:p>
      <w:pPr>
        <w:spacing w:after="0" w:line="18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Additionally, on January 12, 2021, concurrently with the execution of the Merger Agreement, HEC entered into subscription agreements (the “Subscription Agreements”) with certain investors (collectively, the “PIPE Investors”), pursuant to, and on the terms and subject to the conditions of which, the PIPE Investors have collectively subscribed for 30,000,000 shares of HEC Common Stock for an aggregate purchase price equal to $300 million (the “PIPE Investment”). The PIPE Investment will be consummated substantially concurrently with the Closing. The Subscription Agreements will terminate with no further force and effect upon the earliest to occur of: (i) the termination of the Merger Agreement in accordance with its terms, (ii) the mutual written agreement of the parties to such Subscription Agreement, (iii) the failure to satisfy any of the closing conditions set forth in such Subscription Agreements by the closing date, or (iv) the failure to close within seven months from the date of signing.</w:t>
      </w:r>
    </w:p>
    <w:p>
      <w:pPr>
        <w:spacing w:after="0" w:line="17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parties to the Merger Agreement have made customary representations, warranties and covenants, including, among others, with respect to the conduct of the businesses of Talkspace and HEC during the period between execution of the Business Combination Agreement and the consummation of the Business Combination.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On February 10, 2021, two purported shareholders of the Company filed actions against the Company and the members of the Company’s board relating to the Mergers. On March 10, 2021, the Company’s board received a stockholders demand letter against the Company and members of the Company’s board. In each case, the stockholders allege a variety of disclosure deficiencies in its proxy statement/prospectus and seek disclosures of additional information. The alleged omissions generally relate to (i) certain financial projections; (ii) certain valuation analyses performed by the Company and (iii) alleged conflicts of interest. Plaintiffs seek to enjoin the forthcoming shareholder vote on the Mergers unless and until the Company discloses the allegedly omitted material information summarized above. The plaintiffs also seek damages and attorneys’ fees.</w:t>
      </w:r>
    </w:p>
    <w:p>
      <w:pPr>
        <w:spacing w:after="0" w:line="164"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The Company cannot predict the outcome of the lawsuits or demand letter or any others that might be filed subsequent to the date of the filing of its proxy statement/prospectus, nor can the Company predict the amount of time and expense that will be required to resolve the lawsuits and demand letter. The Company believes that the lawsuits and demand letter are without merit and intends to vigorously defend against them.</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STOCKHOLDERS’ EQUITY</w:t>
      </w:r>
    </w:p>
    <w:p>
      <w:pPr>
        <w:spacing w:after="0" w:line="117" w:lineRule="exact"/>
        <w:rPr>
          <w:sz w:val="20"/>
          <w:szCs w:val="20"/>
          <w:color w:val="auto"/>
        </w:rPr>
      </w:pPr>
    </w:p>
    <w:p>
      <w:pPr>
        <w:ind w:left="120" w:right="80" w:firstLine="440"/>
        <w:spacing w:after="0" w:line="266" w:lineRule="auto"/>
        <w:rPr>
          <w:sz w:val="20"/>
          <w:szCs w:val="20"/>
          <w:color w:val="auto"/>
        </w:rPr>
      </w:pPr>
      <w:r>
        <w:rPr>
          <w:rFonts w:ascii="Arial" w:cs="Arial" w:eastAsia="Arial" w:hAnsi="Arial"/>
          <w:sz w:val="18"/>
          <w:szCs w:val="18"/>
          <w:b w:val="1"/>
          <w:bCs w:val="1"/>
          <w:color w:val="auto"/>
        </w:rPr>
        <w:t xml:space="preserve">Preferred Stock — </w:t>
      </w:r>
      <w:r>
        <w:rPr>
          <w:rFonts w:ascii="Arial" w:cs="Arial" w:eastAsia="Arial" w:hAnsi="Arial"/>
          <w:sz w:val="18"/>
          <w:szCs w:val="18"/>
          <w:color w:val="auto"/>
        </w:rPr>
        <w:t>The Company is authorized to issue 1,000,000 shares of preferred stock with a par value of $0.0001 per share with such</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 rights and preferences as may be determined from time to time by the Company’s board of directors. At March 31, 2021 and December 31, 2020, there were no shares of preferred stock issued or outstanding.</w:t>
      </w:r>
    </w:p>
    <w:p>
      <w:pPr>
        <w:spacing w:after="0" w:line="176" w:lineRule="exact"/>
        <w:rPr>
          <w:sz w:val="20"/>
          <w:szCs w:val="20"/>
          <w:color w:val="auto"/>
        </w:rPr>
      </w:pPr>
    </w:p>
    <w:p>
      <w:pPr>
        <w:ind w:left="120" w:right="180" w:firstLine="440"/>
        <w:spacing w:after="0" w:line="261" w:lineRule="auto"/>
        <w:rPr>
          <w:sz w:val="20"/>
          <w:szCs w:val="20"/>
          <w:color w:val="auto"/>
        </w:rPr>
      </w:pPr>
      <w:r>
        <w:rPr>
          <w:rFonts w:ascii="Arial" w:cs="Arial" w:eastAsia="Arial" w:hAnsi="Arial"/>
          <w:sz w:val="18"/>
          <w:szCs w:val="18"/>
          <w:b w:val="1"/>
          <w:bCs w:val="1"/>
          <w:color w:val="auto"/>
        </w:rPr>
        <w:t xml:space="preserve">Class A Common Stock — </w:t>
      </w:r>
      <w:r>
        <w:rPr>
          <w:rFonts w:ascii="Arial" w:cs="Arial" w:eastAsia="Arial" w:hAnsi="Arial"/>
          <w:sz w:val="18"/>
          <w:szCs w:val="18"/>
          <w:color w:val="auto"/>
        </w:rPr>
        <w:t>The Company is authorized to issue 380,000,000 shares of Class A common stock with a par value of $0.0001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Holders of Class A common stock are entitled to one vote for each share. At March 31, 2021 and December 31, 2020, there were 6,706,415 and 7,742,528 shares of Class A common stock issued or outstanding, excluding 34,693,585 and 33,657,472 shares of Class A common stock subject to possible redemption.</w:t>
      </w:r>
    </w:p>
    <w:p>
      <w:pPr>
        <w:spacing w:after="0" w:line="180" w:lineRule="exact"/>
        <w:rPr>
          <w:sz w:val="20"/>
          <w:szCs w:val="20"/>
          <w:color w:val="auto"/>
        </w:rPr>
      </w:pPr>
    </w:p>
    <w:p>
      <w:pPr>
        <w:ind w:left="120" w:right="360" w:firstLine="440"/>
        <w:spacing w:after="0" w:line="347" w:lineRule="auto"/>
        <w:rPr>
          <w:sz w:val="20"/>
          <w:szCs w:val="20"/>
          <w:color w:val="auto"/>
        </w:rPr>
      </w:pPr>
      <w:r>
        <w:rPr>
          <w:rFonts w:ascii="Arial" w:cs="Arial" w:eastAsia="Arial" w:hAnsi="Arial"/>
          <w:sz w:val="16"/>
          <w:szCs w:val="16"/>
          <w:b w:val="1"/>
          <w:bCs w:val="1"/>
          <w:color w:val="auto"/>
        </w:rPr>
        <w:t xml:space="preserve">Class B Common Stock — </w:t>
      </w:r>
      <w:r>
        <w:rPr>
          <w:rFonts w:ascii="Arial" w:cs="Arial" w:eastAsia="Arial" w:hAnsi="Arial"/>
          <w:sz w:val="16"/>
          <w:szCs w:val="16"/>
          <w:color w:val="auto"/>
        </w:rPr>
        <w:t>The Company is authorized to issue 20,000,000 shares of Class B common stock with a par value of $0.0001 per</w:t>
      </w:r>
      <w:r>
        <w:rPr>
          <w:rFonts w:ascii="Arial" w:cs="Arial" w:eastAsia="Arial" w:hAnsi="Arial"/>
          <w:sz w:val="16"/>
          <w:szCs w:val="16"/>
          <w:b w:val="1"/>
          <w:bCs w:val="1"/>
          <w:color w:val="auto"/>
        </w:rPr>
        <w:t xml:space="preserve"> </w:t>
      </w:r>
      <w:r>
        <w:rPr>
          <w:rFonts w:ascii="Arial" w:cs="Arial" w:eastAsia="Arial" w:hAnsi="Arial"/>
          <w:sz w:val="16"/>
          <w:szCs w:val="16"/>
          <w:color w:val="auto"/>
        </w:rPr>
        <w:t>share. At March 31, 2021 and December 31, 2020, there were 10,350,000 shares of Class B common stock issued and outstanding.</w:t>
      </w:r>
    </w:p>
    <w:p>
      <w:pPr>
        <w:spacing w:after="0" w:line="12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Holders of Class A common stock and Class B common stock will vote together as a single class on all matters submitted to a vote of stockholders except as required by law.</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connection with a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a Business Combination (including the Forward Purchase Shares but not the Forward Purchase Warrants), excluding any shares of Class A common stock or equity-linked securities or rights exercisable for or convertible into shares of Class A common stock issued, or to be issued, to any seller in the initial Business Combination and any Private Placement Warrants issued to the Sponsor, officers or directors upon conversion of Working Capital Loans, provided that such conversion of Founder Shares will never occur on a less than one-for-one basis.</w:t>
      </w:r>
    </w:p>
    <w:p>
      <w:pPr>
        <w:spacing w:after="0" w:line="178" w:lineRule="exact"/>
        <w:rPr>
          <w:sz w:val="20"/>
          <w:szCs w:val="20"/>
          <w:color w:val="auto"/>
        </w:rPr>
      </w:pPr>
    </w:p>
    <w:p>
      <w:pPr>
        <w:ind w:left="120" w:right="200" w:firstLine="440"/>
        <w:spacing w:after="0" w:line="266" w:lineRule="auto"/>
        <w:rPr>
          <w:sz w:val="20"/>
          <w:szCs w:val="20"/>
          <w:color w:val="auto"/>
        </w:rPr>
      </w:pPr>
      <w:r>
        <w:rPr>
          <w:rFonts w:ascii="Arial" w:cs="Arial" w:eastAsia="Arial" w:hAnsi="Arial"/>
          <w:sz w:val="18"/>
          <w:szCs w:val="18"/>
          <w:b w:val="1"/>
          <w:bCs w:val="1"/>
          <w:color w:val="auto"/>
        </w:rPr>
        <w:t xml:space="preserve">Warrants </w:t>
      </w:r>
      <w:r>
        <w:rPr>
          <w:rFonts w:ascii="Arial" w:cs="Arial" w:eastAsia="Arial" w:hAnsi="Arial"/>
          <w:sz w:val="18"/>
          <w:szCs w:val="18"/>
          <w:color w:val="auto"/>
        </w:rPr>
        <w:t>— Public Warrants may only be exercised for a whole number of shares. No fractional warrants will be issued upon separation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Units and only whole warrants will trade. The Public Warrants will become exercisable on the later of (a) 12 months from the closing of the Initial Public Offering and (b) 30 days after the completion of a Business Combination.</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Company will not be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the Company satisfying its obligations with respect to registration.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is available.</w:t>
      </w:r>
    </w:p>
    <w:p>
      <w:pPr>
        <w:spacing w:after="0" w:line="17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common stock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shares of Class A common stock issuable upon exercise of the warrants is not effective by the 60th business day after the closing of an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common stock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Redemptions of warrants when the price of Class A common stock equals or exceeds $18.00 </w:t>
      </w:r>
      <w:r>
        <w:rPr>
          <w:rFonts w:ascii="Arial" w:cs="Arial" w:eastAsia="Arial" w:hAnsi="Arial"/>
          <w:sz w:val="17"/>
          <w:szCs w:val="17"/>
          <w:color w:val="auto"/>
        </w:rPr>
        <w:t>— Once the warrants become exercisable,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may redeem the Public Warrants:</w:t>
      </w:r>
    </w:p>
    <w:p>
      <w:pPr>
        <w:spacing w:after="0" w:line="116" w:lineRule="exact"/>
        <w:rPr>
          <w:sz w:val="20"/>
          <w:szCs w:val="20"/>
          <w:color w:val="auto"/>
        </w:rPr>
      </w:pPr>
    </w:p>
    <w:p>
      <w:pPr>
        <w:ind w:left="1080" w:hanging="424"/>
        <w:spacing w:after="0"/>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or the 30-day redemption period, to each warrant holder; and</w:t>
      </w:r>
    </w:p>
    <w:p>
      <w:pPr>
        <w:spacing w:after="0" w:line="252" w:lineRule="exact"/>
        <w:rPr>
          <w:rFonts w:ascii="Arial" w:cs="Arial" w:eastAsia="Arial" w:hAnsi="Arial"/>
          <w:sz w:val="18"/>
          <w:szCs w:val="18"/>
          <w:color w:val="auto"/>
        </w:rPr>
      </w:pPr>
    </w:p>
    <w:p>
      <w:pPr>
        <w:ind w:left="540" w:hanging="316"/>
        <w:spacing w:after="0" w:line="263"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Company’s Class A common stock equals or exceeds $18.00 per share (as adjusted for stock splits, stock dividends, reorganizations, recapitalizations and the like) for any 20 trading days within a 30-trading day period ending on the third trading day prior to the date on which the Company sends the notice of redemption to the warrant holders.</w:t>
      </w:r>
    </w:p>
    <w:p>
      <w:pPr>
        <w:spacing w:after="0" w:line="18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6"/>
          <w:szCs w:val="16"/>
          <w:color w:val="auto"/>
        </w:rPr>
        <w:t>If and when the warrants become redeemable by the Company, the Company may exercise its redemption right even if it is unable to register or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qualify the underlying securities for sale under all applicable state securities laws.</w:t>
      </w:r>
    </w:p>
    <w:p>
      <w:pPr>
        <w:spacing w:after="0" w:line="21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If and when the warrants become redeemable by the Company, it may exercise its redemption right even if the Company is unable to register or qualify the underlying securities for sale under all applicable state securities laws.</w:t>
      </w:r>
    </w:p>
    <w:p>
      <w:pPr>
        <w:spacing w:after="0" w:line="170"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If the Company calls the Public Warrants for redemption for cash, management will have the option to require all holders that wish to exercise the Public Warrants to do so on a “cashless basis,” as described in the warrant agreement. 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respect to such warrants. Accordingly, the warrants may expire worthless.</w:t>
      </w:r>
    </w:p>
    <w:p>
      <w:pPr>
        <w:spacing w:after="0" w:line="178"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In addition, if (x) the Company issues additional Class A common stock or equity-linked securities for capital raising purposes in connection with the closing of a Business Combination (excluding any issuance of Forward Purchase Securities)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Class A common stock during the 20 trading day period starting on the trading day after the day on which the Company consummates a Business Combination (such price, the “Market Value”) is below $9.20 per share, then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w:t>
      </w:r>
    </w:p>
    <w:p>
      <w:pPr>
        <w:spacing w:after="0" w:line="18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Private Placement Warrants are identical to the Public Warrants underlying the Units sold in the Initial Public Offering, except that the Private Placement Warrants and the shares of Class A common stock issuable upon the exercise of the Private Placement Warrants will not be transferable, assignable or saleable until 30 days after the completion of a Business Combination, subject to certain limited exceptions. Additionally, the Private Placement Warrants will be exercisable for cash or on a cashless basis, at the holder’s option, and be non-redeemable so long as they are held by the initial purchasers or their permitted.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FAIR VALUE MEASUREMENTS</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05" w:lineRule="exact"/>
        <w:rPr>
          <w:sz w:val="20"/>
          <w:szCs w:val="20"/>
          <w:color w:val="auto"/>
        </w:rPr>
      </w:pPr>
    </w:p>
    <w:p>
      <w:pPr>
        <w:ind w:left="900" w:right="20" w:hanging="782"/>
        <w:spacing w:after="0" w:line="308" w:lineRule="auto"/>
        <w:tabs>
          <w:tab w:leader="none" w:pos="8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38" w:lineRule="exact"/>
        <w:rPr>
          <w:sz w:val="20"/>
          <w:szCs w:val="20"/>
          <w:color w:val="auto"/>
        </w:rPr>
      </w:pPr>
    </w:p>
    <w:p>
      <w:pPr>
        <w:ind w:left="900" w:right="700" w:hanging="782"/>
        <w:spacing w:after="0" w:line="277" w:lineRule="auto"/>
        <w:tabs>
          <w:tab w:leader="none" w:pos="880" w:val="left"/>
        </w:tabs>
        <w:rPr>
          <w:sz w:val="20"/>
          <w:szCs w:val="20"/>
          <w:color w:val="auto"/>
        </w:rPr>
      </w:pPr>
      <w:r>
        <w:rPr>
          <w:rFonts w:ascii="Arial" w:cs="Arial" w:eastAsia="Arial" w:hAnsi="Arial"/>
          <w:sz w:val="18"/>
          <w:szCs w:val="18"/>
          <w:color w:val="auto"/>
        </w:rPr>
        <w:t>Level 2:</w:t>
        <w:tab/>
        <w:t>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2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Company classifies its U.S. Treasury and equivalent securities as held-to-maturity in accordance with ASC 320 “Investments—Debt and Equity Securities.” Held-to-maturity securities are those securities which the Company has the ability and intent to hold until maturity. Held-to-maturity treasury securities are recorded at amortized cost on the accompanying condensed consolidated balance sheets and adjusted for the amortization or accretion of premiums or discounts.</w:t>
      </w:r>
    </w:p>
    <w:p>
      <w:pPr>
        <w:spacing w:after="0" w:line="18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At March 31, 2021, assets held in the Trust Account were comprised of $414,275,432 in money market funds, which are invested in U.S. Treasury Securities. At December 31, 2020, assets held in the trust account were comprised of $575 in money market funds and $414,232,051 in U.S. Treasury Bills. During the three months ended March 31, 2021 and the year ended December 31, 2020, the Company did not withdraw any interest income from the trust account.</w:t>
      </w:r>
    </w:p>
    <w:p>
      <w:pPr>
        <w:spacing w:after="0" w:line="187" w:lineRule="exact"/>
        <w:rPr>
          <w:sz w:val="20"/>
          <w:szCs w:val="20"/>
          <w:color w:val="auto"/>
        </w:rPr>
      </w:pPr>
    </w:p>
    <w:p>
      <w:pPr>
        <w:jc w:val="both"/>
        <w:ind w:left="120" w:right="200" w:firstLine="440"/>
        <w:spacing w:after="0" w:line="286" w:lineRule="auto"/>
        <w:rPr>
          <w:sz w:val="20"/>
          <w:szCs w:val="20"/>
          <w:color w:val="auto"/>
        </w:rPr>
      </w:pPr>
      <w:r>
        <w:rPr>
          <w:rFonts w:ascii="Arial" w:cs="Arial" w:eastAsia="Arial" w:hAnsi="Arial"/>
          <w:sz w:val="17"/>
          <w:szCs w:val="17"/>
          <w:color w:val="auto"/>
        </w:rPr>
        <w:t>The following table presents information about the Company’s assets that are measured at fair value on a recurring basis at March 31, 2021 and December 31, 2020 and indicates the fair value hierarchy of the valuation inputs the Company utilized to determine such fair value. The gross holding gains and fair value of held-to-maturity securities at March 31, 2021 and December 31, 2020 are as follows:</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40" w:type="dxa"/>
            <w:vAlign w:val="bottom"/>
            <w:gridSpan w:val="2"/>
            <w:vMerge w:val="restart"/>
          </w:tcPr>
          <w:p>
            <w:pPr>
              <w:ind w:left="1860"/>
              <w:spacing w:after="0"/>
              <w:rPr>
                <w:sz w:val="20"/>
                <w:szCs w:val="20"/>
                <w:color w:val="auto"/>
              </w:rPr>
            </w:pPr>
            <w:r>
              <w:rPr>
                <w:rFonts w:ascii="Arial" w:cs="Arial" w:eastAsia="Arial" w:hAnsi="Arial"/>
                <w:sz w:val="14"/>
                <w:szCs w:val="14"/>
                <w:b w:val="1"/>
                <w:bCs w:val="1"/>
                <w:color w:val="auto"/>
              </w:rPr>
              <w:t>Held-To-Maturity</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89"/>
              </w:rPr>
              <w:t>Level</w:t>
            </w:r>
          </w:p>
        </w:tc>
        <w:tc>
          <w:tcPr>
            <w:tcW w:w="4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Holding</w:t>
            </w: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40" w:type="dxa"/>
            <w:vAlign w:val="bottom"/>
            <w:gridSpan w:val="2"/>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Gain</w:t>
            </w: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March 31,</w:t>
            </w:r>
          </w:p>
        </w:tc>
        <w:tc>
          <w:tcPr>
            <w:tcW w:w="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8"/>
                <w:szCs w:val="18"/>
                <w:color w:val="auto"/>
              </w:rPr>
            </w:pPr>
          </w:p>
        </w:tc>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99"/>
              </w:rPr>
              <w:t>N/A</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93"/>
              </w:rPr>
              <w:t>N/A</w:t>
            </w: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$414,275,432</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89"/>
              </w:rPr>
              <w:t>December</w:t>
            </w:r>
          </w:p>
        </w:tc>
        <w:tc>
          <w:tcPr>
            <w:tcW w:w="760" w:type="dxa"/>
            <w:vAlign w:val="bottom"/>
          </w:tcPr>
          <w:p>
            <w:pPr>
              <w:ind w:left="20"/>
              <w:spacing w:after="0"/>
              <w:rPr>
                <w:sz w:val="20"/>
                <w:szCs w:val="20"/>
                <w:color w:val="auto"/>
              </w:rPr>
            </w:pPr>
            <w:r>
              <w:rPr>
                <w:rFonts w:ascii="Arial" w:cs="Arial" w:eastAsia="Arial" w:hAnsi="Arial"/>
                <w:sz w:val="18"/>
                <w:szCs w:val="18"/>
                <w:color w:val="auto"/>
              </w:rPr>
              <w:t>31, 2020</w:t>
            </w:r>
          </w:p>
        </w:tc>
        <w:tc>
          <w:tcPr>
            <w:tcW w:w="5140" w:type="dxa"/>
            <w:vAlign w:val="bottom"/>
            <w:gridSpan w:val="3"/>
          </w:tcPr>
          <w:p>
            <w:pPr>
              <w:ind w:left="100"/>
              <w:spacing w:after="0"/>
              <w:rPr>
                <w:sz w:val="20"/>
                <w:szCs w:val="20"/>
                <w:color w:val="auto"/>
              </w:rPr>
            </w:pPr>
            <w:r>
              <w:rPr>
                <w:rFonts w:ascii="Arial" w:cs="Arial" w:eastAsia="Arial" w:hAnsi="Arial"/>
                <w:sz w:val="18"/>
                <w:szCs w:val="18"/>
                <w:color w:val="auto"/>
              </w:rPr>
              <w:t>U.S. Treasury Securities (Mature on 1/28/2021)</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620" w:type="dxa"/>
            <w:vAlign w:val="bottom"/>
            <w:gridSpan w:val="3"/>
          </w:tcPr>
          <w:p>
            <w:pPr>
              <w:jc w:val="center"/>
              <w:ind w:left="13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414,228,281</w:t>
            </w:r>
          </w:p>
        </w:tc>
        <w:tc>
          <w:tcPr>
            <w:tcW w:w="1160" w:type="dxa"/>
            <w:vAlign w:val="bottom"/>
            <w:gridSpan w:val="3"/>
          </w:tcPr>
          <w:p>
            <w:pPr>
              <w:jc w:val="center"/>
              <w:ind w:right="2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4,345</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414,232,626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40"/>
        <w:spacing w:after="0" w:line="342" w:lineRule="auto"/>
        <w:rPr>
          <w:sz w:val="20"/>
          <w:szCs w:val="20"/>
          <w:color w:val="auto"/>
        </w:rPr>
      </w:pPr>
      <w:r>
        <w:rPr>
          <w:rFonts w:ascii="Arial" w:cs="Arial" w:eastAsia="Arial" w:hAnsi="Arial"/>
          <w:sz w:val="16"/>
          <w:szCs w:val="16"/>
          <w:color w:val="auto"/>
        </w:rPr>
        <w:t>The following table presents information about the Company’s liabilities that are measured at fair value on a recurring basis at March 31, 2021 and December 31, 2020 and indicates the fair value hierarchy of the valuation inputs the Company utilized to determine such fair value.</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5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9"/>
              </w:rPr>
              <w:t>Level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3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Warrant Liability – Public Warrants</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17,990,000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35,604,000</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Liability – Private Placement Warrants</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15,111,600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17,990,000</w:t>
            </w:r>
          </w:p>
        </w:tc>
        <w:tc>
          <w:tcPr>
            <w:tcW w:w="0" w:type="dxa"/>
            <w:vAlign w:val="bottom"/>
          </w:tcPr>
          <w:p>
            <w:pPr>
              <w:spacing w:after="0"/>
              <w:rPr>
                <w:sz w:val="1"/>
                <w:szCs w:val="1"/>
                <w:color w:val="auto"/>
              </w:rPr>
            </w:pPr>
          </w:p>
        </w:tc>
      </w:tr>
      <w:tr>
        <w:trPr>
          <w:trHeight w:val="230"/>
        </w:trPr>
        <w:tc>
          <w:tcPr>
            <w:tcW w:w="5440" w:type="dxa"/>
            <w:vAlign w:val="bottom"/>
          </w:tcPr>
          <w:p>
            <w:pPr>
              <w:ind w:left="360"/>
              <w:spacing w:after="0"/>
              <w:rPr>
                <w:sz w:val="20"/>
                <w:szCs w:val="20"/>
                <w:color w:val="auto"/>
              </w:rPr>
            </w:pPr>
            <w:r>
              <w:rPr>
                <w:rFonts w:ascii="Arial" w:cs="Arial" w:eastAsia="Arial" w:hAnsi="Arial"/>
                <w:sz w:val="18"/>
                <w:szCs w:val="18"/>
                <w:color w:val="auto"/>
              </w:rPr>
              <w:t>FPA Liability</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1,650,000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4,225,000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The Warrants were accounted for as liabilities in accordance with ASC 815-40 and are presented within warrant liabilities on the accompanying balance sheets. The warrant liabilities are measured at fair value at inception and on a recurring basis, with changes in fair value presented within the change in fair value of warrant liabilities in the statement of operations.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The Warrants are measured at fair value on a recurring basis. The Public Warrants were valued using the instrument’s publicly listed trading price as of the balance sheet date, which is considered to be a Level 1 measurement due to the use of an observable market quote in an active market.</w:t>
      </w:r>
    </w:p>
    <w:p>
      <w:pPr>
        <w:spacing w:after="0" w:line="124"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The Private Placement Warrants were valued using a Modified Black Scholes Model, which is considered to be a Level 3 fair value measurement. The primary unobservable input utilized in determining the fair value of the Private Placement Warrants is the expected volatility of our common stock. The expected volatility of the Company’s common stock was determined based on the implied volatility of the Public Warrants and was estimated to be 10% before the expected business combination and 20% after the expected business combination.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changes in the fair value of warrant liabilities: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700" w:type="dxa"/>
            <w:vAlign w:val="bottom"/>
            <w:gridSpan w:val="4"/>
            <w:vMerge w:val="restart"/>
          </w:tcPr>
          <w:p>
            <w:pPr>
              <w:ind w:left="1280"/>
              <w:spacing w:after="0"/>
              <w:rPr>
                <w:sz w:val="20"/>
                <w:szCs w:val="20"/>
                <w:color w:val="auto"/>
              </w:rPr>
            </w:pPr>
            <w:r>
              <w:rPr>
                <w:rFonts w:ascii="Arial" w:cs="Arial" w:eastAsia="Arial" w:hAnsi="Arial"/>
                <w:sz w:val="14"/>
                <w:szCs w:val="14"/>
                <w:b w:val="1"/>
                <w:bCs w:val="1"/>
                <w:color w:val="auto"/>
              </w:rPr>
              <w:t>Private Placement</w:t>
            </w:r>
          </w:p>
        </w:tc>
        <w:tc>
          <w:tcPr>
            <w:tcW w:w="240" w:type="dxa"/>
            <w:vAlign w:val="bottom"/>
          </w:tcPr>
          <w:p>
            <w:pPr>
              <w:spacing w:after="0"/>
              <w:rPr>
                <w:sz w:val="14"/>
                <w:szCs w:val="14"/>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Public</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70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5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Warrant Liabilities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January 1, 2021</w:t>
            </w:r>
          </w:p>
        </w:tc>
        <w:tc>
          <w:tcPr>
            <w:tcW w:w="1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17,990,000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$35,604,000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53,594,000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Change in fair value</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(2,878,400)</w:t>
            </w: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(5,589,000)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(8,467,400)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March 31, 2021</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15,111,600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30,015,000</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45,126,600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Transfers to/from Levels 1, 2 and 3 are recognized at the end of the reporting period in which a change in valuation technique or methodology occurs. The estimated fair value of the Public Warrants transferred from a Level 3 measurement to a Level 1 fair value measurement during the period from June 11, 2020 through December 31, 2020 was $34,697,600, when the Public Warrants were separately listed and traded. There were no transfers between levels for the three months ended March 31, 2021.</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changes in the fair value of FPA liability:</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Private</w:t>
            </w: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Placement</w:t>
            </w:r>
          </w:p>
        </w:tc>
      </w:tr>
      <w:tr>
        <w:trPr>
          <w:trHeight w:val="210"/>
        </w:trPr>
        <w:tc>
          <w:tcPr>
            <w:tcW w:w="2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January 1, 2021</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$ 4,225,000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Change in fair value</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(2,575,000)</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March 31, 2021</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$ 1,650,000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SUBSEQUENT EVENTS</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as described below, the Company did not identify any subsequent events that would have required adjustment or disclosure in the financial statements.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References in this report (the “Quarterly Report”) to “we,” “us” or the “Company” refer to Hudson Executive Investment Corp. References to our “management” or our “management team” refer to our officers and directors and references to the “Sponsor” refer to HEC Sponsor LLC. The following discussion and analysis of the Company’s financial condition and results of operations should be read in conjunction with the financial statements and the notes thereto contained elsewhere in this Quarterly Report (the “Financial Statements”). Capitalized terms used but not otherwise defined herein have the meaning set forth in the Financial Statements. Certain information contained in the discussion and analysis set forth below includes forward-looking statements that involve risks and uncertainties.</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ind w:left="120" w:right="60"/>
        <w:spacing w:after="0" w:line="255" w:lineRule="auto"/>
        <w:rPr>
          <w:sz w:val="20"/>
          <w:szCs w:val="20"/>
          <w:color w:val="auto"/>
        </w:rPr>
      </w:pPr>
      <w:r>
        <w:rPr>
          <w:rFonts w:ascii="Arial" w:cs="Arial" w:eastAsia="Arial" w:hAnsi="Arial"/>
          <w:sz w:val="18"/>
          <w:szCs w:val="18"/>
          <w:color w:val="auto"/>
        </w:rPr>
        <w:t>This Quarterly Report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Quarterly</w:t>
      </w:r>
    </w:p>
    <w:p>
      <w:pPr>
        <w:spacing w:after="0" w:line="3"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Part I, “Item 1A. Risk Factors” of our Annual Report on Form 10-K, as amended, filed with the Securities and Exchange Commission (“SEC”) on May 5, 2021 (the “Annual Report”) and our other filings from time to time with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are a blank check company incorporated on February 6, 2020 as a Delaware corporation and formed for the purpose of entering into a merger, share exchange, asset acquisition, stock purchase, recapitalization, reorganization or other similar business combination with one or more businesses or entities, which we refer to throughout this Quarterly Report as our initial business combination. To date, our efforts have been limited to organizational activities, completion of our initial public offering (referred to herein as our “Initial Public Offering”) and the evaluation of possible business combinations, and we have neither engaged in any other operations nor generated any revenues. Based on our business activities to date, the Company is a “shell company” as defined under the Exchange Act because we have minimal operations and nominal assets consisting almost entirely of cash held in a trust account.</w:t>
      </w:r>
    </w:p>
    <w:p>
      <w:pPr>
        <w:spacing w:after="0" w:line="195"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The Company was co-founded by Hudson Executive Capital LP (“Hudson Executive Capital”), a value-oriented, event-driven investment firm with a focus on, and experience across, the financial services and healthcare sectors, Douglas L. Braunstein, our President and Chairman, and Douglas G. Bergeron, our Chief Executive Officer. Mr. Braunstein is the Founder and a Managing Partner of Hudson Executive Capital and Mr. Bergeron is a Managing Partner. Hudson Executive Capital, which is a member of our sponsor and is our affiliate, was founded in 2015 and has a successful history investing in undervalued domestic small and mid-cap public companies with identified and actionable opportunities for value creation. Since Hudson Executive Capital’s inception, the majority of its employed capital has been focused on financial services and healthcare.</w:t>
      </w:r>
    </w:p>
    <w:p>
      <w:pPr>
        <w:spacing w:after="0" w:line="164"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On June 11, 2020, we completed our Initial Public Offering of 41,400,000 units (“Units”) at a price of $10.00 per unit, generating gross proceeds of $414,000,000. Each unit consists of one share of Class A common stock and one-half of one redeemable warrant of the Company. Each whole warrant entitles the holder thereof to purchase one share of Class A common stock for $11.50 per share, subject to certain adjustments and conditions.</w:t>
      </w:r>
    </w:p>
    <w:p>
      <w:pPr>
        <w:spacing w:after="0" w:line="14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On January 12, 2021, we announced that we had entered into a definitive merger agreement (the “Merger Agreement”) with certain entities collectively known as “Talkspace,” and we refer to our proposed merger with Talkspace throughout this Quarterly Report on Form 10-Q as our “Proposed Business Combination.” We intend to effectuate the Proposed Business Combination using cash from the proceeds of our Initial Public Offering, the sale of the private placement warrants that occurred simultaneously with the completion of our Initial Public Offering and the sale of the forward purchase units, shares issued to the owners of the target, debt issued to bank or other lenders or the owners of the target, or a combination of the foregoing.</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220" w:firstLine="440"/>
        <w:spacing w:after="0" w:line="284" w:lineRule="auto"/>
        <w:rPr>
          <w:sz w:val="20"/>
          <w:szCs w:val="20"/>
          <w:color w:val="auto"/>
        </w:rPr>
      </w:pPr>
      <w:r>
        <w:rPr>
          <w:rFonts w:ascii="Arial" w:cs="Arial" w:eastAsia="Arial" w:hAnsi="Arial"/>
          <w:sz w:val="16"/>
          <w:szCs w:val="16"/>
          <w:color w:val="auto"/>
        </w:rPr>
        <w:t>We have neither engaged in any operations nor generated any revenues to date. Our only activities from inception to December 31, 2020 were organizational activities, those necessary to prepare for the Initial Public Offering, described below, and, following the Initial Public Offering, identifying a target company for a business combination and completing activities related to the Merger Agreement. We do not expect to generate any operating revenues until after the completion of an initial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 in connection with completing our initial business combination.</w:t>
      </w:r>
    </w:p>
    <w:p>
      <w:pPr>
        <w:spacing w:after="0" w:line="4" w:lineRule="exact"/>
        <w:rPr>
          <w:sz w:val="20"/>
          <w:szCs w:val="20"/>
          <w:color w:val="auto"/>
        </w:rPr>
      </w:pPr>
    </w:p>
    <w:p>
      <w:pPr>
        <w:ind w:left="120" w:right="180" w:firstLine="440"/>
        <w:spacing w:after="0" w:line="290" w:lineRule="auto"/>
        <w:rPr>
          <w:sz w:val="20"/>
          <w:szCs w:val="20"/>
          <w:color w:val="auto"/>
        </w:rPr>
      </w:pPr>
      <w:r>
        <w:rPr>
          <w:rFonts w:ascii="Arial" w:cs="Arial" w:eastAsia="Arial" w:hAnsi="Arial"/>
          <w:sz w:val="17"/>
          <w:szCs w:val="17"/>
          <w:color w:val="auto"/>
        </w:rPr>
        <w:t>For the three months ended March 31, 2021, we had a net income of $10,361,129, which consisted of the change in the value of our warrant and FPA liabilities of $11,042,400 and interest earned on the marketable securities of $47,151, offset by operating costs of $728,422.</w:t>
      </w:r>
    </w:p>
    <w:p>
      <w:pPr>
        <w:spacing w:after="0" w:line="5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the period from February 6, 2020 (inception) through March 31, 2020, we had a net loss of $1,000, which consists of formation costs.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On June 11, 2020, we consummated the Initial Public Offering of 41,400,000 Units, which included the full exercise by the underwriters of the over-allotment option to purchase an additional 5,400,000 Units, at $10.00 per Unit, generating gross proceeds of $414,000,000. Simultaneously with the closing of the Initial Public Offering, we consummated the sale of 10,280,000 Private Placement Warrants to our Sponsor at a price of $1.00 per warrant, generating gross proceeds of $10,280,000.</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Following the Initial Public Offering, the exercise of the over-allotment option and the sale of the Private Placement Warrants, a total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$414,000,000 was placed in the Trust Account. We incurred $23,353,182 in transaction costs, including $8,280,000 of underwriting fees, $14,490,000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underwriting fees and $583,182 of other offering costs.</w:t>
      </w:r>
    </w:p>
    <w:p>
      <w:pPr>
        <w:spacing w:after="0" w:line="103"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For the three months ended March 31, 2021, cash used in operating activities was $801,083. Net income of $10,361,129 was offset by a non-cash charge for the change in the fair value of warrant and FPA liabilities of $11,042,400 interest earned on marketable securities held in the Trust Account of $47,151, and increased by operating costs paid through promissory note proceeds of $2,586. Changes in operating assets and liabilities provided $75,247 of cash from operating activities.</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period from February 6, 2020 (inception) through March 31, 2020, cash used in operating activities was $1,000.</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As of March 31, 2021, we had cash and marketable securities held in the Trust Account of $414,275,432. We intend to use substantially all of the funds held in the Trust Account, including any amounts representing interest earned on the Trust Account (less taxes payable and deferred underwriting commissions) to complete our initial Business Combination.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 During the period ended March 31, 2021, we did not withdraw any interest income from the Trust Account.</w:t>
      </w:r>
    </w:p>
    <w:p>
      <w:pPr>
        <w:spacing w:after="0" w:line="84"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As of March 31, 2021, we had $377,294 of cash held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63"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order to fund working capital deficiencies or finance transaction costs in connection with our initial Business Combination, our Sponsor or an affiliate of our Sponsor or certain of our officers and directors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identical to the Private Placement Warrants, at a price of $1.00 per warrant at the option of the lender.</w:t>
      </w:r>
    </w:p>
    <w:p>
      <w:pPr>
        <w:spacing w:after="0" w:line="8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Business Combination. Moreover, we may need to obtain additional financing either to complete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complete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60"/>
        <w:spacing w:after="0" w:line="259" w:lineRule="auto"/>
        <w:rPr>
          <w:sz w:val="20"/>
          <w:szCs w:val="20"/>
          <w:color w:val="auto"/>
        </w:rPr>
      </w:pPr>
      <w:r>
        <w:rPr>
          <w:rFonts w:ascii="Arial" w:cs="Arial" w:eastAsia="Arial" w:hAnsi="Arial"/>
          <w:sz w:val="18"/>
          <w:szCs w:val="18"/>
          <w:color w:val="auto"/>
        </w:rPr>
        <w:t>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left="560" w:right="120" w:firstLine="423"/>
        <w:spacing w:after="0" w:line="291" w:lineRule="auto"/>
        <w:rPr>
          <w:sz w:val="20"/>
          <w:szCs w:val="20"/>
          <w:color w:val="auto"/>
        </w:rPr>
      </w:pPr>
      <w:r>
        <w:rPr>
          <w:rFonts w:ascii="Arial" w:cs="Arial" w:eastAsia="Arial" w:hAnsi="Arial"/>
          <w:sz w:val="16"/>
          <w:szCs w:val="16"/>
          <w:color w:val="auto"/>
        </w:rPr>
        <w:t>We have until June 11, 2022 to consummate an initial business combination. It is uncertain that we will be able to consummate an initial business combination by this time. If an initial business combination is not consummated by this date, we may require additional capital or there may be a mandatory liquidation and subsequent dissolution. If we are unable to raise additional capital, we may be required to take additional measures to conserve liquidity, which could include, but not necessarily be limited to, suspending the pursuit of a business combination. We cannot provide assurance that new financing will be available to us on commercially acceptable terms, if at all. Management has determined that the liquidity condition, should an initial business combination not occur, raises substantial doubt about our ability to continue as a going concern. No adjustments have been made to the carrying amounts of assets or liabilities should we be unable to continue as a going concern.</w:t>
      </w: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121" w:lineRule="exact"/>
        <w:rPr>
          <w:sz w:val="20"/>
          <w:szCs w:val="20"/>
          <w:color w:val="auto"/>
        </w:rPr>
      </w:pPr>
    </w:p>
    <w:p>
      <w:pPr>
        <w:ind w:left="560" w:right="280" w:firstLine="423"/>
        <w:spacing w:after="0" w:line="257"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as of March 31, 2021.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60" w:right="100" w:firstLine="423"/>
        <w:spacing w:after="0" w:line="259"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an agreement to pay an affiliate of our Sponsor a monthly fee of $10,000 for office space, utilities and secretarial and administrative services to the Company. We began incurring these fees on June 8, 2020 and will continue to incur these fees monthly until the earlier of the completion of our Business Combination and the Company’s liquidation.</w:t>
      </w:r>
    </w:p>
    <w:p>
      <w:pPr>
        <w:spacing w:after="0" w:line="79" w:lineRule="exact"/>
        <w:rPr>
          <w:sz w:val="20"/>
          <w:szCs w:val="20"/>
          <w:color w:val="auto"/>
        </w:rPr>
      </w:pPr>
    </w:p>
    <w:p>
      <w:pPr>
        <w:ind w:left="560" w:right="200" w:firstLine="423"/>
        <w:spacing w:after="0" w:line="342" w:lineRule="auto"/>
        <w:rPr>
          <w:sz w:val="20"/>
          <w:szCs w:val="20"/>
          <w:color w:val="auto"/>
        </w:rPr>
      </w:pPr>
      <w:r>
        <w:rPr>
          <w:rFonts w:ascii="Arial" w:cs="Arial" w:eastAsia="Arial" w:hAnsi="Arial"/>
          <w:sz w:val="16"/>
          <w:szCs w:val="16"/>
          <w:color w:val="auto"/>
        </w:rPr>
        <w:t>The underwriters are entitled to a deferred fee of $0.35 per Unit, or $14,490,000 in the aggregate. The deferred fee will be forfeited by the underwriters in the event that the Company fails to complete a Business Combination, subject to the terms of the underwriting agreement.</w:t>
      </w:r>
    </w:p>
    <w:p>
      <w:pPr>
        <w:spacing w:after="0" w:line="16" w:lineRule="exact"/>
        <w:rPr>
          <w:sz w:val="20"/>
          <w:szCs w:val="20"/>
          <w:color w:val="auto"/>
        </w:rPr>
      </w:pPr>
    </w:p>
    <w:p>
      <w:pPr>
        <w:ind w:left="560" w:right="60" w:firstLine="423"/>
        <w:spacing w:after="0" w:line="286" w:lineRule="auto"/>
        <w:rPr>
          <w:sz w:val="20"/>
          <w:szCs w:val="20"/>
          <w:color w:val="auto"/>
        </w:rPr>
      </w:pPr>
      <w:r>
        <w:rPr>
          <w:rFonts w:ascii="Arial" w:cs="Arial" w:eastAsia="Arial" w:hAnsi="Arial"/>
          <w:sz w:val="16"/>
          <w:szCs w:val="16"/>
          <w:color w:val="auto"/>
        </w:rPr>
        <w:t>In addition, we entered into a forward purchase agreement (the “HEC Forward Purchase Agreement”) with HEC Master Fund LP (“HEC Master”) pursuant to which HEC Master has committed to purchase from us up to 5,000,000 Forward Purchase Units, for $10.00 per unit, or an aggregate amount of up to $50,000,000, in a private placement that will close concurrently with the closing of a Business Combination. The proceeds from the sale of these Forward Purchase Units, together with the amounts available to us from the Trust Account (after giving effect to any redemptions of Public Shares) and any other equity or debt financing obtained by us in connection with the Business Combination, will be used to satisfy the cash requirements of the Business Combination, including funding the purchase price and paying expenses and retaining specified amounts to be used by the post-Business Combination company for working capital or other purposes. To the extent that the amounts available from the Trust Account and other financing are sufficient for such cash requirements, HEC Master may purchase less than 5,000,000 Forward Purchase Units. In addition, HEC Master’s commitment under the HEC Forward Purchase Agreement will be subject to approval, prior to us entering into a definitive agreement for the initial Business Combination, of its investment committee. Pursuant to the terms of the HEC Forward Purchase Agreement, HEC Master will have the option to assign its commitment to one of its affiliates and up to $2,500,000 to members of our management team. The Forward Purchase Shares will be identical to the shares of Class A common stock included in the units sold in the Initial Public Offering, except that they will be subject to transfer restrictions and registration rights. The HEC Forward Purchase Warrants will have the same terms as the Private Placement Warrants so long as they are held by HEC Master or its permitted assignees and transferees.</w:t>
      </w:r>
    </w:p>
    <w:p>
      <w:pPr>
        <w:spacing w:after="0" w:line="63" w:lineRule="exact"/>
        <w:rPr>
          <w:sz w:val="20"/>
          <w:szCs w:val="20"/>
          <w:color w:val="auto"/>
        </w:rPr>
      </w:pPr>
    </w:p>
    <w:p>
      <w:pPr>
        <w:ind w:left="560" w:firstLine="423"/>
        <w:spacing w:after="0" w:line="275" w:lineRule="auto"/>
        <w:rPr>
          <w:sz w:val="20"/>
          <w:szCs w:val="20"/>
          <w:color w:val="auto"/>
        </w:rPr>
      </w:pPr>
      <w:r>
        <w:rPr>
          <w:rFonts w:ascii="Arial" w:cs="Arial" w:eastAsia="Arial" w:hAnsi="Arial"/>
          <w:sz w:val="17"/>
          <w:szCs w:val="17"/>
          <w:color w:val="auto"/>
        </w:rPr>
        <w:t>In connection with the signing of the Merger Agreement, the Company and HEC Master amended the HEC Forward Purchase Agreement. Pursuant to the First Amendment to the HEC Forward Purchase Agreement, dated January 12, 2021, HEC Master’s purchase obligations were amended such that HEC Master is obligated to purchase 2,500,000 Forward Purchase Units and backstop up to $25,000,000 of redemptions by our stockholders through the purchase of additional Forward Purchase Units, in each case valued at $10.00 per Forward Purchase Unit, in a private placement that will close concurrently with the closing of the Business Combination.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560" w:right="180" w:firstLine="423"/>
        <w:spacing w:after="0" w:line="301" w:lineRule="auto"/>
        <w:rPr>
          <w:sz w:val="20"/>
          <w:szCs w:val="20"/>
          <w:color w:val="auto"/>
        </w:rPr>
      </w:pPr>
      <w:r>
        <w:rPr>
          <w:rFonts w:ascii="Arial" w:cs="Arial" w:eastAsia="Arial" w:hAnsi="Arial"/>
          <w:sz w:val="16"/>
          <w:szCs w:val="16"/>
          <w:color w:val="auto"/>
        </w:rPr>
        <w:t>The preparation of condensed consolidated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Warrant and Forward Purchase Agreement Liabilities</w:t>
      </w:r>
    </w:p>
    <w:p>
      <w:pPr>
        <w:spacing w:after="0" w:line="117" w:lineRule="exact"/>
        <w:rPr>
          <w:sz w:val="20"/>
          <w:szCs w:val="20"/>
          <w:color w:val="auto"/>
        </w:rPr>
      </w:pPr>
    </w:p>
    <w:p>
      <w:pPr>
        <w:ind w:left="560" w:right="20" w:firstLine="423"/>
        <w:spacing w:after="0" w:line="254" w:lineRule="auto"/>
        <w:rPr>
          <w:sz w:val="20"/>
          <w:szCs w:val="20"/>
          <w:color w:val="auto"/>
        </w:rPr>
      </w:pPr>
      <w:r>
        <w:rPr>
          <w:rFonts w:ascii="Arial" w:cs="Arial" w:eastAsia="Arial" w:hAnsi="Arial"/>
          <w:sz w:val="18"/>
          <w:szCs w:val="18"/>
          <w:color w:val="auto"/>
        </w:rPr>
        <w:t>We account for the Warrants and the HEC Forward Purchase Agreement in accordance with the guidance contained in ASC 815 under which the Warrants and the HEC Forward Purchase Agreement do not meet the criteria for equity treatment and must be recorded as liabilities. Accordingly, we classify the Warrants and the HEC Forward Purchase Agreement as liabilities at their fair value and adjust the Warrants and the HEC Forward Purchase Agreement to fair value at each reporting period. These liabilities are subject to re-measurement at each balance sheet date until exercised, and any change in fair value is recognized in our statement of operations. The fair value of the Public Warrants has been estimated using the Public Warrants’ quoted market price. The Private Placement Warrants and the HEC Forward Purchase Agreement are valued using a Modified Black Scholes Option Pricing Model.</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117" w:lineRule="exact"/>
        <w:rPr>
          <w:sz w:val="20"/>
          <w:szCs w:val="20"/>
          <w:color w:val="auto"/>
        </w:rPr>
      </w:pPr>
    </w:p>
    <w:p>
      <w:pPr>
        <w:ind w:left="560" w:firstLine="423"/>
        <w:spacing w:after="0" w:line="291" w:lineRule="auto"/>
        <w:rPr>
          <w:sz w:val="20"/>
          <w:szCs w:val="20"/>
          <w:color w:val="auto"/>
        </w:rPr>
      </w:pPr>
      <w:r>
        <w:rPr>
          <w:rFonts w:ascii="Arial" w:cs="Arial" w:eastAsia="Arial" w:hAnsi="Arial"/>
          <w:sz w:val="16"/>
          <w:szCs w:val="16"/>
          <w:color w:val="auto"/>
        </w:rPr>
        <w:t>We account for our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common stock subject to possible redemption is presented as temporary equity, outside of the stockholders’ equity section of our condensed consolidated balance sheets.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Net Income (Loss) Per Common Share</w:t>
      </w:r>
    </w:p>
    <w:p>
      <w:pPr>
        <w:spacing w:after="0" w:line="117" w:lineRule="exact"/>
        <w:rPr>
          <w:sz w:val="20"/>
          <w:szCs w:val="20"/>
          <w:color w:val="auto"/>
        </w:rPr>
      </w:pPr>
    </w:p>
    <w:p>
      <w:pPr>
        <w:ind w:left="560" w:right="200" w:firstLine="423"/>
        <w:spacing w:after="0" w:line="296" w:lineRule="auto"/>
        <w:rPr>
          <w:sz w:val="20"/>
          <w:szCs w:val="20"/>
          <w:color w:val="auto"/>
        </w:rPr>
      </w:pPr>
      <w:r>
        <w:rPr>
          <w:rFonts w:ascii="Arial" w:cs="Arial" w:eastAsia="Arial" w:hAnsi="Arial"/>
          <w:sz w:val="16"/>
          <w:szCs w:val="16"/>
          <w:color w:val="auto"/>
        </w:rPr>
        <w:t>We apply the two-class method in calculating earnings per share. Net income per common share, basic and diluted for Class A redeemable common stock is calculated by dividing the interest income earned on the Trust Account, net of applicable franchise and income taxes, by the weighted average number of Class A redeemable common stock outstanding for the period. Net loss per common share, basic and diluted for Class B non-redeemable common stock is calculated by dividing the net income, less income attributable to Class A redeemable common stock, by the weighted average number of Class B non-redeemable common stock outstanding for the period presented.</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Recent Accounting Standards</w:t>
      </w:r>
    </w:p>
    <w:p>
      <w:pPr>
        <w:spacing w:after="0" w:line="117" w:lineRule="exact"/>
        <w:rPr>
          <w:sz w:val="20"/>
          <w:szCs w:val="20"/>
          <w:color w:val="auto"/>
        </w:rPr>
      </w:pPr>
    </w:p>
    <w:p>
      <w:pPr>
        <w:ind w:left="560" w:right="580" w:firstLine="423"/>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our financial statements.</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left="560" w:right="160" w:firstLine="423"/>
        <w:spacing w:after="0" w:line="311" w:lineRule="auto"/>
        <w:rPr>
          <w:sz w:val="20"/>
          <w:szCs w:val="20"/>
          <w:color w:val="auto"/>
        </w:rPr>
      </w:pPr>
      <w:r>
        <w:rPr>
          <w:rFonts w:ascii="Arial" w:cs="Arial" w:eastAsia="Arial" w:hAnsi="Arial"/>
          <w:sz w:val="16"/>
          <w:szCs w:val="16"/>
          <w:color w:val="auto"/>
        </w:rPr>
        <w:t>As of March 31, 2021, we were not subject to any market or interest rate risk. The net proceeds received into the Trust Account, have been invested in U.S. government treasury bills, notes or bonds with a maturity of 180 days or less or in certain money market funds that invest solely in US treasuries. Due to the short-term nature of these investments, we believe there will be no associated material exposure to interest rate risk.</w:t>
      </w:r>
    </w:p>
    <w:p>
      <w:pPr>
        <w:spacing w:after="0" w:line="293"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560" w:right="60" w:firstLine="423"/>
        <w:spacing w:after="0" w:line="296"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left="560" w:right="40" w:firstLine="423"/>
        <w:spacing w:after="0" w:line="289" w:lineRule="auto"/>
        <w:rPr>
          <w:sz w:val="20"/>
          <w:szCs w:val="20"/>
          <w:color w:val="auto"/>
        </w:rPr>
      </w:pPr>
      <w:r>
        <w:rPr>
          <w:rFonts w:ascii="Arial" w:cs="Arial" w:eastAsia="Arial" w:hAnsi="Arial"/>
          <w:sz w:val="16"/>
          <w:szCs w:val="16"/>
          <w:color w:val="auto"/>
        </w:rPr>
        <w:t>As required by Rules 13a-15 and 15d-15 under the Exchange Act, our Chief Executive Officer and Chief Financial Officer carried out an evaluation of the effectiveness of the design and operation of our disclosure controls and procedures as of March 31, 2021. Based upon their evaluation, our Chief Executive Officer and Chief Financial Officer concluded that, solely due to the Company’s restatement of its financial statements to reclassify the Company’s warrants and the HEC Forward Purchase Agreement as described in the Company Amended Annual Report on Form 10-K/A, our disclosure controls and procedures (as defined in Rules 13a-15 (e) and 15d-15 (e) under the Exchange Act) were not effective, and the foregoing arose as a result of a material weakness in the Company’s internal control over financial reporting. In light of this material weakness, we performed additional analysis as deemed necessary to ensure our financial statements were prepared in accordance with U.S. generally accepted accounting principles. Accordingly, management believes the financial statements included in this report present fairly in all material respects our financial position, results of operations and cash flows for the periods presented.</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left="560" w:right="40" w:firstLine="423"/>
        <w:spacing w:after="0" w:line="254" w:lineRule="auto"/>
        <w:rPr>
          <w:sz w:val="20"/>
          <w:szCs w:val="20"/>
          <w:color w:val="auto"/>
        </w:rPr>
      </w:pPr>
      <w:r>
        <w:rPr>
          <w:rFonts w:ascii="Arial" w:cs="Arial" w:eastAsia="Arial" w:hAnsi="Arial"/>
          <w:sz w:val="18"/>
          <w:szCs w:val="18"/>
          <w:color w:val="auto"/>
        </w:rPr>
        <w:t>During the most recently completed fiscal quarter, there has been no change in our internal control over financial reporting that has materially affected, or is reasonably likely to materially affect, our internal control over financial reporting, as the circumstances that led to the restatement of our financial statements described in the Amendment to our Annual Report on Form 10-K/A had not yet been identified. However, as management has identified a material weakness in our internal control over financial reporting with respect to the classification of the Company’s warrants and the HEC Forward Purchase Agreement as components of equity instead of as liabilities, as well as the related determination of the fair value of warrant liabilities, additional paid-in capital and accumulated deficit, and related financial disclosures, the Company is addressing this material weakness by taking several remedial actions, as more fully described in our Amendment to our Annual Reports on Form 10-K/A.</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II—OTHER INFORMATION</w:t>
      </w:r>
    </w:p>
    <w:p>
      <w:pPr>
        <w:spacing w:after="0" w:line="13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On June 11, 2020, we consummated our Initial Public Offering of 41,400,000 Units, inclusive of the issuance of 5,400,000 Units as a result of the underwriters’ election to exercise their over-allotment option in full. The Units were sold at an offering price of $10.00 per Unit, generating total gross proceeds of $414,000,000. Citigroup Global Markets Inc and J.P. Morgan Securities LLC acted as the joint book running managers and SVB Leerink LLC acted as the co-manager of the offering. The securities sold in the offering were registered under the Securities Act on a registration statement on Form S-1 (No. 333-238583). The SEC declared the registration statement effective on June 8, 2020.</w:t>
      </w:r>
    </w:p>
    <w:p>
      <w:pPr>
        <w:spacing w:after="0" w:line="17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Simultaneously with the consummation of the Initial Public Offering and the full exercise of the over-allotment option, we consummated a private placement of 10,280,000 private placement warrants to our Sponsor at a price of $1.00 per private placement warrant, generating total proceeds of $10,280,000. Such securities were issued pursuant to the exemption from registration contained in Section 4(a)(2) of the Securities Act.</w:t>
      </w:r>
    </w:p>
    <w:p>
      <w:pPr>
        <w:spacing w:after="0" w:line="14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private placement warrants are the same as the warrants underlying the Units sold in the Initial Public Offering, except that private placement warrants are not transferable, assignable or salable until 30 days after the completion of an initial business combination, subject to certain limited exceptions. Additionally, the private placement warrants are exercisable on a cashless basis and are non-redeemable so long as they are held by the initial purchasers or their permitted transferees.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80"/>
          </w:cols>
          <w:pgMar w:left="32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Of the gross proceeds received from the Initial Public Offering and the sale of the private placement warrants, $414,000,000 was placed in the Trust Account.</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paid a total of $8,280,000 in underwriting discounts and commissions and $583,182 for other costs and expenses related to the Initial Public Offering. In addition, the underwriters agreed to defer $14,490,000 in underwriting discounts and commissions.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 description of the use of the proceeds generated in our Initial Public Offering, see Part I, Item 2 of this Quarterly Report.</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1340" w:type="dxa"/>
            <w:vAlign w:val="bottom"/>
          </w:tcPr>
          <w:p>
            <w:pPr>
              <w:ind w:left="360"/>
              <w:spacing w:after="0"/>
              <w:rPr>
                <w:sz w:val="20"/>
                <w:szCs w:val="20"/>
                <w:color w:val="auto"/>
              </w:rPr>
            </w:pPr>
            <w:r>
              <w:rPr>
                <w:rFonts w:ascii="Arial" w:cs="Arial" w:eastAsia="Arial" w:hAnsi="Arial"/>
                <w:sz w:val="14"/>
                <w:szCs w:val="14"/>
                <w:b w:val="1"/>
                <w:bCs w:val="1"/>
                <w:color w:val="auto"/>
              </w:rPr>
              <w:t>No.</w:t>
            </w:r>
          </w:p>
        </w:tc>
        <w:tc>
          <w:tcPr>
            <w:tcW w:w="13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6060" w:type="dxa"/>
            <w:vAlign w:val="bottom"/>
            <w:gridSpan w:val="5"/>
          </w:tcPr>
          <w:p>
            <w:pPr>
              <w:ind w:left="560"/>
              <w:spacing w:after="0"/>
              <w:rPr>
                <w:sz w:val="20"/>
                <w:szCs w:val="20"/>
                <w:color w:val="auto"/>
              </w:rPr>
            </w:pPr>
            <w:r>
              <w:rPr>
                <w:rFonts w:ascii="Arial" w:cs="Arial" w:eastAsia="Arial" w:hAnsi="Arial"/>
                <w:sz w:val="14"/>
                <w:szCs w:val="14"/>
                <w:b w:val="1"/>
                <w:bCs w:val="1"/>
                <w:color w:val="auto"/>
              </w:rPr>
              <w:t>Description of Exhibit</w:t>
            </w:r>
          </w:p>
        </w:tc>
      </w:tr>
      <w:tr>
        <w:trPr>
          <w:trHeight w:val="269"/>
        </w:trPr>
        <w:tc>
          <w:tcPr>
            <w:tcW w:w="1340" w:type="dxa"/>
            <w:vAlign w:val="bottom"/>
          </w:tcPr>
          <w:p>
            <w:pPr>
              <w:ind w:left="80"/>
              <w:spacing w:after="0"/>
              <w:rPr>
                <w:sz w:val="20"/>
                <w:szCs w:val="20"/>
                <w:color w:val="auto"/>
              </w:rPr>
            </w:pPr>
            <w:r>
              <w:rPr>
                <w:rFonts w:ascii="Arial" w:cs="Arial" w:eastAsia="Arial" w:hAnsi="Arial"/>
                <w:sz w:val="18"/>
                <w:szCs w:val="18"/>
                <w:color w:val="auto"/>
              </w:rPr>
              <w:t>31.1*</w:t>
            </w:r>
          </w:p>
        </w:tc>
        <w:tc>
          <w:tcPr>
            <w:tcW w:w="904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Certification of Principal Executive Officer Pursuant to Securities Exchange Act Rules 13a-14(a) and 15(d)-14(a), as adopted</w:t>
              </w:r>
            </w:hyperlink>
          </w:p>
        </w:tc>
        <w:tc>
          <w:tcPr>
            <w:tcW w:w="620" w:type="dxa"/>
            <w:vAlign w:val="bottom"/>
            <w:gridSpan w:val="3"/>
          </w:tcPr>
          <w:p>
            <w:pPr>
              <w:spacing w:after="0"/>
              <w:rPr>
                <w:sz w:val="23"/>
                <w:szCs w:val="23"/>
                <w:color w:val="auto"/>
              </w:rPr>
            </w:pPr>
          </w:p>
        </w:tc>
      </w:tr>
      <w:tr>
        <w:trPr>
          <w:trHeight w:val="196"/>
        </w:trPr>
        <w:tc>
          <w:tcPr>
            <w:tcW w:w="1340" w:type="dxa"/>
            <w:vAlign w:val="bottom"/>
          </w:tcPr>
          <w:p>
            <w:pPr>
              <w:spacing w:after="0"/>
              <w:rPr>
                <w:sz w:val="17"/>
                <w:szCs w:val="17"/>
                <w:color w:val="auto"/>
              </w:rPr>
            </w:pPr>
          </w:p>
        </w:tc>
        <w:tc>
          <w:tcPr>
            <w:tcW w:w="42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Pursuant to Section 302 of the Sarbanes-Oxley Act of 2002</w:t>
              </w:r>
            </w:hyperlink>
          </w:p>
        </w:tc>
        <w:tc>
          <w:tcPr>
            <w:tcW w:w="5380" w:type="dxa"/>
            <w:vAlign w:val="bottom"/>
            <w:gridSpan w:val="4"/>
          </w:tcPr>
          <w:p>
            <w:pPr>
              <w:spacing w:after="0"/>
              <w:rPr>
                <w:sz w:val="17"/>
                <w:szCs w:val="17"/>
                <w:color w:val="auto"/>
              </w:rPr>
            </w:pPr>
          </w:p>
        </w:tc>
      </w:tr>
      <w:tr>
        <w:trPr>
          <w:trHeight w:val="304"/>
        </w:trPr>
        <w:tc>
          <w:tcPr>
            <w:tcW w:w="1340" w:type="dxa"/>
            <w:vAlign w:val="bottom"/>
          </w:tcPr>
          <w:p>
            <w:pPr>
              <w:ind w:left="80"/>
              <w:spacing w:after="0"/>
              <w:rPr>
                <w:sz w:val="20"/>
                <w:szCs w:val="20"/>
                <w:color w:val="auto"/>
              </w:rPr>
            </w:pPr>
            <w:r>
              <w:rPr>
                <w:rFonts w:ascii="Arial" w:cs="Arial" w:eastAsia="Arial" w:hAnsi="Arial"/>
                <w:sz w:val="18"/>
                <w:szCs w:val="18"/>
                <w:color w:val="auto"/>
              </w:rPr>
              <w:t>31.2*</w:t>
            </w:r>
          </w:p>
        </w:tc>
        <w:tc>
          <w:tcPr>
            <w:tcW w:w="96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Certification of Principal Financial Officer Pursuant to Securities Exchange Act Rules 13a-14(a) and 15(d)-14(a), as adopted Pursuant</w:t>
              </w:r>
            </w:hyperlink>
          </w:p>
        </w:tc>
      </w:tr>
      <w:tr>
        <w:trPr>
          <w:trHeight w:val="196"/>
        </w:trPr>
        <w:tc>
          <w:tcPr>
            <w:tcW w:w="1340" w:type="dxa"/>
            <w:vAlign w:val="bottom"/>
          </w:tcPr>
          <w:p>
            <w:pPr>
              <w:spacing w:after="0"/>
              <w:rPr>
                <w:sz w:val="17"/>
                <w:szCs w:val="17"/>
                <w:color w:val="auto"/>
              </w:rPr>
            </w:pPr>
          </w:p>
        </w:tc>
        <w:tc>
          <w:tcPr>
            <w:tcW w:w="9660" w:type="dxa"/>
            <w:vAlign w:val="bottom"/>
            <w:gridSpan w:val="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to Section 302 of the Sarbanes-Oxley Act of 2002</w:t>
              </w:r>
            </w:hyperlink>
          </w:p>
        </w:tc>
      </w:tr>
      <w:tr>
        <w:trPr>
          <w:trHeight w:val="20"/>
        </w:trPr>
        <w:tc>
          <w:tcPr>
            <w:tcW w:w="134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5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340" w:type="dxa"/>
            <w:vAlign w:val="bottom"/>
          </w:tcPr>
          <w:p>
            <w:pPr>
              <w:ind w:left="80"/>
              <w:spacing w:after="0"/>
              <w:rPr>
                <w:sz w:val="20"/>
                <w:szCs w:val="20"/>
                <w:color w:val="auto"/>
              </w:rPr>
            </w:pPr>
            <w:r>
              <w:rPr>
                <w:rFonts w:ascii="Arial" w:cs="Arial" w:eastAsia="Arial" w:hAnsi="Arial"/>
                <w:sz w:val="18"/>
                <w:szCs w:val="18"/>
                <w:color w:val="auto"/>
              </w:rPr>
              <w:t>32.1**</w:t>
            </w:r>
          </w:p>
        </w:tc>
        <w:tc>
          <w:tcPr>
            <w:tcW w:w="9660" w:type="dxa"/>
            <w:vAlign w:val="bottom"/>
            <w:gridSpan w:val="7"/>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Certification of Principal Executive Officer Pursuant to 18 U.S.C. Section 1350, as adopted Pursuant to Section 906 of the Sarbanes-</w:t>
              </w:r>
            </w:hyperlink>
          </w:p>
        </w:tc>
      </w:tr>
      <w:tr>
        <w:trPr>
          <w:trHeight w:val="196"/>
        </w:trPr>
        <w:tc>
          <w:tcPr>
            <w:tcW w:w="1340" w:type="dxa"/>
            <w:vAlign w:val="bottom"/>
          </w:tcPr>
          <w:p>
            <w:pPr>
              <w:spacing w:after="0"/>
              <w:rPr>
                <w:sz w:val="17"/>
                <w:szCs w:val="17"/>
                <w:color w:val="auto"/>
              </w:rPr>
            </w:pPr>
          </w:p>
        </w:tc>
        <w:tc>
          <w:tcPr>
            <w:tcW w:w="1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Oxley Act of 2002</w:t>
              </w:r>
            </w:hyperlink>
          </w:p>
        </w:tc>
        <w:tc>
          <w:tcPr>
            <w:tcW w:w="8200" w:type="dxa"/>
            <w:vAlign w:val="bottom"/>
            <w:tcBorders>
              <w:top w:val="single" w:sz="8" w:color="0000EE"/>
            </w:tcBorders>
            <w:gridSpan w:val="5"/>
          </w:tcPr>
          <w:p>
            <w:pPr>
              <w:spacing w:after="0"/>
              <w:rPr>
                <w:sz w:val="17"/>
                <w:szCs w:val="17"/>
                <w:color w:val="auto"/>
              </w:rPr>
            </w:pPr>
          </w:p>
        </w:tc>
        <w:tc>
          <w:tcPr>
            <w:tcW w:w="100" w:type="dxa"/>
            <w:vAlign w:val="bottom"/>
          </w:tcPr>
          <w:p>
            <w:pPr>
              <w:spacing w:after="0"/>
              <w:rPr>
                <w:sz w:val="17"/>
                <w:szCs w:val="17"/>
                <w:color w:val="auto"/>
              </w:rPr>
            </w:pPr>
          </w:p>
        </w:tc>
      </w:tr>
      <w:tr>
        <w:trPr>
          <w:trHeight w:val="304"/>
        </w:trPr>
        <w:tc>
          <w:tcPr>
            <w:tcW w:w="1340" w:type="dxa"/>
            <w:vAlign w:val="bottom"/>
          </w:tcPr>
          <w:p>
            <w:pPr>
              <w:ind w:left="80"/>
              <w:spacing w:after="0"/>
              <w:rPr>
                <w:sz w:val="20"/>
                <w:szCs w:val="20"/>
                <w:color w:val="auto"/>
              </w:rPr>
            </w:pPr>
            <w:r>
              <w:rPr>
                <w:rFonts w:ascii="Arial" w:cs="Arial" w:eastAsia="Arial" w:hAnsi="Arial"/>
                <w:sz w:val="18"/>
                <w:szCs w:val="18"/>
                <w:color w:val="auto"/>
              </w:rPr>
              <w:t>32.2**</w:t>
            </w:r>
          </w:p>
        </w:tc>
        <w:tc>
          <w:tcPr>
            <w:tcW w:w="95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Certification of Principal Financial Officer Pursuant to 18 U.S.C. Section 1350, as adopted Pursuant to Section 906 of the Sarbanes-</w:t>
              </w:r>
            </w:hyperlink>
          </w:p>
        </w:tc>
        <w:tc>
          <w:tcPr>
            <w:tcW w:w="140" w:type="dxa"/>
            <w:vAlign w:val="bottom"/>
            <w:gridSpan w:val="2"/>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136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Oxley Act of 2002</w:t>
              </w:r>
            </w:hyperlink>
          </w:p>
        </w:tc>
        <w:tc>
          <w:tcPr>
            <w:tcW w:w="8300" w:type="dxa"/>
            <w:vAlign w:val="bottom"/>
            <w:gridSpan w:val="6"/>
          </w:tcPr>
          <w:p>
            <w:pPr>
              <w:spacing w:after="0"/>
              <w:rPr>
                <w:sz w:val="17"/>
                <w:szCs w:val="17"/>
                <w:color w:val="auto"/>
              </w:rPr>
            </w:pPr>
          </w:p>
        </w:tc>
      </w:tr>
      <w:tr>
        <w:trPr>
          <w:trHeight w:val="345"/>
        </w:trPr>
        <w:tc>
          <w:tcPr>
            <w:tcW w:w="1340" w:type="dxa"/>
            <w:vAlign w:val="bottom"/>
          </w:tcPr>
          <w:p>
            <w:pPr>
              <w:spacing w:after="0"/>
              <w:rPr>
                <w:sz w:val="20"/>
                <w:szCs w:val="20"/>
                <w:color w:val="auto"/>
              </w:rPr>
            </w:pPr>
            <w:r>
              <w:rPr>
                <w:rFonts w:ascii="Arial" w:cs="Arial" w:eastAsia="Arial" w:hAnsi="Arial"/>
                <w:sz w:val="18"/>
                <w:szCs w:val="18"/>
                <w:color w:val="auto"/>
              </w:rPr>
              <w:t>101.INS***</w:t>
            </w:r>
          </w:p>
        </w:tc>
        <w:tc>
          <w:tcPr>
            <w:tcW w:w="966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101.CAL***</w:t>
            </w:r>
          </w:p>
        </w:tc>
        <w:tc>
          <w:tcPr>
            <w:tcW w:w="966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101.SCH***</w:t>
            </w:r>
          </w:p>
        </w:tc>
        <w:tc>
          <w:tcPr>
            <w:tcW w:w="966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101.DEF***</w:t>
            </w:r>
          </w:p>
        </w:tc>
        <w:tc>
          <w:tcPr>
            <w:tcW w:w="966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101.LAB***</w:t>
            </w:r>
          </w:p>
        </w:tc>
        <w:tc>
          <w:tcPr>
            <w:tcW w:w="9660" w:type="dxa"/>
            <w:vAlign w:val="bottom"/>
            <w:gridSpan w:val="7"/>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101.PRE***</w:t>
            </w:r>
          </w:p>
        </w:tc>
        <w:tc>
          <w:tcPr>
            <w:tcW w:w="966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07" w:lineRule="exact"/>
        <w:rPr>
          <w:sz w:val="20"/>
          <w:szCs w:val="20"/>
          <w:color w:val="auto"/>
        </w:rPr>
      </w:pPr>
    </w:p>
    <w:p>
      <w:pPr>
        <w:ind w:left="540" w:hanging="424"/>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   Furnished.</w:t>
      </w:r>
    </w:p>
    <w:p>
      <w:pPr>
        <w:spacing w:after="0" w:line="9"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  To be filed by amendment.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HUDSON EXECUTIVE INVESTMENT CORP.</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Date: May 18, 2021</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Douglas G. Bergeron</w:t>
            </w:r>
          </w:p>
        </w:tc>
      </w:tr>
      <w:tr>
        <w:trPr>
          <w:trHeight w:val="195"/>
        </w:trPr>
        <w:tc>
          <w:tcPr>
            <w:tcW w:w="6060" w:type="dxa"/>
            <w:vAlign w:val="bottom"/>
          </w:tcPr>
          <w:p>
            <w:pPr>
              <w:ind w:left="552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Douglas G. Bergeron</w:t>
            </w:r>
          </w:p>
        </w:tc>
      </w:tr>
      <w:tr>
        <w:trPr>
          <w:trHeight w:val="216"/>
        </w:trPr>
        <w:tc>
          <w:tcPr>
            <w:tcW w:w="6060" w:type="dxa"/>
            <w:vAlign w:val="bottom"/>
          </w:tcPr>
          <w:p>
            <w:pPr>
              <w:ind w:left="552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606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6060" w:type="dxa"/>
            <w:vAlign w:val="bottom"/>
          </w:tcPr>
          <w:p>
            <w:pPr>
              <w:spacing w:after="0"/>
              <w:rPr>
                <w:sz w:val="20"/>
                <w:szCs w:val="20"/>
                <w:color w:val="auto"/>
              </w:rPr>
            </w:pPr>
            <w:r>
              <w:rPr>
                <w:rFonts w:ascii="Arial" w:cs="Arial" w:eastAsia="Arial" w:hAnsi="Arial"/>
                <w:sz w:val="18"/>
                <w:szCs w:val="18"/>
                <w:color w:val="auto"/>
              </w:rPr>
              <w:t>Date: May 18, 2021</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Jonathan Dobres</w:t>
            </w:r>
          </w:p>
        </w:tc>
      </w:tr>
      <w:tr>
        <w:trPr>
          <w:trHeight w:val="195"/>
        </w:trPr>
        <w:tc>
          <w:tcPr>
            <w:tcW w:w="6060" w:type="dxa"/>
            <w:vAlign w:val="bottom"/>
          </w:tcPr>
          <w:p>
            <w:pPr>
              <w:ind w:left="552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Jonathan Dobres</w:t>
            </w:r>
          </w:p>
        </w:tc>
      </w:tr>
      <w:tr>
        <w:trPr>
          <w:trHeight w:val="216"/>
        </w:trPr>
        <w:tc>
          <w:tcPr>
            <w:tcW w:w="6060" w:type="dxa"/>
            <w:vAlign w:val="bottom"/>
          </w:tcPr>
          <w:p>
            <w:pPr>
              <w:ind w:left="552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606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r>
        <w:trPr>
          <w:trHeight w:val="365"/>
        </w:trPr>
        <w:tc>
          <w:tcPr>
            <w:tcW w:w="6060" w:type="dxa"/>
            <w:vAlign w:val="bottom"/>
          </w:tcPr>
          <w:p>
            <w:pPr>
              <w:ind w:left="5420"/>
              <w:spacing w:after="0"/>
              <w:rPr>
                <w:sz w:val="20"/>
                <w:szCs w:val="20"/>
                <w:color w:val="auto"/>
              </w:rPr>
            </w:pPr>
            <w:r>
              <w:rPr>
                <w:rFonts w:ascii="Arial" w:cs="Arial" w:eastAsia="Arial" w:hAnsi="Arial"/>
                <w:sz w:val="18"/>
                <w:szCs w:val="18"/>
                <w:color w:val="auto"/>
              </w:rPr>
              <w:t>29</w:t>
            </w:r>
          </w:p>
        </w:tc>
        <w:tc>
          <w:tcPr>
            <w:tcW w:w="49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6"/>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I, Douglas G. Bergeron, certify that:</w:t>
      </w:r>
    </w:p>
    <w:p>
      <w:pPr>
        <w:spacing w:after="0" w:line="131"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Hudson Executive Investment Corp.;</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120" w:hanging="424"/>
        <w:spacing w:after="0" w:line="277"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964" w:right="40" w:hanging="532"/>
        <w:spacing w:after="0" w:line="263" w:lineRule="auto"/>
        <w:tabs>
          <w:tab w:leader="none" w:pos="96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9"/>
        </w:numPr>
        <w:rPr>
          <w:rFonts w:ascii="Arial" w:cs="Arial" w:eastAsia="Arial" w:hAnsi="Arial"/>
          <w:sz w:val="18"/>
          <w:szCs w:val="18"/>
          <w:color w:val="auto"/>
        </w:rPr>
      </w:pPr>
      <w:r>
        <w:rPr>
          <w:rFonts w:ascii="Arial" w:cs="Arial" w:eastAsia="Arial" w:hAnsi="Arial"/>
          <w:sz w:val="18"/>
          <w:szCs w:val="18"/>
          <w:color w:val="auto"/>
        </w:rPr>
        <w:t>(Paragraph omitted pursuant to Exchange Act Rules 13a-14(a) and 15d-15(a);</w:t>
      </w:r>
    </w:p>
    <w:p>
      <w:pPr>
        <w:spacing w:after="0" w:line="130"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80" w:hanging="424"/>
        <w:spacing w:after="0" w:line="342" w:lineRule="auto"/>
        <w:tabs>
          <w:tab w:leader="none" w:pos="42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May 18, 2021</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Douglas G. Bergeron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Douglas G. Bergeron</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4"/>
          </w:cols>
          <w:pgMar w:left="436" w:top="121" w:right="4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6"/>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Jonathan Dobres, certify that:</w:t>
      </w:r>
    </w:p>
    <w:p>
      <w:pPr>
        <w:spacing w:after="0" w:line="131" w:lineRule="exact"/>
        <w:rPr>
          <w:sz w:val="20"/>
          <w:szCs w:val="20"/>
          <w:color w:val="auto"/>
        </w:rPr>
      </w:pP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HUDSON EXECUTIVE INVESTMENT CORP.;</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120" w:hanging="424"/>
        <w:spacing w:after="0" w:line="277"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jc w:val="both"/>
        <w:ind w:left="724" w:right="60" w:hanging="364"/>
        <w:spacing w:after="0" w:line="263" w:lineRule="auto"/>
        <w:tabs>
          <w:tab w:leader="none" w:pos="7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89" w:lineRule="exact"/>
        <w:rPr>
          <w:rFonts w:ascii="Arial" w:cs="Arial" w:eastAsia="Arial" w:hAnsi="Arial"/>
          <w:sz w:val="18"/>
          <w:szCs w:val="18"/>
          <w:color w:val="auto"/>
        </w:rPr>
      </w:pPr>
    </w:p>
    <w:p>
      <w:pPr>
        <w:ind w:left="704" w:hanging="344"/>
        <w:spacing w:after="0"/>
        <w:tabs>
          <w:tab w:leader="none" w:pos="704" w:val="left"/>
        </w:tabs>
        <w:numPr>
          <w:ilvl w:val="1"/>
          <w:numId w:val="10"/>
        </w:numPr>
        <w:rPr>
          <w:rFonts w:ascii="Arial" w:cs="Arial" w:eastAsia="Arial" w:hAnsi="Arial"/>
          <w:sz w:val="18"/>
          <w:szCs w:val="18"/>
          <w:color w:val="auto"/>
        </w:rPr>
      </w:pPr>
      <w:r>
        <w:rPr>
          <w:rFonts w:ascii="Arial" w:cs="Arial" w:eastAsia="Arial" w:hAnsi="Arial"/>
          <w:sz w:val="18"/>
          <w:szCs w:val="18"/>
          <w:color w:val="auto"/>
        </w:rPr>
        <w:t>(Paragraph omitted pursuant to Exchange Act Rules 13a-14(a) and 15d-15(a);</w:t>
      </w:r>
    </w:p>
    <w:p>
      <w:pPr>
        <w:spacing w:after="0" w:line="130" w:lineRule="exact"/>
        <w:rPr>
          <w:rFonts w:ascii="Arial" w:cs="Arial" w:eastAsia="Arial" w:hAnsi="Arial"/>
          <w:sz w:val="18"/>
          <w:szCs w:val="18"/>
          <w:color w:val="auto"/>
        </w:rPr>
      </w:pPr>
    </w:p>
    <w:p>
      <w:pPr>
        <w:jc w:val="both"/>
        <w:ind w:left="724" w:right="580" w:hanging="364"/>
        <w:spacing w:after="0" w:line="342" w:lineRule="auto"/>
        <w:tabs>
          <w:tab w:leader="none" w:pos="7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724" w:right="100" w:hanging="364"/>
        <w:spacing w:after="0" w:line="263" w:lineRule="auto"/>
        <w:tabs>
          <w:tab w:leader="none" w:pos="70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364" w:right="180" w:hanging="364"/>
        <w:spacing w:after="0" w:line="342" w:lineRule="auto"/>
        <w:tabs>
          <w:tab w:leader="none" w:pos="352"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724" w:right="840" w:hanging="364"/>
        <w:spacing w:after="0" w:line="342" w:lineRule="auto"/>
        <w:tabs>
          <w:tab w:leader="none" w:pos="71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724" w:right="540" w:hanging="364"/>
        <w:spacing w:after="0" w:line="277" w:lineRule="auto"/>
        <w:tabs>
          <w:tab w:leader="none" w:pos="69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May 18, 2021</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Jonathan Dobres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Jonathan Dobres</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24"/>
          </w:cols>
          <w:pgMar w:left="436" w:top="121" w:right="4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In connection with the Quarterly Report of HUDSON EXECUTIVE INVESTMENT CORP. (the “Company”) on Form 10-Q for the quarterly period ended March 31, 2021, as filed with the Securities and Exchange Commission (the “Report”), I, Douglas G. Bergeron, Chief Executive Officer of the Company, certify, pursuant to 18 U.S.C. §1350, as adopted pursuant to §906 of the Sarbanes-Oxley Act of 2002, that, to the best of my knowledge:</w:t>
      </w:r>
    </w:p>
    <w:p>
      <w:pPr>
        <w:spacing w:after="0" w:line="54" w:lineRule="exact"/>
        <w:rPr>
          <w:sz w:val="20"/>
          <w:szCs w:val="20"/>
          <w:color w:val="auto"/>
        </w:rPr>
      </w:pPr>
    </w:p>
    <w:p>
      <w:pPr>
        <w:ind w:left="960" w:hanging="532"/>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18,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Douglas G Bergeron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Douglas G Bergeron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In connection with the Quarterly Report of HUDSON EXECUTIVE INVESTMENT CORP. (the “Company”) on Form 10-Q for the quarterly period ended March 31, 2021, as filed with the Securities and Exchange Commission (the “Report”), I, Jonathan Dobres, Chief Financial Officer of the Company, certify, pursuant to 18 U.S.C. §1350, as adopted pursuant to §906 of the Sarbanes-Oxley Act of 2002, that, to the best of my knowledge:</w:t>
      </w:r>
    </w:p>
    <w:p>
      <w:pPr>
        <w:spacing w:after="0" w:line="54" w:lineRule="exact"/>
        <w:rPr>
          <w:sz w:val="20"/>
          <w:szCs w:val="20"/>
          <w:color w:val="auto"/>
        </w:rPr>
      </w:pPr>
    </w:p>
    <w:p>
      <w:pPr>
        <w:ind w:left="960" w:hanging="53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18,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Jonathan Dobres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Jonathan Dobres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upperLetter"/>
      <w:start w:val="1"/>
    </w:lvl>
  </w:abstractNum>
  <w:abstractNum w:abstractNumId="4">
    <w:nsid w:val="515F007C"/>
    <w:multiLevelType w:val="hybridMultilevel"/>
    <w:lvl w:ilvl="0">
      <w:lvlJc w:val="left"/>
      <w:lvlText w:val="(%1)"/>
      <w:numFmt w:val="lowerRoman"/>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
      <w:numFmt w:val="bullet"/>
      <w:start w:val="1"/>
    </w:lvl>
    <w:lvl w:ilvl="1">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2021-05-18T06:02:41Z</dcterms:created>
  <dcterms:modified xsi:type="dcterms:W3CDTF">2021-05-18T06:02:41Z</dcterms:modified>
</cp:coreProperties>
</file>