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7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wp:posOffset>
            </wp:positionV>
            <wp:extent cx="713930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3238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85090</wp:posOffset>
            </wp:positionV>
            <wp:extent cx="142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103505</wp:posOffset>
            </wp:positionV>
            <wp:extent cx="1424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 w:lineRule="exact"/>
        <w:rPr>
          <w:sz w:val="24"/>
          <w:szCs w:val="24"/>
          <w:color w:val="auto"/>
        </w:rPr>
      </w:pPr>
    </w:p>
    <w:p>
      <w:pPr>
        <w:ind w:left="3760" w:right="2080" w:hanging="3745"/>
        <w:spacing w:after="0" w:line="375" w:lineRule="auto"/>
        <w:tabs>
          <w:tab w:leader="none" w:pos="482"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5" w:lineRule="exact"/>
        <w:rPr>
          <w:sz w:val="24"/>
          <w:szCs w:val="24"/>
          <w:color w:val="auto"/>
        </w:rPr>
      </w:pPr>
    </w:p>
    <w:p>
      <w:pPr>
        <w:ind w:left="480" w:hanging="465"/>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5" w:lineRule="exact"/>
        <w:rPr>
          <w:sz w:val="24"/>
          <w:szCs w:val="24"/>
          <w:color w:val="auto"/>
        </w:rPr>
      </w:pPr>
    </w:p>
    <w:p>
      <w:pPr>
        <w:ind w:left="37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3806825</wp:posOffset>
            </wp:positionH>
            <wp:positionV relativeFrom="paragraph">
              <wp:posOffset>-4445</wp:posOffset>
            </wp:positionV>
            <wp:extent cx="407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100330</wp:posOffset>
            </wp:positionV>
            <wp:extent cx="1424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TALKSPACE, INC.</w:t>
      </w:r>
    </w:p>
    <w:p>
      <w:pPr>
        <w:sectPr>
          <w:pgSz w:w="11900" w:h="16838" w:orient="portrait"/>
          <w:cols w:equalWidth="0" w:num="1">
            <w:col w:w="11240"/>
          </w:cols>
          <w:pgMar w:left="320" w:top="845" w:right="339" w:bottom="1440" w:gutter="0" w:footer="0" w:header="0"/>
        </w:sectPr>
      </w:pP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94615</wp:posOffset>
            </wp:positionV>
            <wp:extent cx="1424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50"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84-4636604</w:t>
      </w:r>
    </w:p>
    <w:p>
      <w:pPr>
        <w:spacing w:after="0" w:line="4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2" w:lineRule="exact"/>
        <w:rPr>
          <w:sz w:val="24"/>
          <w:szCs w:val="24"/>
          <w:color w:val="auto"/>
        </w:rPr>
      </w:pPr>
    </w:p>
    <w:p>
      <w:pPr>
        <w:sectPr>
          <w:pgSz w:w="11900" w:h="16838" w:orient="portrait"/>
          <w:cols w:equalWidth="0" w:num="2">
            <w:col w:w="7580" w:space="320"/>
            <w:col w:w="3340"/>
          </w:cols>
          <w:pgMar w:left="320" w:top="845" w:right="339" w:bottom="1440" w:gutter="0" w:footer="0" w:header="0"/>
          <w:type w:val="continuous"/>
        </w:sectPr>
      </w:pPr>
    </w:p>
    <w:tbl>
      <w:tblPr>
        <w:tblLayout w:type="fixed"/>
        <w:tblInd w:w="1360" w:type="dxa"/>
        <w:tblCellMar>
          <w:top w:w="0" w:type="dxa"/>
          <w:left w:w="0" w:type="dxa"/>
          <w:bottom w:w="0" w:type="dxa"/>
          <w:right w:w="0" w:type="dxa"/>
        </w:tblCellMar>
      </w:tblPr>
      <w:tr>
        <w:trPr>
          <w:trHeight w:val="226"/>
        </w:trPr>
        <w:tc>
          <w:tcPr>
            <w:tcW w:w="3320" w:type="dxa"/>
            <w:vAlign w:val="bottom"/>
          </w:tcPr>
          <w:p>
            <w:pPr>
              <w:jc w:val="center"/>
              <w:ind w:right="323"/>
              <w:spacing w:after="0"/>
              <w:rPr>
                <w:sz w:val="20"/>
                <w:szCs w:val="20"/>
                <w:color w:val="auto"/>
              </w:rPr>
            </w:pPr>
            <w:r>
              <w:rPr>
                <w:rFonts w:ascii="Times New Roman" w:cs="Times New Roman" w:eastAsia="Times New Roman" w:hAnsi="Times New Roman"/>
                <w:sz w:val="17"/>
                <w:szCs w:val="17"/>
                <w:b w:val="1"/>
                <w:bCs w:val="1"/>
                <w:color w:val="auto"/>
                <w:w w:val="98"/>
              </w:rPr>
              <w:t>622 Third Avenue, New York, New York</w:t>
            </w:r>
          </w:p>
        </w:tc>
        <w:tc>
          <w:tcPr>
            <w:tcW w:w="4080" w:type="dxa"/>
            <w:vAlign w:val="bottom"/>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10017</w:t>
            </w:r>
          </w:p>
        </w:tc>
      </w:tr>
      <w:tr>
        <w:trPr>
          <w:trHeight w:val="184"/>
        </w:trPr>
        <w:tc>
          <w:tcPr>
            <w:tcW w:w="3320" w:type="dxa"/>
            <w:vAlign w:val="bottom"/>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4080" w:type="dxa"/>
            <w:vAlign w:val="bottom"/>
          </w:tcPr>
          <w:p>
            <w:pPr>
              <w:jc w:val="center"/>
              <w:ind w:left="336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68"/>
        </w:trPr>
        <w:tc>
          <w:tcPr>
            <w:tcW w:w="3320" w:type="dxa"/>
            <w:vAlign w:val="bottom"/>
          </w:tcPr>
          <w:p>
            <w:pPr>
              <w:spacing w:after="0"/>
              <w:rPr>
                <w:sz w:val="23"/>
                <w:szCs w:val="23"/>
                <w:color w:val="auto"/>
              </w:rPr>
            </w:pPr>
          </w:p>
        </w:tc>
        <w:tc>
          <w:tcPr>
            <w:tcW w:w="4080" w:type="dxa"/>
            <w:vAlign w:val="bottom"/>
          </w:tcPr>
          <w:p>
            <w:pPr>
              <w:jc w:val="right"/>
              <w:ind w:right="2520"/>
              <w:spacing w:after="0"/>
              <w:rPr>
                <w:sz w:val="20"/>
                <w:szCs w:val="20"/>
                <w:color w:val="auto"/>
              </w:rPr>
            </w:pPr>
            <w:r>
              <w:rPr>
                <w:rFonts w:ascii="Times New Roman" w:cs="Times New Roman" w:eastAsia="Times New Roman" w:hAnsi="Times New Roman"/>
                <w:sz w:val="17"/>
                <w:szCs w:val="17"/>
                <w:b w:val="1"/>
                <w:bCs w:val="1"/>
                <w:color w:val="auto"/>
              </w:rPr>
              <w:t>(212) 284-7206</w:t>
            </w: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73025</wp:posOffset>
            </wp:positionV>
            <wp:extent cx="1424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5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Trading</w:t>
            </w:r>
          </w:p>
        </w:tc>
        <w:tc>
          <w:tcPr>
            <w:tcW w:w="100" w:type="dxa"/>
            <w:vAlign w:val="bottom"/>
          </w:tcPr>
          <w:p>
            <w:pPr>
              <w:spacing w:after="0"/>
              <w:rPr>
                <w:sz w:val="13"/>
                <w:szCs w:val="13"/>
                <w:color w:val="auto"/>
              </w:rPr>
            </w:pPr>
          </w:p>
        </w:tc>
        <w:tc>
          <w:tcPr>
            <w:tcW w:w="504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Symbol(s)</w:t>
            </w:r>
          </w:p>
        </w:tc>
        <w:tc>
          <w:tcPr>
            <w:tcW w:w="10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 par value $0.0001 per share</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TALK</w:t>
            </w:r>
          </w:p>
        </w:tc>
        <w:tc>
          <w:tcPr>
            <w:tcW w:w="100" w:type="dxa"/>
            <w:vAlign w:val="bottom"/>
          </w:tcPr>
          <w:p>
            <w:pPr>
              <w:spacing w:after="0"/>
              <w:rPr>
                <w:sz w:val="17"/>
                <w:szCs w:val="17"/>
                <w:color w:val="auto"/>
              </w:rPr>
            </w:pPr>
          </w:p>
        </w:tc>
        <w:tc>
          <w:tcPr>
            <w:tcW w:w="5040" w:type="dxa"/>
            <w:vAlign w:val="bottom"/>
          </w:tcPr>
          <w:p>
            <w:pPr>
              <w:ind w:left="1760"/>
              <w:spacing w:after="0"/>
              <w:rPr>
                <w:sz w:val="20"/>
                <w:szCs w:val="20"/>
                <w:color w:val="auto"/>
              </w:rPr>
            </w:pPr>
            <w:r>
              <w:rPr>
                <w:rFonts w:ascii="Times New Roman" w:cs="Times New Roman" w:eastAsia="Times New Roman" w:hAnsi="Times New Roman"/>
                <w:sz w:val="15"/>
                <w:szCs w:val="15"/>
                <w:b w:val="1"/>
                <w:bCs w:val="1"/>
                <w:color w:val="auto"/>
              </w:rPr>
              <w:t>Nasdaq Stock Market</w:t>
            </w: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Warrants to purchase common stock</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TALKW</w:t>
            </w:r>
          </w:p>
        </w:tc>
        <w:tc>
          <w:tcPr>
            <w:tcW w:w="100" w:type="dxa"/>
            <w:vAlign w:val="bottom"/>
          </w:tcPr>
          <w:p>
            <w:pPr>
              <w:spacing w:after="0"/>
              <w:rPr>
                <w:sz w:val="18"/>
                <w:szCs w:val="18"/>
                <w:color w:val="auto"/>
              </w:rPr>
            </w:pPr>
          </w:p>
        </w:tc>
        <w:tc>
          <w:tcPr>
            <w:tcW w:w="5040" w:type="dxa"/>
            <w:vAlign w:val="bottom"/>
          </w:tcPr>
          <w:p>
            <w:pPr>
              <w:ind w:left="1760"/>
              <w:spacing w:after="0"/>
              <w:rPr>
                <w:sz w:val="20"/>
                <w:szCs w:val="20"/>
                <w:color w:val="auto"/>
              </w:rPr>
            </w:pPr>
            <w:r>
              <w:rPr>
                <w:rFonts w:ascii="Times New Roman" w:cs="Times New Roman" w:eastAsia="Times New Roman" w:hAnsi="Times New Roman"/>
                <w:sz w:val="15"/>
                <w:szCs w:val="15"/>
                <w:b w:val="1"/>
                <w:bCs w:val="1"/>
                <w:color w:val="auto"/>
              </w:rPr>
              <w:t>Nasdaq Stock Market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160" w:firstLine="599"/>
        <w:spacing w:after="0" w:line="27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260" w:hanging="257"/>
        <w:spacing w:after="0" w:line="173" w:lineRule="exact"/>
        <w:tabs>
          <w:tab w:leader="none" w:pos="2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0" w:lineRule="exact"/>
        <w:rPr>
          <w:sz w:val="24"/>
          <w:szCs w:val="24"/>
          <w:color w:val="auto"/>
        </w:rPr>
      </w:pPr>
    </w:p>
    <w:p>
      <w:pPr>
        <w:ind w:right="360" w:firstLine="599"/>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ind w:right="220" w:firstLine="599"/>
        <w:spacing w:after="0" w:line="29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7"/>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59" w:lineRule="exact"/>
        <w:rPr>
          <w:sz w:val="24"/>
          <w:szCs w:val="24"/>
          <w:color w:val="auto"/>
        </w:rPr>
      </w:pPr>
    </w:p>
    <w:p>
      <w:pPr>
        <w:ind w:right="520" w:firstLine="599"/>
        <w:spacing w:after="0" w:line="20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600"/>
        <w:spacing w:after="0" w:line="173" w:lineRule="exact"/>
        <w:tabs>
          <w:tab w:leader="none" w:pos="77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5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As of November 4, 2024, the registrant had 168,922,789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167005</wp:posOffset>
            </wp:positionV>
            <wp:extent cx="7139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39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894715</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300" w:type="dxa"/>
            <w:vAlign w:val="bottom"/>
            <w:gridSpan w:val="19"/>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230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FF"/>
                <w:w w:val="99"/>
              </w:rPr>
              <w:t>Financial Statements (Unaudited)</w:t>
            </w:r>
          </w:p>
        </w:tc>
        <w:tc>
          <w:tcPr>
            <w:tcW w:w="7000" w:type="dxa"/>
            <w:vAlign w:val="bottom"/>
            <w:gridSpan w:val="11"/>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September 30, 2024 (unaudited) and December 31, 2023</w:t>
            </w:r>
          </w:p>
        </w:tc>
        <w:tc>
          <w:tcPr>
            <w:tcW w:w="20" w:type="dxa"/>
            <w:vAlign w:val="bottom"/>
            <w:tcBorders>
              <w:bottom w:val="single" w:sz="8" w:color="0000EE"/>
            </w:tcBorders>
          </w:tcPr>
          <w:p>
            <w:pPr>
              <w:spacing w:after="0"/>
              <w:rPr>
                <w:sz w:val="17"/>
                <w:szCs w:val="17"/>
                <w:color w:val="auto"/>
              </w:rPr>
            </w:pPr>
          </w:p>
        </w:tc>
        <w:tc>
          <w:tcPr>
            <w:tcW w:w="2200" w:type="dxa"/>
            <w:vAlign w:val="bottom"/>
            <w:gridSpan w:val="5"/>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Income (unaudited) for the three and nine months ended September 30, 2024 and 2023</w:t>
            </w:r>
          </w:p>
        </w:tc>
        <w:tc>
          <w:tcPr>
            <w:tcW w:w="20" w:type="dxa"/>
            <w:vAlign w:val="bottom"/>
            <w:tcBorders>
              <w:bottom w:val="single" w:sz="8" w:color="0000EE"/>
            </w:tcBorders>
          </w:tcPr>
          <w:p>
            <w:pPr>
              <w:spacing w:after="0"/>
              <w:rPr>
                <w:sz w:val="17"/>
                <w:szCs w:val="17"/>
                <w:color w:val="auto"/>
              </w:rPr>
            </w:pPr>
          </w:p>
        </w:tc>
        <w:tc>
          <w:tcPr>
            <w:tcW w:w="62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Stockholder’s Equity (unaudited) for the three and nine months ended September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00" w:type="dxa"/>
            <w:vAlign w:val="bottom"/>
            <w:gridSpan w:val="19"/>
          </w:tcPr>
          <w:p>
            <w:pPr>
              <w:spacing w:after="0" w:line="185" w:lineRule="exact"/>
              <w:rPr>
                <w:sz w:val="20"/>
                <w:szCs w:val="20"/>
                <w:color w:val="auto"/>
              </w:rPr>
            </w:pPr>
            <w:r>
              <w:rPr>
                <w:rFonts w:ascii="Times New Roman" w:cs="Times New Roman" w:eastAsia="Times New Roman" w:hAnsi="Times New Roman"/>
                <w:sz w:val="17"/>
                <w:szCs w:val="17"/>
                <w:color w:val="0000FF"/>
              </w:rPr>
              <w:t>30, 2024 and 2023</w:t>
            </w:r>
          </w:p>
        </w:tc>
        <w:tc>
          <w:tcPr>
            <w:tcW w:w="7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 for the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Notes to Unaudited Condensed Consolidated Financial Statements</w:t>
            </w:r>
          </w:p>
        </w:tc>
        <w:tc>
          <w:tcPr>
            <w:tcW w:w="1040" w:type="dxa"/>
            <w:vAlign w:val="bottom"/>
            <w:gridSpan w:val="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tcBorders>
              <w:top w:val="single" w:sz="8" w:color="0000FF"/>
            </w:tcBorders>
            <w:gridSpan w:val="2"/>
          </w:tcPr>
          <w:p>
            <w:pPr>
              <w:spacing w:after="0"/>
              <w:rPr>
                <w:sz w:val="17"/>
                <w:szCs w:val="17"/>
                <w:color w:val="auto"/>
              </w:rPr>
            </w:pPr>
          </w:p>
        </w:tc>
        <w:tc>
          <w:tcPr>
            <w:tcW w:w="3180" w:type="dxa"/>
            <w:vAlign w:val="bottom"/>
            <w:gridSpan w:val="7"/>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600" w:type="dxa"/>
            <w:vAlign w:val="bottom"/>
            <w:gridSpan w:val="13"/>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9300" w:type="dxa"/>
            <w:vAlign w:val="bottom"/>
            <w:gridSpan w:val="19"/>
          </w:tcPr>
          <w:p>
            <w:pPr>
              <w:spacing w:after="0" w:line="183" w:lineRule="exact"/>
              <w:rPr>
                <w:sz w:val="20"/>
                <w:szCs w:val="20"/>
                <w:color w:val="auto"/>
              </w:rPr>
            </w:pPr>
            <w:r>
              <w:rPr>
                <w:rFonts w:ascii="Times New Roman" w:cs="Times New Roman" w:eastAsia="Times New Roman" w:hAnsi="Times New Roman"/>
                <w:sz w:val="17"/>
                <w:szCs w:val="17"/>
                <w:color w:val="0000FF"/>
              </w:rPr>
              <w:t>Legal Proceedings</w:t>
            </w: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20" w:type="dxa"/>
            <w:vAlign w:val="bottom"/>
            <w:gridSpan w:val="15"/>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5180" w:type="dxa"/>
            <w:vAlign w:val="bottom"/>
            <w:gridSpan w:val="10"/>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Mine Safety Disclosures</w:t>
            </w:r>
          </w:p>
        </w:tc>
        <w:tc>
          <w:tcPr>
            <w:tcW w:w="520" w:type="dxa"/>
            <w:vAlign w:val="bottom"/>
            <w:tcBorders>
              <w:top w:val="single" w:sz="8" w:color="0000FF"/>
            </w:tcBorders>
            <w:gridSpan w:val="2"/>
          </w:tcPr>
          <w:p>
            <w:pPr>
              <w:spacing w:after="0"/>
              <w:rPr>
                <w:sz w:val="17"/>
                <w:szCs w:val="17"/>
                <w:color w:val="auto"/>
              </w:rPr>
            </w:pPr>
          </w:p>
        </w:tc>
        <w:tc>
          <w:tcPr>
            <w:tcW w:w="7100" w:type="dxa"/>
            <w:vAlign w:val="bottom"/>
            <w:gridSpan w:val="12"/>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8020" w:type="dxa"/>
            <w:vAlign w:val="bottom"/>
            <w:gridSpan w:val="15"/>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955"/>
        </w:trPr>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60" w:type="dxa"/>
            <w:vAlign w:val="bottom"/>
            <w:gridSpan w:val="11"/>
          </w:tcPr>
          <w:p>
            <w:pPr>
              <w:ind w:left="4420"/>
              <w:spacing w:after="0"/>
              <w:rPr>
                <w:sz w:val="20"/>
                <w:szCs w:val="20"/>
                <w:color w:val="auto"/>
              </w:rPr>
            </w:pPr>
            <w:r>
              <w:rPr>
                <w:rFonts w:ascii="Times New Roman" w:cs="Times New Roman" w:eastAsia="Times New Roman" w:hAnsi="Times New Roman"/>
                <w:sz w:val="17"/>
                <w:szCs w:val="17"/>
                <w:color w:val="auto"/>
              </w:rPr>
              <w:t>2</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 except share and per share data)</w:t>
            </w:r>
          </w:p>
        </w:tc>
        <w:tc>
          <w:tcPr>
            <w:tcW w:w="14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118,994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10,174</w:t>
            </w:r>
          </w:p>
        </w:tc>
        <w:tc>
          <w:tcPr>
            <w:tcW w:w="100" w:type="dxa"/>
            <w:vAlign w:val="bottom"/>
          </w:tcPr>
          <w:p>
            <w:pPr>
              <w:spacing w:after="0"/>
              <w:rPr>
                <w:sz w:val="19"/>
                <w:szCs w:val="19"/>
                <w:color w:val="auto"/>
              </w:rPr>
            </w:pPr>
          </w:p>
        </w:tc>
      </w:tr>
      <w:tr>
        <w:trPr>
          <w:trHeight w:val="231"/>
        </w:trPr>
        <w:tc>
          <w:tcPr>
            <w:tcW w:w="20" w:type="dxa"/>
            <w:vAlign w:val="bottom"/>
            <w:tcBorders>
              <w:bottom w:val="single" w:sz="8" w:color="CFF0FC"/>
            </w:tcBorders>
            <w:shd w:val="clear" w:color="auto" w:fill="CFF0FC"/>
          </w:tcPr>
          <w:p>
            <w:pPr>
              <w:spacing w:after="0"/>
              <w:rPr>
                <w:sz w:val="20"/>
                <w:szCs w:val="20"/>
                <w:color w:val="auto"/>
              </w:rPr>
            </w:pPr>
          </w:p>
        </w:tc>
        <w:tc>
          <w:tcPr>
            <w:tcW w:w="778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2,922</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77"/>
        </w:trPr>
        <w:tc>
          <w:tcPr>
            <w:tcW w:w="20" w:type="dxa"/>
            <w:vAlign w:val="bottom"/>
          </w:tcPr>
          <w:p>
            <w:pPr>
              <w:spacing w:after="0"/>
              <w:rPr>
                <w:sz w:val="15"/>
                <w:szCs w:val="15"/>
                <w:color w:val="auto"/>
              </w:rPr>
            </w:pPr>
          </w:p>
        </w:tc>
        <w:tc>
          <w:tcPr>
            <w:tcW w:w="7780" w:type="dxa"/>
            <w:vAlign w:val="bottom"/>
            <w:gridSpan w:val="7"/>
          </w:tcPr>
          <w:p>
            <w:pPr>
              <w:spacing w:after="0" w:line="176" w:lineRule="exact"/>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131,518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139,800</w:t>
            </w:r>
          </w:p>
        </w:tc>
        <w:tc>
          <w:tcPr>
            <w:tcW w:w="100" w:type="dxa"/>
            <w:vAlign w:val="bottom"/>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778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6,713</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138,231</w:t>
            </w:r>
          </w:p>
        </w:tc>
        <w:tc>
          <w:tcPr>
            <w:tcW w:w="30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142,221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shd w:val="clear" w:color="auto" w:fill="CFF0FC"/>
          </w:tcPr>
          <w:p>
            <w:pPr>
              <w:spacing w:after="0"/>
              <w:rPr>
                <w:sz w:val="18"/>
                <w:szCs w:val="18"/>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w:t>
            </w:r>
          </w:p>
        </w:tc>
        <w:tc>
          <w:tcPr>
            <w:tcW w:w="100" w:type="dxa"/>
            <w:vAlign w:val="bottom"/>
          </w:tcPr>
          <w:p>
            <w:pPr>
              <w:spacing w:after="0"/>
              <w:rPr>
                <w:sz w:val="19"/>
                <w:szCs w:val="19"/>
                <w:color w:val="auto"/>
              </w:rPr>
            </w:pPr>
          </w:p>
        </w:tc>
      </w:tr>
      <w:tr>
        <w:trPr>
          <w:trHeight w:val="231"/>
        </w:trPr>
        <w:tc>
          <w:tcPr>
            <w:tcW w:w="20" w:type="dxa"/>
            <w:vAlign w:val="bottom"/>
            <w:tcBorders>
              <w:bottom w:val="single" w:sz="8" w:color="CFF0FC"/>
            </w:tcBorders>
            <w:shd w:val="clear" w:color="auto" w:fill="CFF0FC"/>
          </w:tcPr>
          <w:p>
            <w:pPr>
              <w:spacing w:after="0"/>
              <w:rPr>
                <w:sz w:val="20"/>
                <w:szCs w:val="20"/>
                <w:color w:val="auto"/>
              </w:rPr>
            </w:pPr>
          </w:p>
        </w:tc>
        <w:tc>
          <w:tcPr>
            <w:tcW w:w="778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7,247</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77"/>
        </w:trPr>
        <w:tc>
          <w:tcPr>
            <w:tcW w:w="20" w:type="dxa"/>
            <w:vAlign w:val="bottom"/>
          </w:tcPr>
          <w:p>
            <w:pPr>
              <w:spacing w:after="0"/>
              <w:rPr>
                <w:sz w:val="15"/>
                <w:szCs w:val="15"/>
                <w:color w:val="auto"/>
              </w:rPr>
            </w:pPr>
          </w:p>
        </w:tc>
        <w:tc>
          <w:tcPr>
            <w:tcW w:w="7780" w:type="dxa"/>
            <w:vAlign w:val="bottom"/>
            <w:gridSpan w:val="7"/>
          </w:tcPr>
          <w:p>
            <w:pPr>
              <w:spacing w:after="0" w:line="176" w:lineRule="exact"/>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19,053</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21,648</w:t>
            </w:r>
          </w:p>
        </w:tc>
        <w:tc>
          <w:tcPr>
            <w:tcW w:w="100" w:type="dxa"/>
            <w:vAlign w:val="bottom"/>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20" w:type="dxa"/>
            <w:vAlign w:val="bottom"/>
            <w:shd w:val="clear" w:color="auto" w:fill="CFF0FC"/>
          </w:tcPr>
          <w:p>
            <w:pPr>
              <w:spacing w:after="0"/>
              <w:rPr>
                <w:sz w:val="19"/>
                <w:szCs w:val="19"/>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r>
      <w:tr>
        <w:trPr>
          <w:trHeight w:val="208"/>
        </w:trPr>
        <w:tc>
          <w:tcPr>
            <w:tcW w:w="20" w:type="dxa"/>
            <w:vAlign w:val="bottom"/>
            <w:shd w:val="clear" w:color="auto" w:fill="CFF0FC"/>
          </w:tcPr>
          <w:p>
            <w:pPr>
              <w:spacing w:after="0"/>
              <w:rPr>
                <w:sz w:val="18"/>
                <w:szCs w:val="18"/>
                <w:color w:val="auto"/>
              </w:rPr>
            </w:pPr>
          </w:p>
        </w:tc>
        <w:tc>
          <w:tcPr>
            <w:tcW w:w="778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20,643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23,575</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40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Common stock of $0.0001 par value per share:</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Shares authorized: 1,000,000,000 as of September 30, 2024 (unaudited) and December 31, 2023; shares issued</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and outstanding: 168,824,458 and 168,428,856 as of September 30, 2024 (unaudited) and December 31, 2023,</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r>
      <w:tr>
        <w:trPr>
          <w:trHeight w:val="237"/>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388,021</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389,014</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(270,450 )</w:t>
            </w: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(270,384 )</w:t>
            </w:r>
          </w:p>
        </w:tc>
      </w:tr>
      <w:tr>
        <w:trPr>
          <w:trHeight w:val="228"/>
        </w:trPr>
        <w:tc>
          <w:tcPr>
            <w:tcW w:w="2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w w:val="98"/>
              </w:rPr>
              <w:t>Total stockholders’ equity</w:t>
            </w:r>
          </w:p>
        </w:tc>
        <w:tc>
          <w:tcPr>
            <w:tcW w:w="600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117,588</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118,646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778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138,231</w:t>
            </w:r>
          </w:p>
        </w:tc>
        <w:tc>
          <w:tcPr>
            <w:tcW w:w="300" w:type="dxa"/>
            <w:vAlign w:val="bottom"/>
          </w:tcPr>
          <w:p>
            <w:pPr>
              <w:spacing w:after="0"/>
              <w:rPr>
                <w:sz w:val="16"/>
                <w:szCs w:val="16"/>
                <w:color w:val="auto"/>
              </w:rPr>
            </w:pPr>
          </w:p>
        </w:tc>
        <w:tc>
          <w:tcPr>
            <w:tcW w:w="1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142,221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5927725</wp:posOffset>
            </wp:positionH>
            <wp:positionV relativeFrom="paragraph">
              <wp:posOffset>-3296285</wp:posOffset>
            </wp:positionV>
            <wp:extent cx="73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-3296285</wp:posOffset>
            </wp:positionV>
            <wp:extent cx="654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-2987040</wp:posOffset>
            </wp:positionV>
            <wp:extent cx="7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-2987040</wp:posOffset>
            </wp:positionV>
            <wp:extent cx="65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-2075180</wp:posOffset>
            </wp:positionV>
            <wp:extent cx="73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-2075180</wp:posOffset>
            </wp:positionV>
            <wp:extent cx="65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-1464945</wp:posOffset>
            </wp:positionV>
            <wp:extent cx="730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-1464945</wp:posOffset>
            </wp:positionV>
            <wp:extent cx="65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-178435</wp:posOffset>
            </wp:positionV>
            <wp:extent cx="730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49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(U.S. dollars in thousands, except share and per share data)</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2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47,399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38,646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138,873</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107,627</w:t>
            </w:r>
          </w:p>
        </w:tc>
        <w:tc>
          <w:tcPr>
            <w:tcW w:w="100" w:type="dxa"/>
            <w:vAlign w:val="bottom"/>
            <w:shd w:val="clear" w:color="auto" w:fill="CFF0FC"/>
          </w:tcPr>
          <w:p>
            <w:pPr>
              <w:spacing w:after="0"/>
              <w:rPr>
                <w:sz w:val="19"/>
                <w:szCs w:val="19"/>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25,778</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19,797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74,570</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54,218</w:t>
            </w:r>
          </w:p>
        </w:tc>
        <w:tc>
          <w:tcPr>
            <w:tcW w:w="100" w:type="dxa"/>
            <w:vAlign w:val="bottom"/>
          </w:tcPr>
          <w:p>
            <w:pPr>
              <w:spacing w:after="0"/>
              <w:rPr>
                <w:sz w:val="19"/>
                <w:szCs w:val="19"/>
                <w:color w:val="auto"/>
              </w:rPr>
            </w:pPr>
          </w:p>
        </w:tc>
      </w:tr>
      <w:tr>
        <w:trPr>
          <w:trHeight w:val="224"/>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21,621</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18,849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64,303</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53,409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8,254</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13,704</w:t>
            </w:r>
          </w:p>
        </w:tc>
        <w:tc>
          <w:tcPr>
            <w:tcW w:w="100" w:type="dxa"/>
            <w:vAlign w:val="bottom"/>
            <w:shd w:val="clear" w:color="auto" w:fill="CFF0FC"/>
          </w:tcPr>
          <w:p>
            <w:pPr>
              <w:spacing w:after="0"/>
              <w:rPr>
                <w:sz w:val="20"/>
                <w:szCs w:val="20"/>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operations,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4,681</w:t>
            </w:r>
          </w:p>
        </w:tc>
        <w:tc>
          <w:tcPr>
            <w:tcW w:w="100" w:type="dxa"/>
            <w:vAlign w:val="bottom"/>
          </w:tcPr>
          <w:p>
            <w:pPr>
              <w:spacing w:after="0"/>
              <w:rPr>
                <w:sz w:val="19"/>
                <w:szCs w:val="19"/>
                <w:color w:val="auto"/>
              </w:rPr>
            </w:pPr>
          </w:p>
        </w:tc>
      </w:tr>
      <w:tr>
        <w:trPr>
          <w:trHeight w:val="23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12,337</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13,184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38,615</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39,698</w:t>
            </w:r>
          </w:p>
        </w:tc>
        <w:tc>
          <w:tcPr>
            <w:tcW w:w="100" w:type="dxa"/>
            <w:vAlign w:val="bottom"/>
            <w:shd w:val="clear" w:color="auto" w:fill="CFF0FC"/>
          </w:tcPr>
          <w:p>
            <w:pPr>
              <w:spacing w:after="0"/>
              <w:rPr>
                <w:sz w:val="20"/>
                <w:szCs w:val="20"/>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5,156</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5,259</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17,698</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15,952</w:t>
            </w:r>
          </w:p>
        </w:tc>
        <w:tc>
          <w:tcPr>
            <w:tcW w:w="100" w:type="dxa"/>
            <w:vAlign w:val="bottom"/>
          </w:tcPr>
          <w:p>
            <w:pPr>
              <w:spacing w:after="0"/>
              <w:rPr>
                <w:sz w:val="19"/>
                <w:szCs w:val="19"/>
                <w:color w:val="auto"/>
              </w:rPr>
            </w:pPr>
          </w:p>
        </w:tc>
      </w:tr>
      <w:tr>
        <w:trPr>
          <w:trHeight w:val="224"/>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21,522</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24,028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69,369</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74,035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(5,179 )</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(5,066 )</w:t>
            </w:r>
          </w:p>
        </w:tc>
        <w:tc>
          <w:tcPr>
            <w:tcW w:w="4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(20,626 )</w:t>
            </w:r>
          </w:p>
        </w:tc>
      </w:tr>
      <w:tr>
        <w:trPr>
          <w:trHeight w:val="231"/>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Financial (income), net</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(1,701 )</w:t>
            </w:r>
          </w:p>
        </w:tc>
        <w:tc>
          <w:tcPr>
            <w:tcW w:w="5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(779 )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(5,123 )</w:t>
            </w:r>
          </w:p>
        </w:tc>
        <w:tc>
          <w:tcPr>
            <w:tcW w:w="4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(2,915 )</w:t>
            </w:r>
          </w:p>
        </w:tc>
      </w:tr>
      <w:tr>
        <w:trPr>
          <w:trHeight w:val="20"/>
        </w:trPr>
        <w:tc>
          <w:tcPr>
            <w:tcW w:w="4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taxes on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(4,400 )</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(17,711 )</w:t>
            </w:r>
          </w:p>
        </w:tc>
      </w:tr>
      <w:tr>
        <w:trPr>
          <w:trHeight w:val="231"/>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Taxes on income</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(74 )</w:t>
            </w: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FF0FC"/>
          </w:tcPr>
          <w:p>
            <w:pPr>
              <w:spacing w:after="0"/>
              <w:rPr>
                <w:sz w:val="20"/>
                <w:szCs w:val="20"/>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28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(4,414 )</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(66 )</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(17,876 )</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Basic</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(0.03 )</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(0.00 )</w:t>
            </w:r>
          </w:p>
        </w:tc>
        <w:tc>
          <w:tcPr>
            <w:tcW w:w="4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(0.11 )</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Diluted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8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(0.03 )</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(0.00 )</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(0.11 )</w:t>
            </w:r>
          </w:p>
        </w:tc>
      </w:tr>
      <w:tr>
        <w:trPr>
          <w:trHeight w:val="20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 average shares used to compute net income (loss) per</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168,426,349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166,570,673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168,805,882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164,215,802</w:t>
            </w:r>
          </w:p>
        </w:tc>
        <w:tc>
          <w:tcPr>
            <w:tcW w:w="100" w:type="dxa"/>
            <w:vAlign w:val="bottom"/>
          </w:tcPr>
          <w:p>
            <w:pPr>
              <w:spacing w:after="0"/>
              <w:rPr>
                <w:sz w:val="19"/>
                <w:szCs w:val="19"/>
                <w:color w:val="auto"/>
              </w:rPr>
            </w:pPr>
          </w:p>
        </w:tc>
      </w:tr>
      <w:tr>
        <w:trPr>
          <w:trHeight w:val="23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Diluted</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173,753,763</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166,570,673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168,805,882</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164,215,802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-2832100</wp:posOffset>
            </wp:positionV>
            <wp:extent cx="73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-2832100</wp:posOffset>
            </wp:positionV>
            <wp:extent cx="730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-2832100</wp:posOffset>
            </wp:positionV>
            <wp:extent cx="654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-2832100</wp:posOffset>
            </wp:positionV>
            <wp:extent cx="65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-1936750</wp:posOffset>
            </wp:positionV>
            <wp:extent cx="73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-1936750</wp:posOffset>
            </wp:positionV>
            <wp:extent cx="73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-1936750</wp:posOffset>
            </wp:positionV>
            <wp:extent cx="65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-1936750</wp:posOffset>
            </wp:positionV>
            <wp:extent cx="654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-1635760</wp:posOffset>
            </wp:positionV>
            <wp:extent cx="73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-1635760</wp:posOffset>
            </wp:positionV>
            <wp:extent cx="730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-1635760</wp:posOffset>
            </wp:positionV>
            <wp:extent cx="65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-1635760</wp:posOffset>
            </wp:positionV>
            <wp:extent cx="65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-1334135</wp:posOffset>
            </wp:positionV>
            <wp:extent cx="73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-1334135</wp:posOffset>
            </wp:positionV>
            <wp:extent cx="73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-1334135</wp:posOffset>
            </wp:positionV>
            <wp:extent cx="654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-1334135</wp:posOffset>
            </wp:positionV>
            <wp:extent cx="654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CONDENSED CONSOLIDATED STATEMENTS OF CHANGES IN STOCKHOLDERS’ EQUITY </w:t>
      </w:r>
      <w:r>
        <w:rPr>
          <w:rFonts w:ascii="Times New Roman" w:cs="Times New Roman" w:eastAsia="Times New Roman" w:hAnsi="Times New Roman"/>
          <w:sz w:val="15"/>
          <w:szCs w:val="15"/>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data)</w:t>
            </w:r>
          </w:p>
        </w:tc>
        <w:tc>
          <w:tcPr>
            <w:tcW w:w="240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and Nine Months Ended September 30, 2024</w:t>
            </w:r>
          </w:p>
        </w:tc>
        <w:tc>
          <w:tcPr>
            <w:tcW w:w="15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gridSpan w:val="2"/>
            <w:vMerge w:val="continue"/>
          </w:tcPr>
          <w:p>
            <w:pPr>
              <w:spacing w:after="0"/>
              <w:rPr>
                <w:sz w:val="11"/>
                <w:szCs w:val="1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00" w:type="dxa"/>
            <w:vAlign w:val="bottom"/>
          </w:tcPr>
          <w:p>
            <w:pPr>
              <w:spacing w:after="0"/>
              <w:rPr>
                <w:sz w:val="11"/>
                <w:szCs w:val="11"/>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60" w:type="dxa"/>
            <w:vAlign w:val="bottom"/>
          </w:tcPr>
          <w:p>
            <w:pPr>
              <w:spacing w:after="0"/>
              <w:rPr>
                <w:sz w:val="11"/>
                <w:szCs w:val="11"/>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17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168,428,856</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389,014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(270,384 )</w:t>
            </w:r>
          </w:p>
        </w:tc>
        <w:tc>
          <w:tcPr>
            <w:tcW w:w="2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605,565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534,654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(595 )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(595 )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(1,466 )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(1,466 )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March 31, 2024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169,569,075</w:t>
            </w:r>
          </w:p>
        </w:tc>
        <w:tc>
          <w:tcPr>
            <w:tcW w:w="240" w:type="dxa"/>
            <w:vAlign w:val="bottom"/>
          </w:tcPr>
          <w:p>
            <w:pPr>
              <w:spacing w:after="0"/>
              <w:rPr>
                <w:sz w:val="18"/>
                <w:szCs w:val="18"/>
                <w:color w:val="auto"/>
              </w:rPr>
            </w:pP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391,412</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(271,850 )</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697,798</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851,177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(1,248 )</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(1,248 )</w:t>
            </w: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Repurchase and cancellation of common stock</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(2,948,892 )</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(8,004 )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(8,004 )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(474 )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(474 )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June 30, 2024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168,169,158</w:t>
            </w:r>
          </w:p>
        </w:tc>
        <w:tc>
          <w:tcPr>
            <w:tcW w:w="240" w:type="dxa"/>
            <w:vAlign w:val="bottom"/>
          </w:tcPr>
          <w:p>
            <w:pPr>
              <w:spacing w:after="0"/>
              <w:rPr>
                <w:sz w:val="18"/>
                <w:szCs w:val="18"/>
                <w:color w:val="auto"/>
              </w:rPr>
            </w:pP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386,352</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(272,324 )</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45,761</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609,539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(469 )</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(468 )</w:t>
            </w: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FF0FC"/>
          </w:tcPr>
          <w:p>
            <w:pPr>
              <w:spacing w:after="0"/>
              <w:rPr>
                <w:sz w:val="20"/>
                <w:szCs w:val="20"/>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2024 (unaudited)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168,824,458</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388,021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(270,450 )</w:t>
            </w:r>
          </w:p>
        </w:tc>
        <w:tc>
          <w:tcPr>
            <w:tcW w:w="2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117,588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and Nine Months Ended September 30, 2023</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200" w:type="dxa"/>
            <w:vAlign w:val="bottom"/>
          </w:tcPr>
          <w:p>
            <w:pPr>
              <w:spacing w:after="0"/>
              <w:rPr>
                <w:sz w:val="9"/>
                <w:szCs w:val="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gridSpan w:val="2"/>
            <w:vMerge w:val="continue"/>
          </w:tcPr>
          <w:p>
            <w:pPr>
              <w:spacing w:after="0"/>
              <w:rPr>
                <w:sz w:val="11"/>
                <w:szCs w:val="1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00" w:type="dxa"/>
            <w:vAlign w:val="bottom"/>
          </w:tcPr>
          <w:p>
            <w:pPr>
              <w:spacing w:after="0"/>
              <w:rPr>
                <w:sz w:val="11"/>
                <w:szCs w:val="11"/>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60" w:type="dxa"/>
            <w:vAlign w:val="bottom"/>
          </w:tcPr>
          <w:p>
            <w:pPr>
              <w:spacing w:after="0"/>
              <w:rPr>
                <w:sz w:val="11"/>
                <w:szCs w:val="11"/>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2022</w:t>
            </w:r>
          </w:p>
        </w:tc>
        <w:tc>
          <w:tcPr>
            <w:tcW w:w="17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161,155,030</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378,722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(251,202 )</w:t>
            </w:r>
          </w:p>
        </w:tc>
        <w:tc>
          <w:tcPr>
            <w:tcW w:w="2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1,739,265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225,050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(65 )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(8,758 )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(8,758 )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March 31, 2023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163,119,345</w:t>
            </w:r>
          </w:p>
        </w:tc>
        <w:tc>
          <w:tcPr>
            <w:tcW w:w="240" w:type="dxa"/>
            <w:vAlign w:val="bottom"/>
          </w:tcPr>
          <w:p>
            <w:pPr>
              <w:spacing w:after="0"/>
              <w:rPr>
                <w:sz w:val="18"/>
                <w:szCs w:val="18"/>
                <w:color w:val="auto"/>
              </w:rPr>
            </w:pP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381,581</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(259,960 )</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1,837,734</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1,247,216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(136 )</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(136 )</w:t>
            </w: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(4,704 )</w:t>
            </w: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(4,704 )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June 30, 2023 (unaudited)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166,204,295</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384,443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(264,664 )</w:t>
            </w:r>
          </w:p>
        </w:tc>
        <w:tc>
          <w:tcPr>
            <w:tcW w:w="2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43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480,929</w:t>
            </w:r>
          </w:p>
        </w:tc>
        <w:tc>
          <w:tcPr>
            <w:tcW w:w="24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379,795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(198 )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(198 )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(4,414 )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(4,414 )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September 30, 2023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167,065,019</w:t>
            </w:r>
          </w:p>
        </w:tc>
        <w:tc>
          <w:tcPr>
            <w:tcW w:w="240" w:type="dxa"/>
            <w:vAlign w:val="bottom"/>
          </w:tcPr>
          <w:p>
            <w:pPr>
              <w:spacing w:after="0"/>
              <w:rPr>
                <w:sz w:val="18"/>
                <w:szCs w:val="18"/>
                <w:color w:val="auto"/>
              </w:rPr>
            </w:pP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386,783</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(269,078 )</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-4451985</wp:posOffset>
            </wp:positionV>
            <wp:extent cx="73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-4451985</wp:posOffset>
            </wp:positionV>
            <wp:extent cx="730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-4451985</wp:posOffset>
            </wp:positionV>
            <wp:extent cx="73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-4451985</wp:posOffset>
            </wp:positionV>
            <wp:extent cx="654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-4451985</wp:posOffset>
            </wp:positionV>
            <wp:extent cx="654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-3605530</wp:posOffset>
            </wp:positionV>
            <wp:extent cx="73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-3605530</wp:posOffset>
            </wp:positionV>
            <wp:extent cx="73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-3605530</wp:posOffset>
            </wp:positionV>
            <wp:extent cx="730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-3605530</wp:posOffset>
            </wp:positionV>
            <wp:extent cx="65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-3605530</wp:posOffset>
            </wp:positionV>
            <wp:extent cx="654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-2750820</wp:posOffset>
            </wp:positionV>
            <wp:extent cx="730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-2734310</wp:posOffset>
            </wp:positionV>
            <wp:extent cx="73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-2750820</wp:posOffset>
            </wp:positionV>
            <wp:extent cx="730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-2734310</wp:posOffset>
            </wp:positionV>
            <wp:extent cx="730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-2750820</wp:posOffset>
            </wp:positionV>
            <wp:extent cx="730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-2734310</wp:posOffset>
            </wp:positionV>
            <wp:extent cx="73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-2750820</wp:posOffset>
            </wp:positionV>
            <wp:extent cx="654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-2734310</wp:posOffset>
            </wp:positionV>
            <wp:extent cx="654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-2750820</wp:posOffset>
            </wp:positionV>
            <wp:extent cx="654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-2734310</wp:posOffset>
            </wp:positionV>
            <wp:extent cx="654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-1586865</wp:posOffset>
            </wp:positionV>
            <wp:extent cx="730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-1586865</wp:posOffset>
            </wp:positionV>
            <wp:extent cx="730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-1586865</wp:posOffset>
            </wp:positionV>
            <wp:extent cx="730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-1586865</wp:posOffset>
            </wp:positionV>
            <wp:extent cx="654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-1586865</wp:posOffset>
            </wp:positionV>
            <wp:extent cx="654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-732155</wp:posOffset>
            </wp:positionV>
            <wp:extent cx="730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-732155</wp:posOffset>
            </wp:positionV>
            <wp:extent cx="730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-732155</wp:posOffset>
            </wp:positionV>
            <wp:extent cx="730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-732155</wp:posOffset>
            </wp:positionV>
            <wp:extent cx="654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-732155</wp:posOffset>
            </wp:positionV>
            <wp:extent cx="654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-170180</wp:posOffset>
            </wp:positionV>
            <wp:extent cx="730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-170180</wp:posOffset>
            </wp:positionV>
            <wp:extent cx="730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-170180</wp:posOffset>
            </wp:positionV>
            <wp:extent cx="73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-170180</wp:posOffset>
            </wp:positionV>
            <wp:extent cx="654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-170180</wp:posOffset>
            </wp:positionV>
            <wp:extent cx="654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an amount lower than $1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448945</wp:posOffset>
            </wp:positionV>
            <wp:extent cx="7164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4"/>
        </w:trPr>
        <w:tc>
          <w:tcPr>
            <w:tcW w:w="20" w:type="dxa"/>
            <w:vAlign w:val="bottom"/>
            <w:tcBorders>
              <w:bottom w:val="single" w:sz="8" w:color="CFF0FC"/>
            </w:tcBorders>
            <w:shd w:val="clear" w:color="auto" w:fill="CFF0FC"/>
          </w:tcPr>
          <w:p>
            <w:pPr>
              <w:spacing w:after="0"/>
              <w:rPr>
                <w:sz w:val="17"/>
                <w:szCs w:val="17"/>
                <w:color w:val="auto"/>
              </w:rPr>
            </w:pPr>
          </w:p>
        </w:tc>
        <w:tc>
          <w:tcPr>
            <w:tcW w:w="2680" w:type="dxa"/>
            <w:vAlign w:val="bottom"/>
            <w:tcBorders>
              <w:bottom w:val="single" w:sz="8" w:color="auto"/>
            </w:tcBorders>
            <w:gridSpan w:val="5"/>
            <w:shd w:val="clear" w:color="auto" w:fill="CFF0FC"/>
          </w:tcPr>
          <w:p>
            <w:pPr>
              <w:spacing w:after="0" w:line="172" w:lineRule="exact"/>
              <w:rPr>
                <w:sz w:val="20"/>
                <w:szCs w:val="20"/>
                <w:color w:val="auto"/>
              </w:rPr>
            </w:pPr>
            <w:r>
              <w:rPr>
                <w:rFonts w:ascii="Times New Roman" w:cs="Times New Roman" w:eastAsia="Times New Roman" w:hAnsi="Times New Roman"/>
                <w:sz w:val="17"/>
                <w:szCs w:val="17"/>
                <w:b w:val="1"/>
                <w:bCs w:val="1"/>
                <w:color w:val="auto"/>
                <w:w w:val="99"/>
              </w:rPr>
              <w:t>Cash flows from operating activities:</w:t>
            </w:r>
          </w:p>
        </w:tc>
        <w:tc>
          <w:tcPr>
            <w:tcW w:w="50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(66 )</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(17,876 )</w:t>
            </w: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6,401</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Remeasurement of warrant liabilities</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(794 )</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Decrease in accounts receivable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Decrease (increase) in other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(41 )</w:t>
            </w: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Increase in accounts payable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Increase (decrease) in deferred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(733 )</w:t>
            </w: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Decrease in accrued expenses and other current liabilities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(5,220 )</w:t>
            </w:r>
          </w:p>
        </w:tc>
        <w:tc>
          <w:tcPr>
            <w:tcW w:w="5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(5,785 )</w:t>
            </w: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(233 )</w:t>
            </w: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(108 )</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shd w:val="clear" w:color="auto" w:fill="CFF0FC"/>
          </w:tcPr>
          <w:p>
            <w:pPr>
              <w:spacing w:after="0"/>
              <w:rPr>
                <w:sz w:val="19"/>
                <w:szCs w:val="19"/>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7,623</w:t>
            </w: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(14,863 )</w:t>
            </w:r>
          </w:p>
        </w:tc>
      </w:tr>
      <w:tr>
        <w:trPr>
          <w:trHeight w:val="177"/>
        </w:trPr>
        <w:tc>
          <w:tcPr>
            <w:tcW w:w="20" w:type="dxa"/>
            <w:vAlign w:val="bottom"/>
            <w:tcBorders>
              <w:top w:val="single" w:sz="8" w:color="CFF0FC"/>
            </w:tcBorders>
          </w:tcPr>
          <w:p>
            <w:pPr>
              <w:spacing w:after="0"/>
              <w:rPr>
                <w:sz w:val="15"/>
                <w:szCs w:val="15"/>
                <w:color w:val="auto"/>
              </w:rPr>
            </w:pPr>
          </w:p>
        </w:tc>
        <w:tc>
          <w:tcPr>
            <w:tcW w:w="7680" w:type="dxa"/>
            <w:vAlign w:val="bottom"/>
            <w:tcBorders>
              <w:top w:val="single" w:sz="8" w:color="CFF0FC"/>
            </w:tcBorders>
            <w:gridSpan w:val="6"/>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Capitalized internal-use software costs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(3,768 )</w:t>
            </w:r>
          </w:p>
        </w:tc>
        <w:tc>
          <w:tcPr>
            <w:tcW w:w="5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(69 )</w:t>
            </w: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shd w:val="clear" w:color="auto" w:fill="CFF0FC"/>
          </w:tcPr>
          <w:p>
            <w:pPr>
              <w:spacing w:after="0"/>
              <w:rPr>
                <w:sz w:val="19"/>
                <w:szCs w:val="19"/>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(3,837 )</w:t>
            </w: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r>
      <w:tr>
        <w:trPr>
          <w:trHeight w:val="177"/>
        </w:trPr>
        <w:tc>
          <w:tcPr>
            <w:tcW w:w="20" w:type="dxa"/>
            <w:vAlign w:val="bottom"/>
            <w:tcBorders>
              <w:top w:val="single" w:sz="8" w:color="CFF0FC"/>
            </w:tcBorders>
          </w:tcPr>
          <w:p>
            <w:pPr>
              <w:spacing w:after="0"/>
              <w:rPr>
                <w:sz w:val="15"/>
                <w:szCs w:val="15"/>
                <w:color w:val="auto"/>
              </w:rPr>
            </w:pPr>
          </w:p>
        </w:tc>
        <w:tc>
          <w:tcPr>
            <w:tcW w:w="7680" w:type="dxa"/>
            <w:vAlign w:val="bottom"/>
            <w:tcBorders>
              <w:top w:val="single" w:sz="8" w:color="CFF0FC"/>
            </w:tcBorders>
            <w:gridSpan w:val="6"/>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Payments for employee taxes withheld related to vested stock-based awards</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(2,312 )</w:t>
            </w: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(399 )</w:t>
            </w:r>
          </w:p>
        </w:tc>
      </w:tr>
      <w:tr>
        <w:trPr>
          <w:trHeight w:val="231"/>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Repurchase and cancellation of common stock</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(8,004 )</w:t>
            </w:r>
          </w:p>
        </w:tc>
        <w:tc>
          <w:tcPr>
            <w:tcW w:w="5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0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(8,700 )</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shd w:val="clear" w:color="auto" w:fill="CFF0FC"/>
          </w:tcPr>
          <w:p>
            <w:pPr>
              <w:spacing w:after="0"/>
              <w:rPr>
                <w:sz w:val="19"/>
                <w:szCs w:val="19"/>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(4,914 )</w:t>
            </w: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(13,213 )</w:t>
            </w: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3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138,545</w:t>
            </w:r>
          </w:p>
        </w:tc>
        <w:tc>
          <w:tcPr>
            <w:tcW w:w="100" w:type="dxa"/>
            <w:vAlign w:val="bottom"/>
          </w:tcPr>
          <w:p>
            <w:pPr>
              <w:spacing w:after="0"/>
              <w:rPr>
                <w:sz w:val="19"/>
                <w:szCs w:val="19"/>
                <w:color w:val="auto"/>
              </w:rPr>
            </w:pPr>
          </w:p>
        </w:tc>
      </w:tr>
      <w:tr>
        <w:trPr>
          <w:trHeight w:val="264"/>
        </w:trPr>
        <w:tc>
          <w:tcPr>
            <w:tcW w:w="20" w:type="dxa"/>
            <w:vAlign w:val="bottom"/>
            <w:tcBorders>
              <w:bottom w:val="single" w:sz="8" w:color="CFF0FC"/>
            </w:tcBorders>
            <w:shd w:val="clear" w:color="auto" w:fill="CFF0FC"/>
          </w:tcPr>
          <w:p>
            <w:pPr>
              <w:spacing w:after="0"/>
              <w:rPr>
                <w:sz w:val="22"/>
                <w:szCs w:val="22"/>
                <w:color w:val="auto"/>
              </w:rPr>
            </w:pPr>
          </w:p>
        </w:tc>
        <w:tc>
          <w:tcPr>
            <w:tcW w:w="76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period</w:t>
            </w: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118,994</w:t>
            </w:r>
          </w:p>
        </w:tc>
        <w:tc>
          <w:tcPr>
            <w:tcW w:w="3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125,332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393"/>
        </w:trPr>
        <w:tc>
          <w:tcPr>
            <w:tcW w:w="20" w:type="dxa"/>
            <w:vAlign w:val="bottom"/>
          </w:tcPr>
          <w:p>
            <w:pPr>
              <w:spacing w:after="0"/>
              <w:rPr>
                <w:sz w:val="24"/>
                <w:szCs w:val="24"/>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Supplemental cash flow data:</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
        </w:trPr>
        <w:tc>
          <w:tcPr>
            <w:tcW w:w="2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paid during the period for income taxes</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FF0FC"/>
          </w:tcPr>
          <w:p>
            <w:pPr>
              <w:spacing w:after="0"/>
              <w:rPr>
                <w:sz w:val="20"/>
                <w:szCs w:val="20"/>
                <w:color w:val="auto"/>
              </w:rPr>
            </w:pPr>
          </w:p>
        </w:tc>
      </w:tr>
      <w:tr>
        <w:trPr>
          <w:trHeight w:val="179"/>
        </w:trPr>
        <w:tc>
          <w:tcPr>
            <w:tcW w:w="20" w:type="dxa"/>
            <w:vAlign w:val="bottom"/>
          </w:tcPr>
          <w:p>
            <w:pPr>
              <w:spacing w:after="0"/>
              <w:rPr>
                <w:sz w:val="15"/>
                <w:szCs w:val="15"/>
                <w:color w:val="auto"/>
              </w:rPr>
            </w:pPr>
          </w:p>
        </w:tc>
        <w:tc>
          <w:tcPr>
            <w:tcW w:w="7680" w:type="dxa"/>
            <w:vAlign w:val="bottom"/>
            <w:gridSpan w:val="6"/>
          </w:tcPr>
          <w:p>
            <w:pPr>
              <w:spacing w:after="0" w:line="180" w:lineRule="exact"/>
              <w:rPr>
                <w:sz w:val="20"/>
                <w:szCs w:val="20"/>
                <w:color w:val="auto"/>
              </w:rPr>
            </w:pPr>
            <w:r>
              <w:rPr>
                <w:rFonts w:ascii="Times New Roman" w:cs="Times New Roman" w:eastAsia="Times New Roman" w:hAnsi="Times New Roman"/>
                <w:sz w:val="17"/>
                <w:szCs w:val="17"/>
                <w:color w:val="auto"/>
              </w:rPr>
              <w:t>Non-cash investing activity:</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Lease liabilities arising from obtaining right-of-use assets</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Non-cash compensation capitalized as part of capitalization of internal-use software costs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32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-2704465</wp:posOffset>
            </wp:positionV>
            <wp:extent cx="730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-2704465</wp:posOffset>
            </wp:positionV>
            <wp:extent cx="654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-2102485</wp:posOffset>
            </wp:positionV>
            <wp:extent cx="730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-2102485</wp:posOffset>
            </wp:positionV>
            <wp:extent cx="654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-1508125</wp:posOffset>
            </wp:positionV>
            <wp:extent cx="730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-1508125</wp:posOffset>
            </wp:positionV>
            <wp:extent cx="654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-897255</wp:posOffset>
            </wp:positionV>
            <wp:extent cx="730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-881380</wp:posOffset>
            </wp:positionV>
            <wp:extent cx="730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-897255</wp:posOffset>
            </wp:positionV>
            <wp:extent cx="654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-881380</wp:posOffset>
            </wp:positionV>
            <wp:extent cx="654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ORGANIZATION AND BUSINESS OPERATIONS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counseling, psychotherapy, and psychiatry.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principal executive office is located in New York, NY. The Company has wholly-owned subsidiaries and holds variable interest in a professional association and various professional corporations, which have been established pursuant to the requirements of their respective domestic jurisdiction governing the corporate practice of medicine. These entities are considered Variable Interest Entities (“VIEs”). See Note 11, “Variable Interest Entities,” in the notes to the condensed consolidated financial statements for further details.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2023, included in the Company's Annual Report on Form 10-K for the year ended December 31, 2023. The significant accounting policies applied in the annual consolidated financial statements of the Company as of December 31, 2023, have been applied consistently in these unaudited condensed consolidated financial statements, unless otherwise stated.</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of revenue, stock-based compensation awards and internal-use software costs.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buy-back</w:t>
      </w:r>
    </w:p>
    <w:p>
      <w:pPr>
        <w:spacing w:after="0" w:line="21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The Company repurchases its common stock from time to time pursuant to a board-authorized share repurchase program. Stock repurchases are accounted under ASC 505-30, Treasury Stock. The Company's policy is to retire all stock repurchased immediately after the transaction is completed. The Company records the amounts repurchased in accordance with ASC 505-30-30-8.</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and Recently Adopted Accounting Pronouncements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Accounting Standards Updates (“ASU”) issued by the Financial Accounting Standards Board ("FASB") have not yet been adopted by the Company: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2023, the FASB issued ASU 2023- 07, Segment Reporting (Topic 280): Improvements to Reportable Segment Disclosures to improve reportable segment disclosures, primarily through enhanced disclosures about significant segment expenses. This ASU applies to all public entities, including those with a single reportable segment. The revised guidance will require disclosure of significant segment expenses that are regularly provided to the chief operating decision maker (“CODM”), the title and position of the CODM and how the CODM uses the reported measures of segment profit or loss in assessing segment performance, among other requirements. This ASU is effective for fiscal years beginning after December 15, 2023, and for interim periods within fiscal years beginning after December 15, 2024, with early adoption permitted. No significant impact is expected from the adoption of this ASU.</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This ASU is effective for fiscal years beginning after December 15, 2024, with early adoption permitted. The Company is currently evaluating the impact of adopting this ASU.</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REVENUE RECOGNITION</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its platform, Talkspace serves:</w:t>
      </w:r>
    </w:p>
    <w:p>
      <w:pPr>
        <w:spacing w:after="0" w:line="112" w:lineRule="exact"/>
        <w:rPr>
          <w:sz w:val="20"/>
          <w:szCs w:val="20"/>
          <w:color w:val="auto"/>
        </w:rPr>
      </w:pPr>
    </w:p>
    <w:p>
      <w:pPr>
        <w:ind w:left="1020" w:hanging="508"/>
        <w:spacing w:after="0" w:line="284"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plans and employee assistance programs (“Payor”) who offer their insured members access to the Company's platform at in-network reimbursement rates,</w:t>
      </w:r>
    </w:p>
    <w:p>
      <w:pPr>
        <w:spacing w:after="0" w:line="50"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Direct-to-Enterprise customers (“DTE”) who offer their enterprise members access to the Company's platform while their enterprise is under an active contract with Talkspace, and</w:t>
      </w:r>
    </w:p>
    <w:p>
      <w:pPr>
        <w:spacing w:after="0" w:line="50" w:lineRule="exact"/>
        <w:rPr>
          <w:rFonts w:ascii="Times New Roman" w:cs="Times New Roman" w:eastAsia="Times New Roman" w:hAnsi="Times New Roman"/>
          <w:sz w:val="17"/>
          <w:szCs w:val="17"/>
          <w:color w:val="auto"/>
        </w:rPr>
      </w:pPr>
    </w:p>
    <w:p>
      <w:pPr>
        <w:ind w:left="1020" w:hanging="508"/>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subscribers (“Consumer”) who subscribe directly to the Company's platform.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Payor</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contracts with health insurance plans and employee assistance programs to provide therapy and psychiatry services to their eligible covered members. Revenue is recognized at a point in time, as virtual therapy or psychiatry sessions are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actual historical collection experience for each Payor. Revenue is presented net of implicit price concessions. Payor contracts include annual evergreen clauses and generally may be terminated by either party typically upon a minimum 60-day advance notice.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DTE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contracts with enterprises to provide access to the Company's therapist platform for their enterprise members, either based on a per-member-per-month access fee model or at a fixed monthly rate. To the extent the transaction price includes variable consideration, revenue is recognized using the variable consideration allocation exception, or, if the allocation exception is not met, the Company recognizes revenue ratably based on estimates of the variable consideration to the extent it is probable that a significant reversal of cumulative revenue recognized will not occur when the uncertainty associated with the variable consideration is subsequent resolved. The majority of DTE contracts typically range in length from one to three years and are generally non-cancelable during the initial contractual term.</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Consumer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sessions are rendered. Members may cancel their subscription at any time and will receive a pro-rata refund for the subscription price. The transaction price from member subscription revenue and supplementary a la carte offerings includes variable consideration in the form of refunds. Revenue is presented net of refunds. The Company estimates the refund liability for the variable consideration portion of the transaction price primarily based on historical experience. The refund liability is recorded within the “Accrued expenses and other current liabilities” line item in the consolidated balance sheets. The refund liability was immaterial as of September 30, 2024 and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revenues from sales to unaffiliated customers disaggregated by revenue source: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9"/>
        </w:trPr>
        <w:tc>
          <w:tcPr>
            <w:tcW w:w="44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4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40"/>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2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20"/>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Revenues from sales to unaffiliated customers:</w:t>
            </w:r>
          </w:p>
        </w:tc>
        <w:tc>
          <w:tcPr>
            <w:tcW w:w="280" w:type="dxa"/>
            <w:vAlign w:val="bottom"/>
          </w:tcPr>
          <w:p>
            <w:pPr>
              <w:spacing w:after="0"/>
              <w:rPr>
                <w:sz w:val="19"/>
                <w:szCs w:val="19"/>
                <w:color w:val="auto"/>
              </w:rPr>
            </w:pPr>
          </w:p>
        </w:tc>
        <w:tc>
          <w:tcPr>
            <w:tcW w:w="1220" w:type="dxa"/>
            <w:vAlign w:val="bottom"/>
          </w:tcPr>
          <w:p>
            <w:pPr>
              <w:jc w:val="right"/>
              <w:ind w:right="38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8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31"/>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Payor</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32,039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22,112</w:t>
            </w: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90,492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55,462</w:t>
            </w:r>
          </w:p>
        </w:tc>
        <w:tc>
          <w:tcPr>
            <w:tcW w:w="100" w:type="dxa"/>
            <w:vAlign w:val="bottom"/>
            <w:shd w:val="clear" w:color="auto" w:fill="CFF0FC"/>
          </w:tcPr>
          <w:p>
            <w:pPr>
              <w:spacing w:after="0"/>
              <w:rPr>
                <w:sz w:val="20"/>
                <w:szCs w:val="20"/>
                <w:color w:val="auto"/>
              </w:rPr>
            </w:pPr>
          </w:p>
        </w:tc>
      </w:tr>
      <w:tr>
        <w:trPr>
          <w:trHeight w:val="227"/>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DTE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28,911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24,717</w:t>
            </w:r>
          </w:p>
        </w:tc>
        <w:tc>
          <w:tcPr>
            <w:tcW w:w="100" w:type="dxa"/>
            <w:vAlign w:val="bottom"/>
          </w:tcPr>
          <w:p>
            <w:pPr>
              <w:spacing w:after="0"/>
              <w:rPr>
                <w:sz w:val="19"/>
                <w:szCs w:val="19"/>
                <w:color w:val="auto"/>
              </w:rPr>
            </w:pPr>
          </w:p>
        </w:tc>
      </w:tr>
      <w:tr>
        <w:trPr>
          <w:trHeight w:val="231"/>
        </w:trPr>
        <w:tc>
          <w:tcPr>
            <w:tcW w:w="4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Consumer</w:t>
            </w: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5,990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8,532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19,470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38,646</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138,873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107,627</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-178435</wp:posOffset>
            </wp:positionV>
            <wp:extent cx="730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-178435</wp:posOffset>
            </wp:positionV>
            <wp:extent cx="730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-178435</wp:posOffset>
            </wp:positionV>
            <wp:extent cx="654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had receivables related to revenue from DTE customers of $6.3 million and $7.8 million at September 30, 2024 and December 31, 2023, respectively. As of September 30, 2024 and December 31, 2023, the balance of receivables related to revenue from Payor customers was $3.3 million and $2.4 million, respectively.</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Accounts receivables are stated net of credit losses allowance.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Credit losses were immaterial for the three and nine months ended September 30, 2024 and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Revenue</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deferred revenues when cash payments from customers are received in advance of the Company's performance obligation to provide services. As of September 30, 2024 and December 31, 2023, deferred revenue related mainly to Consumer subscriptions. The Company expects to satisfy the majority of its performance obligations associated with deferred revenue within one year or less. Revenue recognized in the nine months ended September 30, 2024 and 2023 that was included in the deferred revenue balance at the beginning of each reporting period was $2.0 million and $2.6 million, respectively, and immaterial for the three months ended September 30, 2024 and 2023.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FAIR VALUE MEASUREMENTS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carrying value of the Company’s cash equivalents, accounts receivable, other current assets, accounts payable, and accrued liabilities approximate fair value because of the relatively short-term nature of the underlying assets or liabilities. Money market funds are classified within Level 1 of the fair value hierarchy because these assets are valued based on quoted market prices in active markets.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Private Placement Warrants are accounted for as liabilities in accordance with ASC 815-40 and are presented within warrant liabilities in the accompanying consolidated balance sheets. The warrant liabilities were measured at fair value at inception and thereafter on a recurring, quarterly basis, with changes in fair value presented within the statement of operations (financial income, net) line item. The Private Placement Warrants were valued using the Black-Scholes-Merton Model, which is considered to be a Level 3 fair value measurement.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were the inputs utilized in determining the fair value of the Private Placement Warrants as of September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9"/>
        </w:trPr>
        <w:tc>
          <w:tcPr>
            <w:tcW w:w="54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060" w:type="dxa"/>
            <w:vAlign w:val="bottom"/>
            <w:tcBorders>
              <w:bottom w:val="single" w:sz="8" w:color="auto"/>
            </w:tcBorders>
          </w:tcPr>
          <w:p>
            <w:pPr>
              <w:jc w:val="center"/>
              <w:ind w:left="618"/>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4"/>
        </w:trPr>
        <w:tc>
          <w:tcPr>
            <w:tcW w:w="5420" w:type="dxa"/>
            <w:vAlign w:val="bottom"/>
            <w:shd w:val="clear" w:color="auto" w:fill="CFF0FC"/>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Dividend yield </w:t>
            </w:r>
            <w:r>
              <w:rPr>
                <w:rFonts w:ascii="Times New Roman" w:cs="Times New Roman" w:eastAsia="Times New Roman" w:hAnsi="Times New Roman"/>
                <w:sz w:val="22"/>
                <w:szCs w:val="22"/>
                <w:color w:val="auto"/>
                <w:vertAlign w:val="superscript"/>
              </w:rPr>
              <w:t>(1)</w:t>
            </w:r>
          </w:p>
        </w:tc>
        <w:tc>
          <w:tcPr>
            <w:tcW w:w="2060" w:type="dxa"/>
            <w:vAlign w:val="bottom"/>
            <w:shd w:val="clear" w:color="auto" w:fill="CFF0FC"/>
          </w:tcPr>
          <w:p>
            <w:pPr>
              <w:jc w:val="center"/>
              <w:ind w:left="618"/>
              <w:spacing w:after="0"/>
              <w:rPr>
                <w:sz w:val="20"/>
                <w:szCs w:val="20"/>
                <w:color w:val="auto"/>
              </w:rPr>
            </w:pPr>
            <w:r>
              <w:rPr>
                <w:rFonts w:ascii="Times New Roman" w:cs="Times New Roman" w:eastAsia="Times New Roman" w:hAnsi="Times New Roman"/>
                <w:sz w:val="17"/>
                <w:szCs w:val="17"/>
                <w:color w:val="auto"/>
              </w:rPr>
              <w:t>0%</w:t>
            </w:r>
          </w:p>
        </w:tc>
        <w:tc>
          <w:tcPr>
            <w:tcW w:w="3760" w:type="dxa"/>
            <w:vAlign w:val="bottom"/>
            <w:gridSpan w:val="3"/>
            <w:shd w:val="clear" w:color="auto" w:fill="CFF0FC"/>
          </w:tcPr>
          <w:p>
            <w:pPr>
              <w:jc w:val="center"/>
              <w:ind w:left="918"/>
              <w:spacing w:after="0"/>
              <w:rPr>
                <w:sz w:val="20"/>
                <w:szCs w:val="20"/>
                <w:color w:val="auto"/>
              </w:rPr>
            </w:pPr>
            <w:r>
              <w:rPr>
                <w:rFonts w:ascii="Times New Roman" w:cs="Times New Roman" w:eastAsia="Times New Roman" w:hAnsi="Times New Roman"/>
                <w:sz w:val="17"/>
                <w:szCs w:val="17"/>
                <w:color w:val="auto"/>
              </w:rPr>
              <w:t>0%</w:t>
            </w:r>
          </w:p>
        </w:tc>
      </w:tr>
      <w:tr>
        <w:trPr>
          <w:trHeight w:val="231"/>
        </w:trPr>
        <w:tc>
          <w:tcPr>
            <w:tcW w:w="54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Expected volatility </w:t>
            </w:r>
            <w:r>
              <w:rPr>
                <w:rFonts w:ascii="Times New Roman" w:cs="Times New Roman" w:eastAsia="Times New Roman" w:hAnsi="Times New Roman"/>
                <w:sz w:val="22"/>
                <w:szCs w:val="22"/>
                <w:color w:val="auto"/>
                <w:vertAlign w:val="superscript"/>
              </w:rPr>
              <w:t>(2)</w:t>
            </w:r>
          </w:p>
        </w:tc>
        <w:tc>
          <w:tcPr>
            <w:tcW w:w="2060" w:type="dxa"/>
            <w:vAlign w:val="bottom"/>
          </w:tcPr>
          <w:p>
            <w:pPr>
              <w:jc w:val="center"/>
              <w:ind w:left="618"/>
              <w:spacing w:after="0"/>
              <w:rPr>
                <w:sz w:val="20"/>
                <w:szCs w:val="20"/>
                <w:color w:val="auto"/>
              </w:rPr>
            </w:pPr>
            <w:r>
              <w:rPr>
                <w:rFonts w:ascii="Times New Roman" w:cs="Times New Roman" w:eastAsia="Times New Roman" w:hAnsi="Times New Roman"/>
                <w:sz w:val="17"/>
                <w:szCs w:val="17"/>
                <w:color w:val="auto"/>
                <w:w w:val="99"/>
              </w:rPr>
              <w:t>74.50%</w:t>
            </w:r>
          </w:p>
        </w:tc>
        <w:tc>
          <w:tcPr>
            <w:tcW w:w="3760" w:type="dxa"/>
            <w:vAlign w:val="bottom"/>
            <w:gridSpan w:val="3"/>
          </w:tcPr>
          <w:p>
            <w:pPr>
              <w:jc w:val="center"/>
              <w:ind w:left="918"/>
              <w:spacing w:after="0"/>
              <w:rPr>
                <w:sz w:val="20"/>
                <w:szCs w:val="20"/>
                <w:color w:val="auto"/>
              </w:rPr>
            </w:pPr>
            <w:r>
              <w:rPr>
                <w:rFonts w:ascii="Times New Roman" w:cs="Times New Roman" w:eastAsia="Times New Roman" w:hAnsi="Times New Roman"/>
                <w:sz w:val="17"/>
                <w:szCs w:val="17"/>
                <w:color w:val="auto"/>
                <w:w w:val="99"/>
              </w:rPr>
              <w:t>65.90%</w:t>
            </w:r>
          </w:p>
        </w:tc>
      </w:tr>
      <w:tr>
        <w:trPr>
          <w:trHeight w:val="231"/>
        </w:trPr>
        <w:tc>
          <w:tcPr>
            <w:tcW w:w="542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Risk-free interest rate </w:t>
            </w:r>
            <w:r>
              <w:rPr>
                <w:rFonts w:ascii="Times New Roman" w:cs="Times New Roman" w:eastAsia="Times New Roman" w:hAnsi="Times New Roman"/>
                <w:sz w:val="22"/>
                <w:szCs w:val="22"/>
                <w:color w:val="auto"/>
                <w:vertAlign w:val="superscript"/>
              </w:rPr>
              <w:t>(3)</w:t>
            </w:r>
          </w:p>
        </w:tc>
        <w:tc>
          <w:tcPr>
            <w:tcW w:w="2060" w:type="dxa"/>
            <w:vAlign w:val="bottom"/>
            <w:shd w:val="clear" w:color="auto" w:fill="CFF0FC"/>
          </w:tcPr>
          <w:p>
            <w:pPr>
              <w:jc w:val="center"/>
              <w:ind w:left="618"/>
              <w:spacing w:after="0"/>
              <w:rPr>
                <w:sz w:val="20"/>
                <w:szCs w:val="20"/>
                <w:color w:val="auto"/>
              </w:rPr>
            </w:pPr>
            <w:r>
              <w:rPr>
                <w:rFonts w:ascii="Times New Roman" w:cs="Times New Roman" w:eastAsia="Times New Roman" w:hAnsi="Times New Roman"/>
                <w:sz w:val="17"/>
                <w:szCs w:val="17"/>
                <w:color w:val="auto"/>
              </w:rPr>
              <w:t>3.75%</w:t>
            </w:r>
          </w:p>
        </w:tc>
        <w:tc>
          <w:tcPr>
            <w:tcW w:w="3760" w:type="dxa"/>
            <w:vAlign w:val="bottom"/>
            <w:gridSpan w:val="3"/>
            <w:shd w:val="clear" w:color="auto" w:fill="CFF0FC"/>
          </w:tcPr>
          <w:p>
            <w:pPr>
              <w:jc w:val="center"/>
              <w:ind w:left="918"/>
              <w:spacing w:after="0"/>
              <w:rPr>
                <w:sz w:val="20"/>
                <w:szCs w:val="20"/>
                <w:color w:val="auto"/>
              </w:rPr>
            </w:pPr>
            <w:r>
              <w:rPr>
                <w:rFonts w:ascii="Times New Roman" w:cs="Times New Roman" w:eastAsia="Times New Roman" w:hAnsi="Times New Roman"/>
                <w:sz w:val="17"/>
                <w:szCs w:val="17"/>
                <w:color w:val="auto"/>
              </w:rPr>
              <w:t>4.80%</w:t>
            </w:r>
          </w:p>
        </w:tc>
      </w:tr>
      <w:tr>
        <w:trPr>
          <w:trHeight w:val="22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to warrant expiration (years)</w:t>
            </w:r>
          </w:p>
        </w:tc>
        <w:tc>
          <w:tcPr>
            <w:tcW w:w="2060" w:type="dxa"/>
            <w:vAlign w:val="bottom"/>
          </w:tcPr>
          <w:p>
            <w:pPr>
              <w:jc w:val="center"/>
              <w:ind w:left="638"/>
              <w:spacing w:after="0"/>
              <w:rPr>
                <w:sz w:val="20"/>
                <w:szCs w:val="20"/>
                <w:color w:val="auto"/>
              </w:rPr>
            </w:pPr>
            <w:r>
              <w:rPr>
                <w:rFonts w:ascii="Times New Roman" w:cs="Times New Roman" w:eastAsia="Times New Roman" w:hAnsi="Times New Roman"/>
                <w:sz w:val="17"/>
                <w:szCs w:val="17"/>
                <w:color w:val="auto"/>
              </w:rPr>
              <w:t>1.72</w:t>
            </w:r>
          </w:p>
        </w:tc>
        <w:tc>
          <w:tcPr>
            <w:tcW w:w="3760" w:type="dxa"/>
            <w:vAlign w:val="bottom"/>
            <w:gridSpan w:val="3"/>
          </w:tcPr>
          <w:p>
            <w:pPr>
              <w:jc w:val="center"/>
              <w:ind w:left="938"/>
              <w:spacing w:after="0"/>
              <w:rPr>
                <w:sz w:val="20"/>
                <w:szCs w:val="20"/>
                <w:color w:val="auto"/>
              </w:rPr>
            </w:pPr>
            <w:r>
              <w:rPr>
                <w:rFonts w:ascii="Times New Roman" w:cs="Times New Roman" w:eastAsia="Times New Roman" w:hAnsi="Times New Roman"/>
                <w:sz w:val="17"/>
                <w:szCs w:val="17"/>
                <w:color w:val="auto"/>
              </w:rPr>
              <w:t>2.73</w:t>
            </w:r>
          </w:p>
        </w:tc>
      </w:tr>
    </w:tbl>
    <w:p>
      <w:pPr>
        <w:spacing w:after="0" w:line="94" w:lineRule="exact"/>
        <w:rPr>
          <w:sz w:val="20"/>
          <w:szCs w:val="20"/>
          <w:color w:val="auto"/>
        </w:rPr>
      </w:pPr>
    </w:p>
    <w:p>
      <w:pPr>
        <w:ind w:left="280" w:hanging="205"/>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three and nine months ended September 30, 2024 and 2023.</w:t>
      </w:r>
    </w:p>
    <w:p>
      <w:pPr>
        <w:spacing w:after="0" w:line="32" w:lineRule="exact"/>
        <w:rPr>
          <w:rFonts w:ascii="Times New Roman" w:cs="Times New Roman" w:eastAsia="Times New Roman" w:hAnsi="Times New Roman"/>
          <w:sz w:val="15"/>
          <w:szCs w:val="15"/>
          <w:color w:val="auto"/>
        </w:rPr>
      </w:pPr>
    </w:p>
    <w:p>
      <w:pPr>
        <w:ind w:left="280" w:hanging="205"/>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back-solved implied volatility of the Company's public warrants as of the valuation date.</w:t>
      </w:r>
    </w:p>
    <w:p>
      <w:pPr>
        <w:spacing w:after="0" w:line="32" w:lineRule="exact"/>
        <w:rPr>
          <w:rFonts w:ascii="Times New Roman" w:cs="Times New Roman" w:eastAsia="Times New Roman" w:hAnsi="Times New Roman"/>
          <w:sz w:val="15"/>
          <w:szCs w:val="15"/>
          <w:color w:val="auto"/>
        </w:rPr>
      </w:pPr>
    </w:p>
    <w:p>
      <w:pPr>
        <w:ind w:left="280" w:hanging="205"/>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time to maturity of the warrants.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Measured at Fair Value</w:t>
      </w:r>
    </w:p>
    <w:p>
      <w:pPr>
        <w:spacing w:after="0" w:line="6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Company's assets and liabilities recorded at fair value on a recurring basis as of September 30, 2024 and December 31, 2023, have been categorized based upon the fair value hierarchy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6"/>
              </w:rPr>
              <w:t>Fair Value Measurements as of September 30, 2024</w:t>
            </w: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38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left="940"/>
              <w:spacing w:after="0" w:line="159"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1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9"/>
        </w:trPr>
        <w:tc>
          <w:tcPr>
            <w:tcW w:w="38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7"/>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42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7"/>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FF0FC"/>
          </w:tcPr>
          <w:p>
            <w:pPr>
              <w:spacing w:after="0"/>
              <w:rPr>
                <w:sz w:val="20"/>
                <w:szCs w:val="20"/>
                <w:color w:val="auto"/>
              </w:rPr>
            </w:pP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118,453</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118,453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118,994</w:t>
            </w:r>
          </w:p>
        </w:tc>
        <w:tc>
          <w:tcPr>
            <w:tcW w:w="100" w:type="dxa"/>
            <w:vAlign w:val="bottom"/>
          </w:tcPr>
          <w:p>
            <w:pPr>
              <w:spacing w:after="0"/>
              <w:rPr>
                <w:sz w:val="19"/>
                <w:szCs w:val="19"/>
                <w:color w:val="auto"/>
              </w:rPr>
            </w:pPr>
          </w:p>
        </w:tc>
      </w:tr>
      <w:tr>
        <w:trPr>
          <w:trHeight w:val="22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tcPr>
          <w:p>
            <w:pPr>
              <w:spacing w:after="0"/>
              <w:rPr>
                <w:sz w:val="19"/>
                <w:szCs w:val="19"/>
                <w:color w:val="auto"/>
              </w:rPr>
            </w:pPr>
          </w:p>
        </w:tc>
      </w:tr>
      <w:tr>
        <w:trPr>
          <w:trHeight w:val="224"/>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Warrant Liabilities</w:t>
            </w: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94"/>
        </w:trPr>
        <w:tc>
          <w:tcPr>
            <w:tcW w:w="3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6"/>
              </w:rPr>
              <w:t>Fair Value Measurements as of December 31, 2023</w:t>
            </w: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38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7"/>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42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7"/>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4"/>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Pr>
          <w:p>
            <w:pPr>
              <w:spacing w:after="0"/>
              <w:rPr>
                <w:sz w:val="19"/>
                <w:szCs w:val="19"/>
                <w:color w:val="auto"/>
              </w:rPr>
            </w:pPr>
          </w:p>
        </w:tc>
      </w:tr>
      <w:tr>
        <w:trPr>
          <w:trHeight w:val="235"/>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3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122,830</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122,830</w:t>
            </w:r>
          </w:p>
        </w:tc>
        <w:tc>
          <w:tcPr>
            <w:tcW w:w="100" w:type="dxa"/>
            <w:vAlign w:val="bottom"/>
          </w:tcPr>
          <w:p>
            <w:pPr>
              <w:spacing w:after="0"/>
              <w:rPr>
                <w:sz w:val="19"/>
                <w:szCs w:val="19"/>
                <w:color w:val="auto"/>
              </w:rPr>
            </w:pPr>
          </w:p>
        </w:tc>
      </w:tr>
      <w:tr>
        <w:trPr>
          <w:trHeight w:val="224"/>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122,830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100" w:type="dxa"/>
            <w:vAlign w:val="bottom"/>
            <w:shd w:val="clear" w:color="auto" w:fill="CFF0FC"/>
          </w:tcPr>
          <w:p>
            <w:pPr>
              <w:spacing w:after="0"/>
              <w:rPr>
                <w:sz w:val="19"/>
                <w:szCs w:val="19"/>
                <w:color w:val="auto"/>
              </w:rPr>
            </w:pPr>
          </w:p>
        </w:tc>
      </w:tr>
      <w:tr>
        <w:trPr>
          <w:trHeight w:val="226"/>
        </w:trPr>
        <w:tc>
          <w:tcPr>
            <w:tcW w:w="3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Warrant Liabilities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6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tcPr>
          <w:p>
            <w:pPr>
              <w:spacing w:after="0"/>
              <w:rPr>
                <w:sz w:val="19"/>
                <w:szCs w:val="19"/>
                <w:color w:val="auto"/>
              </w:rPr>
            </w:pPr>
          </w:p>
        </w:tc>
      </w:tr>
      <w:tr>
        <w:trPr>
          <w:trHeight w:val="514"/>
        </w:trPr>
        <w:tc>
          <w:tcPr>
            <w:tcW w:w="38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23"/>
        </w:trPr>
        <w:tc>
          <w:tcPr>
            <w:tcW w:w="3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-2995295</wp:posOffset>
            </wp:positionV>
            <wp:extent cx="730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-2995295</wp:posOffset>
            </wp:positionV>
            <wp:extent cx="730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-2995295</wp:posOffset>
            </wp:positionV>
            <wp:extent cx="654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-2995295</wp:posOffset>
            </wp:positionV>
            <wp:extent cx="654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-2384425</wp:posOffset>
            </wp:positionV>
            <wp:extent cx="730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-2384425</wp:posOffset>
            </wp:positionV>
            <wp:extent cx="730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-2384425</wp:posOffset>
            </wp:positionV>
            <wp:extent cx="654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-2384425</wp:posOffset>
            </wp:positionV>
            <wp:extent cx="654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-1261110</wp:posOffset>
            </wp:positionV>
            <wp:extent cx="730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-1261110</wp:posOffset>
            </wp:positionV>
            <wp:extent cx="730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-1261110</wp:posOffset>
            </wp:positionV>
            <wp:extent cx="654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-1261110</wp:posOffset>
            </wp:positionV>
            <wp:extent cx="654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-960120</wp:posOffset>
            </wp:positionV>
            <wp:extent cx="730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-960120</wp:posOffset>
            </wp:positionV>
            <wp:extent cx="730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-960120</wp:posOffset>
            </wp:positionV>
            <wp:extent cx="654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-960120</wp:posOffset>
            </wp:positionV>
            <wp:extent cx="654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presents changes in Level 3 liabilities measured at fair value on a recurring basis during the three and nine months ended September 30, 2024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gridSpan w:val="6"/>
          </w:tcPr>
          <w:p>
            <w:pPr>
              <w:jc w:val="center"/>
              <w:ind w:left="1246"/>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September 30, 2024</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6"/>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(284 )</w:t>
            </w: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FF0FC"/>
          </w:tcPr>
          <w:p>
            <w:pPr>
              <w:spacing w:after="0"/>
              <w:rPr>
                <w:sz w:val="19"/>
                <w:szCs w:val="19"/>
                <w:color w:val="auto"/>
              </w:rPr>
            </w:pPr>
          </w:p>
        </w:tc>
      </w:tr>
      <w:tr>
        <w:trPr>
          <w:trHeight w:val="397"/>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center"/>
              <w:ind w:left="1246"/>
              <w:spacing w:after="0"/>
              <w:rPr>
                <w:sz w:val="20"/>
                <w:szCs w:val="20"/>
                <w:color w:val="auto"/>
              </w:rPr>
            </w:pPr>
            <w:r>
              <w:rPr>
                <w:rFonts w:ascii="Times New Roman" w:cs="Times New Roman" w:eastAsia="Times New Roman" w:hAnsi="Times New Roman"/>
                <w:sz w:val="14"/>
                <w:szCs w:val="14"/>
                <w:b w:val="1"/>
                <w:bCs w:val="1"/>
                <w:color w:val="auto"/>
                <w:w w:val="97"/>
              </w:rPr>
              <w:t>For the Nine Months Ended September 30, 2024</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6"/>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(794 )</w:t>
            </w: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FF0FC"/>
          </w:tcPr>
          <w:p>
            <w:pPr>
              <w:spacing w:after="0"/>
              <w:rPr>
                <w:sz w:val="19"/>
                <w:szCs w:val="19"/>
                <w:color w:val="auto"/>
              </w:rPr>
            </w:pPr>
          </w:p>
        </w:tc>
      </w:tr>
      <w:tr>
        <w:trPr>
          <w:trHeight w:val="41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gridSpan w:val="6"/>
          </w:tcPr>
          <w:p>
            <w:pPr>
              <w:jc w:val="center"/>
              <w:ind w:left="1246"/>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September 30, 2023</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6"/>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00" w:type="dxa"/>
            <w:vAlign w:val="bottom"/>
            <w:shd w:val="clear" w:color="auto" w:fill="CFF0FC"/>
          </w:tcPr>
          <w:p>
            <w:pPr>
              <w:spacing w:after="0"/>
              <w:rPr>
                <w:sz w:val="19"/>
                <w:szCs w:val="19"/>
                <w:color w:val="auto"/>
              </w:rPr>
            </w:pPr>
          </w:p>
        </w:tc>
      </w:tr>
      <w:tr>
        <w:trPr>
          <w:trHeight w:val="397"/>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center"/>
              <w:ind w:left="1246"/>
              <w:spacing w:after="0"/>
              <w:rPr>
                <w:sz w:val="20"/>
                <w:szCs w:val="20"/>
                <w:color w:val="auto"/>
              </w:rPr>
            </w:pPr>
            <w:r>
              <w:rPr>
                <w:rFonts w:ascii="Times New Roman" w:cs="Times New Roman" w:eastAsia="Times New Roman" w:hAnsi="Times New Roman"/>
                <w:sz w:val="14"/>
                <w:szCs w:val="14"/>
                <w:b w:val="1"/>
                <w:bCs w:val="1"/>
                <w:color w:val="auto"/>
                <w:w w:val="97"/>
              </w:rPr>
              <w:t>For the Nine Months Ended September 30, 2023</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6"/>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00" w:type="dxa"/>
            <w:vAlign w:val="bottom"/>
            <w:shd w:val="clear" w:color="auto" w:fill="CFF0FC"/>
          </w:tcPr>
          <w:p>
            <w:pPr>
              <w:spacing w:after="0"/>
              <w:rPr>
                <w:sz w:val="19"/>
                <w:szCs w:val="19"/>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PROPERTY AND EQUIPMENT, NET</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Property and equipment, net is included as part of other long-term assets in the condensed consolidated balance sheets. Property and equipment are stated at cost, net of accumulated depreciation. Depreciation is calculated using the straight-line method over the estimated useful lives of the assets.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as of September 30, 2024 and December 31, 2023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70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65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Capitalized internal-use software costs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4,616</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and equipment</w:t>
            </w:r>
          </w:p>
        </w:tc>
        <w:tc>
          <w:tcPr>
            <w:tcW w:w="24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24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5,423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4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(1,094 )</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(888 )</w:t>
            </w:r>
          </w:p>
        </w:tc>
        <w:tc>
          <w:tcPr>
            <w:tcW w:w="0" w:type="dxa"/>
            <w:vAlign w:val="bottom"/>
          </w:tcPr>
          <w:p>
            <w:pPr>
              <w:spacing w:after="0"/>
              <w:rPr>
                <w:sz w:val="1"/>
                <w:szCs w:val="1"/>
                <w:color w:val="auto"/>
              </w:rPr>
            </w:pPr>
          </w:p>
        </w:tc>
      </w:tr>
      <w:tr>
        <w:trPr>
          <w:trHeight w:val="224"/>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4,329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5773420</wp:posOffset>
            </wp:positionH>
            <wp:positionV relativeFrom="paragraph">
              <wp:posOffset>-479425</wp:posOffset>
            </wp:positionV>
            <wp:extent cx="130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-178435</wp:posOffset>
            </wp:positionV>
            <wp:extent cx="1301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2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Costs related to software acquired, developed, or modified solely to meet our internal requirements, with no substantive plans to market such software at the time of development are capitalized. Costs incurred during the preliminary project stage and during the post implementation operational stage are expensed as incurred. Eligible costs incurred during the application development stage of the project are capitalized. Maintenance costs are expensed as incurred. Capitalized software development costs are amortized on a straight-line basis over the software’s estimated useful life, which is between 2 to 3 years, and are recorded within operating expenses in the condensed consolidated statements of income. As of September 30, 2024 and December 31, 2023, the Company has capitalized $4.2 million, net and $0.2 million, net, respectively, of qualifying software development costs. Amortization expense related to capitalized software costs was immaterial for the nine months ended September 30, 2024 and 2023.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COMMITMENTS AND CONTINGENT LIABILITIES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September 30, 2024, there were no material pending legal proceedings, claims or litigation.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 and Indemnification</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CAPITAL STOCK</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authorized capital stock consists of (a) 1,000,000,000 shares of common stock, par value $0.0001 per share; and (b) 100,000,000 shares of preferred stock, par value $0.0001 per share. As of September 30, 2024 and December 31, 2023, there were outstanding 12,780,000 Private Placement Warrants and 20,700,000 Public Warrants to purchase the Company’s common stock at an exercise price of $11.50 per share. As of September 30, 2024 and December 31, 2023, no shares of preferred stock were issued or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The Share Repurchase Program will remain in effect until the total authorized dollar amount of shares is repurchased or August 1, 2026.</w:t>
      </w:r>
    </w:p>
    <w:p>
      <w:pPr>
        <w:spacing w:after="0" w:line="1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nine months ended September 30, 2024, the Company repurchased and canceled an aggregate of 2,948,892 shares of its common stock for a total consideration of $8.0 million ($2.71 per share). As of September 30, 2024, $32.0 million remained available under the Share Repurchase Program.</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canceled. The program does not obligate the Company to repurchase any dollar amount or number of shares, and may be modified, suspended, or discontinued at any time at the Company’s discretion without prior notice.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SHARE-BASED COMPENSATION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All stock-based awards are measured based on the grant date fair value and are generally recognized on a straight-line basis in the Company’s condensed consolidated statement of operations over the requisite service period (generally requiring a four-year vesting period).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total share-based compensation expense related to stock options and restricted stock units included in the respective components of operating expenses in the condensed 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9"/>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01"/>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01"/>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61"/>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5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3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4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4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4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operations,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-23495</wp:posOffset>
            </wp:positionV>
            <wp:extent cx="730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-7620</wp:posOffset>
            </wp:positionV>
            <wp:extent cx="730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-23495</wp:posOffset>
            </wp:positionV>
            <wp:extent cx="730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-7620</wp:posOffset>
            </wp:positionV>
            <wp:extent cx="730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-23495</wp:posOffset>
            </wp:positionV>
            <wp:extent cx="654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-7620</wp:posOffset>
            </wp:positionV>
            <wp:extent cx="654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-23495</wp:posOffset>
            </wp:positionV>
            <wp:extent cx="654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-7620</wp:posOffset>
            </wp:positionV>
            <wp:extent cx="654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nine months ended September 30, 2024, the Company modified certain equity awards in connection with certain key executives' separation from the Company and recognized $1.2 million of additional stock-based compensation expense as a result of these modifications.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NET INCOME (LOSS) PER SHARE</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basic net loss per share is calculated by dividing net loss attributable to ordinary shareholders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stock method or the if-converted method based on the nature of such securities. Diluted net loss per share is the same as basic net loss per share in periods when the effects of potentially dilutive shares of common stock are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(loss) per share attributable to common stockholders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8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9"/>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shares and per share amounts)</w:t>
            </w:r>
          </w:p>
        </w:tc>
        <w:tc>
          <w:tcPr>
            <w:tcW w:w="2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20"/>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1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40"/>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60"/>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80"/>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5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(4,414 )</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(66 )</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(17,876 )</w:t>
            </w:r>
          </w:p>
        </w:tc>
        <w:tc>
          <w:tcPr>
            <w:tcW w:w="0" w:type="dxa"/>
            <w:vAlign w:val="bottom"/>
          </w:tcPr>
          <w:p>
            <w:pPr>
              <w:spacing w:after="0"/>
              <w:rPr>
                <w:sz w:val="1"/>
                <w:szCs w:val="1"/>
                <w:color w:val="auto"/>
              </w:rPr>
            </w:pPr>
          </w:p>
        </w:tc>
      </w:tr>
      <w:tr>
        <w:trPr>
          <w:trHeight w:val="202"/>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used to compute net income (loss) per</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168,426,349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166,570,673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168,805,882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164,215,802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Dilutive effect of share-based awards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5,327,414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173,753,763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166,570,673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168,805,882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164,215,802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share: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(0.03 )</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(0.00 )</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(0.11 )</w:t>
            </w:r>
          </w:p>
        </w:tc>
        <w:tc>
          <w:tcPr>
            <w:tcW w:w="0" w:type="dxa"/>
            <w:vAlign w:val="bottom"/>
          </w:tcPr>
          <w:p>
            <w:pPr>
              <w:spacing w:after="0"/>
              <w:rPr>
                <w:sz w:val="1"/>
                <w:szCs w:val="1"/>
                <w:color w:val="auto"/>
              </w:rPr>
            </w:pPr>
          </w:p>
        </w:tc>
      </w:tr>
      <w:tr>
        <w:trPr>
          <w:trHeight w:val="222"/>
        </w:trPr>
        <w:tc>
          <w:tcPr>
            <w:tcW w:w="4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(0.03 )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(0.00 )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(0.11 )</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months ended September 30, 2024, the shares underlying the following were excluded from the calculation of diluted net income per share since each would have had an anti-dilutive effect: 40,136 vested and non-vested stock options outstanding, 892,261 non-vested and outstanding restricted stock units, 12,780,000 Private Placement Warrants and 20,700,000 Public Warrants to purchase the Company’s common stock.</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nine months ended September 30, 2024, the shares underlying the following were excluded from the calculation of diluted net loss per share since each would have had an anti-dilutive effect giving the Company's net loss: 10,124,328 vested and non-vested stock options outstanding, 7,469,997 non-vested and outstanding restricted stock units, 12,780,000 Private Placement Warrants and 20,700,000 Public Warrants to purchase the Company’s common stock.</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and nine months ended September 30, 2023, the shares underlying the following were excluded from the calculation of diluted income per share since each would have had an anti-dilutive effect given the Company's net loss: 11,812,822 vested and non-vested stock options outstanding, 9,609,252 non-vested and outstanding restricted stock units, 12,780,000 Private Placement Warrants and 20,700,000 Public Warrants to purchase the Company’s common stock.</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ACCRUED EXPENSES AND OTHER CURRENT LIABILITIES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amounts included within accrued expenses and other current liabilities as of September 30, 2024 and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5"/>
                <w:szCs w:val="15"/>
                <w:color w:val="auto"/>
              </w:rPr>
            </w:pPr>
          </w:p>
        </w:tc>
        <w:tc>
          <w:tcPr>
            <w:tcW w:w="18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6700" w:type="dxa"/>
            <w:vAlign w:val="bottom"/>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right"/>
              <w:ind w:right="67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Employee compensation</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4,018</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Severance</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28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User acquisition</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7,247</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-178435</wp:posOffset>
            </wp:positionV>
            <wp:extent cx="730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VARIABLE INTEREST ENTITIES ("VIEs")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holds a variable interest in Talkspace Provider Network, PA (“TPN”) and seven affiliated professional corporations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 TPN and the PC entities are considered VIEs.</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6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has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3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details the assets and liabilities of the VIEs as of September 30, 2024 and December 31, 2023. The assets and liabilities in the table below are presented prior to consolidation and thus a portion of these assets and liabilities are eliminated in consolidation.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4340" w:type="dxa"/>
            <w:vAlign w:val="bottom"/>
            <w:vMerge w:val="continue"/>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53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2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5,388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19,349</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24,870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15,691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8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880" w:type="dxa"/>
            <w:vAlign w:val="bottom"/>
            <w:vMerge w:val="restart"/>
          </w:tcPr>
          <w:p>
            <w:pPr>
              <w:jc w:val="right"/>
              <w:ind w:right="1435"/>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3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43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-1293495</wp:posOffset>
            </wp:positionV>
            <wp:extent cx="730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-1277620</wp:posOffset>
            </wp:positionV>
            <wp:extent cx="730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-1293495</wp:posOffset>
            </wp:positionV>
            <wp:extent cx="654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-1277620</wp:posOffset>
            </wp:positionV>
            <wp:extent cx="654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-975995</wp:posOffset>
            </wp:positionV>
            <wp:extent cx="730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-975995</wp:posOffset>
            </wp:positionV>
            <wp:extent cx="654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Unless the context otherwise requires, all references in this section as to “Talkspace,” the “Company,” “we,” “us” or “our” refer to the business of Talkspace,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 its consolidated subsidiaries.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2023.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2023 and “Forward-Looking Statements” sections and elsewhere in this Quarterly Report, our actual results may differ materially from those anticipated in these forward-looking statements.</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purpose of this section is to discuss and analyze our consolidated financial condition, liquidity and capital resources and results of operations for the three and nine months ended September 30, 2024 and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Talkspace is a healthcare company offering its members convenient and affordable access to a fully-credentialed network of highly qualified providers. We are a leading virtual behavioral health company connecting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Through its platform, Talkspace serves:</w:t>
      </w:r>
    </w:p>
    <w:p>
      <w:pPr>
        <w:spacing w:after="0" w:line="69" w:lineRule="exact"/>
        <w:rPr>
          <w:sz w:val="20"/>
          <w:szCs w:val="20"/>
          <w:color w:val="auto"/>
        </w:rPr>
      </w:pPr>
    </w:p>
    <w:p>
      <w:pPr>
        <w:ind w:left="1020" w:hanging="508"/>
        <w:spacing w:after="0" w:line="284"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plans and employee assistance programs (“Payor”) such as Aetna, Cigna, and Optum, who offer their insured members access to our platform at in-network reimbursement rates,</w:t>
      </w:r>
    </w:p>
    <w:p>
      <w:pPr>
        <w:spacing w:after="0" w:line="50"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Direct-to-Enterprise customers (“DTE”) comprised of enterprises such as Google, the University of Kentucky and the New York City Department of Health and Mental Hygiene, who offer their enterprise members access to our platform while their enterprise is under an active contract with Talkspace, and</w:t>
      </w:r>
    </w:p>
    <w:p>
      <w:pPr>
        <w:spacing w:after="0" w:line="63" w:lineRule="exact"/>
        <w:rPr>
          <w:rFonts w:ascii="Times New Roman" w:cs="Times New Roman" w:eastAsia="Times New Roman" w:hAnsi="Times New Roman"/>
          <w:sz w:val="17"/>
          <w:szCs w:val="17"/>
          <w:color w:val="auto"/>
        </w:rPr>
      </w:pPr>
    </w:p>
    <w:p>
      <w:pPr>
        <w:ind w:left="1020" w:hanging="508"/>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subscribers (“Consumer”) who subscribe directly to our platform.</w:t>
      </w:r>
    </w:p>
    <w:p>
      <w:pPr>
        <w:spacing w:after="0" w:line="3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September 30, 2024, we had approximately 158.1 million eligible lives compared to 112.9 million eligible lives as of September 30, 2023. As of September 30, 2024, we had over 8,600 Consumer active members compared to 13,300 Consumer active members as of September 30, 2023. For the three and nine months ended September 30, 2024, our clinicians completed 316,400 and 899,200 sessions, respectively, related to members covered under our Payor customers, compared to 228,600 and 600,800 completed sessions, respectively, for the three and nine months ended September 30, 2023. Please refer to the “Key Business Metrics” section below for a description of eligible lives and Consumer active members.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 and Economic Conditions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demand for our solution is dependent on the general economy, which is in turn affected by geopolitical conditions, the stability of the global credit markets, inflationary pressures, higher interest rates, the industries in which our Payor and DTE customers operate or serve, and other factors. Downturns in the general economy could disproportionately affect the demand for our solution and cause it to decrease.</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operations could also be impacted by inflation and higher interest rates. Inflation did not have a material effect on our business, financial condition or results of operations for the three and nine months ended September 30, 2024 and 2023.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Segments</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operates as a single segment, which is how the chief operating decision maker (“CODM”), who is the Chief Executive Officer, reviews financial performance and allocates resources.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40" w:type="dxa"/>
            <w:vAlign w:val="bottom"/>
          </w:tcPr>
          <w:p>
            <w:pPr>
              <w:spacing w:after="0"/>
              <w:rPr>
                <w:sz w:val="15"/>
                <w:szCs w:val="15"/>
                <w:color w:val="auto"/>
              </w:rPr>
            </w:pPr>
          </w:p>
        </w:tc>
        <w:tc>
          <w:tcPr>
            <w:tcW w:w="3040" w:type="dxa"/>
            <w:vAlign w:val="bottom"/>
            <w:tcBorders>
              <w:bottom w:val="single" w:sz="8" w:color="auto"/>
            </w:tcBorders>
            <w:gridSpan w:val="4"/>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6"/>
              </w:rPr>
              <w:t>Nine Months Ended September 30,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1180" w:type="dxa"/>
            <w:vAlign w:val="bottom"/>
          </w:tcPr>
          <w:p>
            <w:pPr>
              <w:jc w:val="center"/>
              <w:ind w:left="392"/>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60" w:type="dxa"/>
            <w:vAlign w:val="bottom"/>
            <w:gridSpan w:val="3"/>
          </w:tcPr>
          <w:p>
            <w:pPr>
              <w:jc w:val="center"/>
              <w:ind w:left="1039"/>
              <w:spacing w:after="0" w:line="15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40" w:type="dxa"/>
            <w:vAlign w:val="bottom"/>
            <w:vMerge w:val="continue"/>
          </w:tcPr>
          <w:p>
            <w:pPr>
              <w:spacing w:after="0"/>
              <w:rPr>
                <w:sz w:val="13"/>
                <w:szCs w:val="13"/>
                <w:color w:val="auto"/>
              </w:rPr>
            </w:pPr>
          </w:p>
        </w:tc>
        <w:tc>
          <w:tcPr>
            <w:tcW w:w="1180" w:type="dxa"/>
            <w:vAlign w:val="bottom"/>
            <w:tcBorders>
              <w:top w:val="single" w:sz="8" w:color="auto"/>
            </w:tcBorders>
          </w:tcPr>
          <w:p>
            <w:pPr>
              <w:jc w:val="center"/>
              <w:ind w:left="412"/>
              <w:spacing w:after="0" w:line="159"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top w:val="single" w:sz="8" w:color="auto"/>
            </w:tcBorders>
          </w:tcPr>
          <w:p>
            <w:pPr>
              <w:jc w:val="center"/>
              <w:ind w:left="392"/>
              <w:spacing w:after="0" w:line="159"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Number of eligible lives at period end </w:t>
            </w:r>
            <w:r>
              <w:rPr>
                <w:rFonts w:ascii="Times New Roman" w:cs="Times New Roman" w:eastAsia="Times New Roman" w:hAnsi="Times New Roman"/>
                <w:sz w:val="17"/>
                <w:szCs w:val="17"/>
                <w:i w:val="1"/>
                <w:iCs w:val="1"/>
                <w:color w:val="auto"/>
              </w:rPr>
              <w:t>(in millions)</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completed Payor sessions during the period</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600.8</w:t>
            </w:r>
          </w:p>
        </w:tc>
        <w:tc>
          <w:tcPr>
            <w:tcW w:w="0" w:type="dxa"/>
            <w:vAlign w:val="bottom"/>
          </w:tcPr>
          <w:p>
            <w:pPr>
              <w:spacing w:after="0"/>
              <w:rPr>
                <w:sz w:val="1"/>
                <w:szCs w:val="1"/>
                <w:color w:val="auto"/>
              </w:rPr>
            </w:pPr>
          </w:p>
        </w:tc>
      </w:tr>
      <w:tr>
        <w:trPr>
          <w:trHeight w:val="23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Number of health plan customers at period end</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enterprise customers at period end</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3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Number of Consumer active members at period end</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449"/>
        </w:trPr>
        <w:tc>
          <w:tcPr>
            <w:tcW w:w="7740" w:type="dxa"/>
            <w:vAlign w:val="bottom"/>
          </w:tcPr>
          <w:p>
            <w:pPr>
              <w:spacing w:after="0"/>
              <w:rPr>
                <w:sz w:val="24"/>
                <w:szCs w:val="24"/>
                <w:color w:val="auto"/>
              </w:rPr>
            </w:pPr>
          </w:p>
        </w:tc>
        <w:tc>
          <w:tcPr>
            <w:tcW w:w="3040" w:type="dxa"/>
            <w:vAlign w:val="bottom"/>
            <w:tcBorders>
              <w:bottom w:val="single" w:sz="8" w:color="auto"/>
            </w:tcBorders>
            <w:gridSpan w:val="4"/>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6"/>
              </w:rPr>
              <w:t>Three Months Ended September 30,</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60" w:type="dxa"/>
            <w:vAlign w:val="bottom"/>
            <w:gridSpan w:val="3"/>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740" w:type="dxa"/>
            <w:vAlign w:val="bottom"/>
            <w:vMerge w:val="continue"/>
          </w:tcPr>
          <w:p>
            <w:pPr>
              <w:spacing w:after="0"/>
              <w:rPr>
                <w:sz w:val="14"/>
                <w:szCs w:val="14"/>
                <w:color w:val="auto"/>
              </w:rPr>
            </w:pPr>
          </w:p>
        </w:tc>
        <w:tc>
          <w:tcPr>
            <w:tcW w:w="1180" w:type="dxa"/>
            <w:vAlign w:val="bottom"/>
            <w:tcBorders>
              <w:top w:val="single" w:sz="8" w:color="auto"/>
            </w:tcBorders>
            <w:vMerge w:val="restart"/>
          </w:tcPr>
          <w:p>
            <w:pPr>
              <w:jc w:val="center"/>
              <w:ind w:left="412"/>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top w:val="single" w:sz="8" w:color="auto"/>
            </w:tcBorders>
            <w:vMerge w:val="restart"/>
          </w:tcPr>
          <w:p>
            <w:pPr>
              <w:jc w:val="center"/>
              <w:ind w:left="392"/>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77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Unique Payor active members during the period</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Eligible Lives: </w:t>
      </w:r>
      <w:r>
        <w:rPr>
          <w:rFonts w:ascii="Times New Roman" w:cs="Times New Roman" w:eastAsia="Times New Roman" w:hAnsi="Times New Roman"/>
          <w:sz w:val="17"/>
          <w:szCs w:val="17"/>
          <w:color w:val="auto"/>
        </w:rPr>
        <w:t>We consider eligible lives “eligible” if such persons are eligible to receive treatment on the Talkspace platform, in the case of our Payor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eligible lives calculation, which may cause this amount to reflect a higher number of eligible lives than we actually serve.</w:t>
      </w:r>
    </w:p>
    <w:p>
      <w:pPr>
        <w:spacing w:after="0" w:line="1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Active Members: </w:t>
      </w:r>
      <w:r>
        <w:rPr>
          <w:rFonts w:ascii="Times New Roman" w:cs="Times New Roman" w:eastAsia="Times New Roman" w:hAnsi="Times New Roman"/>
          <w:sz w:val="17"/>
          <w:szCs w:val="17"/>
          <w:color w:val="auto"/>
        </w:rPr>
        <w:t>We consider consumer members “active” commencing on the date such member initiates contact with a provider on our platform until the term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their monthly, quarterly or bi-annual subscription plan expires, unless terminated early.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Unique Payor Active Members: </w:t>
      </w:r>
      <w:r>
        <w:rPr>
          <w:rFonts w:ascii="Times New Roman" w:cs="Times New Roman" w:eastAsia="Times New Roman" w:hAnsi="Times New Roman"/>
          <w:sz w:val="17"/>
          <w:szCs w:val="17"/>
          <w:color w:val="auto"/>
        </w:rPr>
        <w:t>Represents unique users who had a session completed during the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generate revenues from services provided to individuals who are qualified to receive access to the Company's services through our commercial arrangements with health insurance plans, employee assistance organizations and enterprises. We also generate revenues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spacing w:after="0" w:line="1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Revenue growth is generated from a combination of increasing our eligible covered lives through contracting with health insurance plans and employee assistance organizations, increasing utilization within eligible covered lives, expanding enterprise customers, and increasing membership subscriptions.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Cost of revenues is comprised primarily of therapist payments. Cost of revenues is largely driven by number of sessions and the size of our provider network that is required to service the growth of our health plan and enterprise customers, in addition to the growth of our customer base.</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 consist of research and development, clinical operations, sales and marketing, and general and administrative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Operations Expenses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Sales expenses consist primarily of employee-related expenses, including salaries, benefits, commissions, travel and stock-based compensation costs for our employees engaged in sales and account management.</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customers to generate greater awareness and utilization of our platform among our Payor and DTE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costs, including salaries, benefits, bonuses and stock-based compensation expense for certain executives, finance, accounting, legal and human resources functions, as well as professional fees.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(income), net</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Financial (income), net includes the impact from (i) non-cash changes in the fair value of our warrant liabilities, (ii) interest earned on cash equivalents deposited in our money market accounts and (iii) other financial expenses in connection with bank charges.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Taxes on income</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Taxes on income consists primarily of foreign income taxes related to income generated by our subsidiary organized under the laws of Israel. Taxes on income were immaterial for the three and nine months ended September 30, 2024 and 2023.</w:t>
      </w:r>
    </w:p>
    <w:p>
      <w:pPr>
        <w:spacing w:after="0" w:line="1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presents our results of operations for the three and nine months ended September 30, 2024 and 2023 and the dollar and percentage change between the respective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9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23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5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1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23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9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80" w:type="dxa"/>
            <w:vAlign w:val="bottom"/>
          </w:tcPr>
          <w:p>
            <w:pPr>
              <w:spacing w:after="0"/>
              <w:rPr>
                <w:sz w:val="17"/>
                <w:szCs w:val="17"/>
                <w:color w:val="auto"/>
              </w:rPr>
            </w:pPr>
          </w:p>
        </w:tc>
        <w:tc>
          <w:tcPr>
            <w:tcW w:w="13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60" w:type="dxa"/>
            <w:vAlign w:val="bottom"/>
          </w:tcPr>
          <w:p>
            <w:pPr>
              <w:spacing w:after="0"/>
              <w:rPr>
                <w:sz w:val="17"/>
                <w:szCs w:val="17"/>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Payor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32,039</w:t>
            </w:r>
          </w:p>
        </w:tc>
        <w:tc>
          <w:tcPr>
            <w:tcW w:w="24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90,492</w:t>
            </w:r>
          </w:p>
        </w:tc>
        <w:tc>
          <w:tcPr>
            <w:tcW w:w="24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5"/>
                <w:szCs w:val="15"/>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DTE revenue</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28,911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 revenue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(2,542 )</w:t>
            </w:r>
          </w:p>
        </w:tc>
        <w:tc>
          <w:tcPr>
            <w:tcW w:w="2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(29.8 )</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(7,978 )</w:t>
            </w:r>
          </w:p>
        </w:tc>
        <w:tc>
          <w:tcPr>
            <w:tcW w:w="2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(29.1 )</w:t>
            </w: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47,399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38,646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138,873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107,627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31,246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21,621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18,849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64,303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53,409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(1,828 )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(43.7 )</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(5,450 )</w:t>
            </w:r>
          </w:p>
        </w:tc>
        <w:tc>
          <w:tcPr>
            <w:tcW w:w="2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(39.8 )</w:t>
            </w:r>
          </w:p>
        </w:tc>
      </w:tr>
      <w:tr>
        <w:trPr>
          <w:trHeight w:val="167"/>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Clinical operations, net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12,337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13,184</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(847 )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(6.4 )</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38,615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39,698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(1,083 )</w:t>
            </w:r>
          </w:p>
        </w:tc>
        <w:tc>
          <w:tcPr>
            <w:tcW w:w="2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(2.7 )</w:t>
            </w:r>
          </w:p>
        </w:tc>
      </w:tr>
      <w:tr>
        <w:trPr>
          <w:trHeight w:val="167"/>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(103 )</w:t>
            </w:r>
          </w:p>
        </w:tc>
        <w:tc>
          <w:tcPr>
            <w:tcW w:w="2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(2.0 )</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24,028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(2,506 )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(10.4 )</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69,369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74,035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(4,666 )</w:t>
            </w:r>
          </w:p>
        </w:tc>
        <w:tc>
          <w:tcPr>
            <w:tcW w:w="2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(6.3 )</w:t>
            </w: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(5,179 )</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(5,066 )</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(20,626 )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 (income), net</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(1,701 )</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(779 )</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(922 )</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(5,123 )</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(2,915 )</w:t>
            </w: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(2,208 )</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taxes on income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(4,400 )</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(17,711 )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on income</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(74 )</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(88 )</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(42 )</w:t>
            </w:r>
          </w:p>
        </w:tc>
        <w:tc>
          <w:tcPr>
            <w:tcW w:w="2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(25.5 )</w:t>
            </w:r>
          </w:p>
        </w:tc>
      </w:tr>
      <w:tr>
        <w:trPr>
          <w:trHeight w:val="17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24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(4,414 )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(66 )</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(17,876 )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5"/>
                <w:szCs w:val="15"/>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Revenues increased by $8.8 million, or 22.6% to $47.4 million for the three months ended September 30, 2024 from $38.6 million for the three months ended September 30, 2023. The increase was principally due to a 44.9% increase in Payor revenue driven by a higher number of completed Payor sessions, and a 17.1% growth in DTE revenue, partially offset by a 29.8% decline in Consumer revenue. Revenue from our Payor customers increased by $9.9 million, or 44.9%, to $32.0 million for the three months ended September 30, 2024 from $22.1 million for the three months ended September 30, 2023. Revenue from our DTE customers increased by $1.4 million, or 17.1% to $9.4 million for the three months ended September 30, 2024 from $8.0 million for the three months ended September 30, 2023. Consumer revenue decreased by $2.5 million, or 29.8%, to $6.0 million for the three months ended September 30, 2024 from $8.5 million for the three months ended September 30, 2023, due to the Company's intentional and strategic decision to optimize and focus marketing efforts on attracting Payor members. While we no longer have marketing resources dedicated solely to the Consumer category, it continues to have a positive contribution to our financial results.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Revenues increased by $31.2 million, or 29.0% to $138.9 million for the nine months ended September 30, 2024 from $107.6 million for the nine months ended September 30, 2023. The increase was principally due to a 63.2% increase in Payor revenue driven by a higher number of completed Payor sessions, and a 17.0% growth in DTE revenue, partially offset by a 29.1% decline in Consumer revenue. Revenue from our Payor customers increased by $35.0 million, or 63.2%, to $90.5 million for the nine months ended September 30, 2024 from $55.5 million for the nine months ended September 30, 2023. Revenue from our DTE customers increased by $4.2 million, or 17.0% to $28.9 million for the nine months ended September 30, 2024 from $24.7 million for the nine months ended September 30, 2023. Consumer revenue decreased by $8.0 million, or 29.1%, to $19.5 million for the nine months ended September 30, 2024 from $27.4 million for the nine months ended September 30, 2023, due to the Company's intentional and strategic decision to optimize and focus marketing efforts on attracting Payor members. While we no longer have marketing resources dedicated solely to the Consumer category, it continues to have a positive contribution to our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of revenues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Cost of revenues increased by $6.0 million, or 30.2%, to $25.8 million for the three months ended September 30, 2024 from $19.8 million for the three months ended September 30, 2023 and increased by $20.4 million, or 37.5%, to $74.6 million for the nine months ended September 30, 2024 from $54.2 million for the nine months ended September 30, 2023.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increase in cost of revenues for the three and nine months ended September 30, 2024, was primarily due to increased hours worked by therapists as a result of increased Payor sessions.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Gross profit increased by $2.8 million, or 14.7%, to $21.6 million for the three months ended September 30, 2024 from $18.8 million for the three months ended September 30, 2023 and increased by $10.9 million, or 20.4%, to $64.3 million for the nine months ended September 30, 2024 from $53.4 million for the nine months ended September 30, 2023. The increase in gross profit was primarily driven by an increase in the Company's revenues partially offset by an increase in cost of revenues to service more members and sessions.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Gross margin was 45.6% for the three months ended September 30, 2024, compared to 48.8% during the three months ended September 30, 2023. Gross margin was 46.3% for the nine months ended September 30, 2024, compared to 49.6% during the nine months ended September 30, 2023. The decline in gross margin was driven by a shift in revenue mix towards Payor as Consumer sessions tend to provide higher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Overall, operating expenses for the three months ended September 30, 2024 have decreased by $2.5 million or 10.4% to $21.5 million from $24.0 million for the three months ended September 30, 2023. Operating expenses for the nine months ended September 30, 2024 have decreased by $4.7 million or 6.3% to $69.4 million from $74.0 million for the nine months ended September 30, 2023, primarily due to our efforts to achieve greater operational efficiency.</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decreased by $1.8 million, or 43.7% to $2.4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from $4.2 million for the three months ended September 30, 2023 and decreased by $5.5 million, or 39.8% to $8.3 million for the nine months ended September 30, 2024 from $13.7 million for the nine months ended September 30, 2023. The decrease in research and development expenses for the three and nine months ended September 30, 2024 was primarily due to a decrease in employee-related costs, inclusive of non-cash stock compensation expense, as a result of the exclusion of amounts reflected as capitalized internal-use software development costs. Capitalized internal-use software development costs were $1.9 million and $4.2 million for the three and nine months ended September 30, 2024, respectively.</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Clinical operations expenses. </w:t>
      </w:r>
      <w:r>
        <w:rPr>
          <w:rFonts w:ascii="Times New Roman" w:cs="Times New Roman" w:eastAsia="Times New Roman" w:hAnsi="Times New Roman"/>
          <w:sz w:val="17"/>
          <w:szCs w:val="17"/>
          <w:color w:val="auto"/>
        </w:rPr>
        <w:t>Clinical operations expenses increased by $0.3 million, or 19.4% to $1.7 million for the three months ended September 30, 2024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$1.4 million for the three months ended September 30, 2023 and increased by $0.1 million, or 2.6% to $4.8 million for the nine months ended September 30, 2024 from $4.7 million for the nine months ended September 30, 2023. The increase in clinical operations expenses for the three and nine months ended September 30, 2024 was primarily due to an increase in employee-related costs, inclusive of non-cash stock compensation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Sales and marketing expenses. </w:t>
      </w:r>
      <w:r>
        <w:rPr>
          <w:rFonts w:ascii="Times New Roman" w:cs="Times New Roman" w:eastAsia="Times New Roman" w:hAnsi="Times New Roman"/>
          <w:sz w:val="17"/>
          <w:szCs w:val="17"/>
          <w:color w:val="auto"/>
        </w:rPr>
        <w:t>Sales and marketing expenses decreased by $0.8 million, or 6.4%, to $12.3 million for the three months ended September 30, 2024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$13.2 million for the three months ended September 30, 2023 and decreased by $1.1 million, or 2.7%, to $38.6 million for the nine months ended September 30, 2024 from $39.7 million for the nine months ended September 30, 2023. The decrease in sales and marketing expenses for the three and nine months ended September 30, 2024 was primarily driven by a decrease in employee-related costs, inclusive of non-cash stock compensation expense and a decrease in third-party subcontractor costs, partially offset by an increase in direct marketing and promotional costs.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decreased by $0.1 million, or 2.0%, to $5.2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from $5.3 million for the three months ended September 30, 2023 and increased by $1.7 million, or 10.9%, to $17.7 million for the nine months ended September 30, 2024 from $16.0 million for the nine months ended September 30, 2023. The increase in general and administrative expenses for the nine months ended September 30, 2024 was primarily due to an increase in severance costs, professional fees and recruitment costs, partially offset by a decrease in third-party subcontractor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(income), net</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Financial (income), net was $1.7 million for the three months ended September 30, 2024 compared to $0.8 million three months ended September 30, 2023. For the three months ended September 30, 2024 financial (income), net primarily consisted of interest income earned on our money market accounts of $1.5 million and non-cash gains resulting from the remeasurement of warrant liabilities of $0.3 million.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For the three months ended September 30, 2023 financial (income), net primarily consisted of interest income earned on our money market accounts of $1.6 million, partially offset by $0.8 million in losses resulting from the remeasurement of warrant liabilities.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Financial (income), net was $5.1 million for the nine months ended September 30, 2024 compared to $2.9 million nine months ended September 30, 2023. For the nine months ended September 30, 2024 financial (income), net primarily consisted of interest income earned on our money market accounts of $4.6 million and non-cash gains resulting from the remeasurement of warrant liabilities of $0.8 million. For the nine months ended September 30, 2023 financial (income), net primarily consisted of interest income earned on our money market accounts of $3.7 million, partially offset by $0.6 million in losses resulting from the remeasurement of warrant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 on income</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Taxes on income consists primarily of foreign income taxes related to income generated by our subsidiary organized under the laws of Israel. Taxes on income were immaterial for the three and nine months ended September 30,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(loss) and other GAAP results.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reconciliation is provided below for adjusted EBITDA to net income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calculate adjusted EBITDA as net loss income adjusted to exclude (i) depreciation and amortization, (ii) interest and other expenses (income), net, (iii) tax benefit and expense, and (iv) stock-based compensation expense.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reconciliation of adjusted EBITDA from the most comparable GAAP measure, net loss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8"/>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9"/>
        </w:trPr>
        <w:tc>
          <w:tcPr>
            <w:tcW w:w="56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1"/>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8"/>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1"/>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8"/>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11"/>
        </w:trPr>
        <w:tc>
          <w:tcPr>
            <w:tcW w:w="56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31"/>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(4,414 )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(66 )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(17,876 )</w:t>
            </w:r>
          </w:p>
        </w:tc>
      </w:tr>
      <w:tr>
        <w:trPr>
          <w:trHeight w:val="22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shd w:val="clear" w:color="auto" w:fill="CFF0FC"/>
          </w:tcPr>
          <w:p>
            <w:pPr>
              <w:spacing w:after="0"/>
              <w:rPr>
                <w:sz w:val="20"/>
                <w:szCs w:val="20"/>
                <w:color w:val="auto"/>
              </w:rPr>
            </w:pPr>
          </w:p>
        </w:tc>
      </w:tr>
      <w:tr>
        <w:trPr>
          <w:trHeight w:val="231"/>
        </w:trPr>
        <w:tc>
          <w:tcPr>
            <w:tcW w:w="56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Financial (income), net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(1,701 )</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(779 )</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(5,123 )</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(2,915 )</w:t>
            </w:r>
          </w:p>
        </w:tc>
      </w:tr>
      <w:tr>
        <w:trPr>
          <w:trHeight w:val="231"/>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Taxes on income</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(74 )</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FF0FC"/>
          </w:tcPr>
          <w:p>
            <w:pPr>
              <w:spacing w:after="0"/>
              <w:rPr>
                <w:sz w:val="20"/>
                <w:szCs w:val="20"/>
                <w:color w:val="auto"/>
              </w:rPr>
            </w:pPr>
          </w:p>
        </w:tc>
      </w:tr>
      <w:tr>
        <w:trPr>
          <w:trHeight w:val="22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6,401</w:t>
            </w:r>
          </w:p>
        </w:tc>
        <w:tc>
          <w:tcPr>
            <w:tcW w:w="100" w:type="dxa"/>
            <w:vAlign w:val="bottom"/>
          </w:tcPr>
          <w:p>
            <w:pPr>
              <w:spacing w:after="0"/>
              <w:rPr>
                <w:sz w:val="19"/>
                <w:szCs w:val="19"/>
                <w:color w:val="auto"/>
              </w:rPr>
            </w:pPr>
          </w:p>
        </w:tc>
      </w:tr>
      <w:tr>
        <w:trPr>
          <w:trHeight w:val="235"/>
        </w:trPr>
        <w:tc>
          <w:tcPr>
            <w:tcW w:w="5680" w:type="dxa"/>
            <w:vAlign w:val="bottom"/>
            <w:tcBorders>
              <w:bottom w:val="single" w:sz="8" w:color="CFF0FC"/>
            </w:tcBorders>
            <w:shd w:val="clear" w:color="auto" w:fill="CFF0FC"/>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Non-recurring expenses </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(2,800 )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4,303</w:t>
            </w:r>
          </w:p>
        </w:tc>
        <w:tc>
          <w:tcPr>
            <w:tcW w:w="2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(13,223 )</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-178435</wp:posOffset>
            </wp:positionV>
            <wp:extent cx="730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-178435</wp:posOffset>
            </wp:positionV>
            <wp:extent cx="730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-178435</wp:posOffset>
            </wp:positionV>
            <wp:extent cx="654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65" w:lineRule="exact"/>
        <w:rPr>
          <w:sz w:val="20"/>
          <w:szCs w:val="20"/>
          <w:color w:val="auto"/>
        </w:rPr>
      </w:pPr>
    </w:p>
    <w:p>
      <w:pPr>
        <w:ind w:left="1020" w:right="80" w:hanging="508"/>
        <w:spacing w:after="0" w:line="259" w:lineRule="auto"/>
        <w:tabs>
          <w:tab w:leader="none" w:pos="10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September 30, 2024, financial (income), net, primarily consisted of $1.5 million of interest income from our money market accounts and $0.3 million in non-cash gains resulting from the remeasurement of warrant liabilities. For the nine months ended September 30, 2024, financial (income), net, primarily consisted of $4.6 million of interest income from our money market accounts and $0.8 million in non-cash gains resulting from the remeasurement of warrant liabilities. For the three months ended September 30, 2023, financial (income), net, primarily consisted of $1.6 million of interest income from our money market accounts, partially offset by $0.8 million in non-cash losses resulting from the remeasurement of warrant liabilities. For the nine months ended September 30, 2023, financial (income), net, primarily consisted of $3.7 million of interest income from our money market accounts, partially offset by $0.6 million in non-cash losses resulting from the remeasurement of warrant liabilities.</w:t>
      </w:r>
    </w:p>
    <w:p>
      <w:pPr>
        <w:spacing w:after="0" w:line="57" w:lineRule="exact"/>
        <w:rPr>
          <w:rFonts w:ascii="Times New Roman" w:cs="Times New Roman" w:eastAsia="Times New Roman" w:hAnsi="Times New Roman"/>
          <w:sz w:val="13"/>
          <w:szCs w:val="13"/>
          <w:color w:val="auto"/>
        </w:rPr>
      </w:pPr>
    </w:p>
    <w:p>
      <w:pPr>
        <w:ind w:left="1020" w:right="140" w:hanging="508"/>
        <w:spacing w:after="0" w:line="230" w:lineRule="auto"/>
        <w:tabs>
          <w:tab w:leader="none" w:pos="1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nine months ended September 30, 2024, non-recurring expenses primarily consisted of severance costs related to the departure of key executives of the Company and other related costs. For the three and nine months ended September 30, 2023, non- recurring expenses primarily consisted in losses resulting from the disposition of fixed assets.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of September 30, 2024, we had $119.0 million of cash and cash equivalents ($123.9 million as of December 31, 2023), which we use to finance our operations and support a variety of growth initiatives and investments. We had no debt as of September 30, 2024.</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currently anticipate to be able to fund our cash needs for at least the next 12 months and thereafter for the foreseeable future using available cash and cash equivalent balances as of September 30, 2024.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The Share Repurchase Program will remain in effect until the total authorized dollar amount of shares is repurchased or August 1, 2026.</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During the nine months ended September 30, 2024, the Company purchased and canceled an aggregate of 2,948,892 shares of its common stock for a total consideration of $8.0 million ($2.71 per share) under the Share Repurchase Program. As of September 30, 2024, a total of $32.0 million remained available for share repurchases under the Share Repurchase Program.</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Such repurchases may be completed periodically through various methods in compliance with applicable state and federal securities laws and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canceled. The program does not obligate the Company to repurchase any dollar amount or number of shares, and may be suspended or terminated at any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7, “Capital Stock” in the notes to the condensed consolidated financial statements for further details.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from Operating, Investing and Financing Activities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summary condensed consolidated cash flow information for the periods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4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9"/>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top w:val="single" w:sz="8" w:color="auto"/>
              <w:bottom w:val="single" w:sz="8" w:color="auto"/>
            </w:tcBorders>
          </w:tcPr>
          <w:p>
            <w:pPr>
              <w:jc w:val="right"/>
              <w:ind w:right="183"/>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00"/>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100" w:type="dxa"/>
            <w:vAlign w:val="bottom"/>
            <w:vMerge w:val="continue"/>
          </w:tcPr>
          <w:p>
            <w:pPr>
              <w:spacing w:after="0"/>
              <w:rPr>
                <w:sz w:val="13"/>
                <w:szCs w:val="13"/>
                <w:color w:val="auto"/>
              </w:rPr>
            </w:pPr>
          </w:p>
        </w:tc>
        <w:tc>
          <w:tcPr>
            <w:tcW w:w="1320" w:type="dxa"/>
            <w:vAlign w:val="bottom"/>
          </w:tcPr>
          <w:p>
            <w:pPr>
              <w:jc w:val="right"/>
              <w:ind w:right="23"/>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jc w:val="right"/>
              <w:ind w:right="560"/>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320" w:type="dxa"/>
            <w:vAlign w:val="bottom"/>
            <w:shd w:val="clear" w:color="auto" w:fill="CFF0FC"/>
          </w:tcPr>
          <w:p>
            <w:pPr>
              <w:jc w:val="right"/>
              <w:ind w:right="114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7,623</w:t>
            </w: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(14,863 )</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(3,837 )</w:t>
            </w:r>
          </w:p>
        </w:tc>
        <w:tc>
          <w:tcPr>
            <w:tcW w:w="3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3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3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(8,700 )</w:t>
            </w:r>
          </w:p>
        </w:tc>
        <w:tc>
          <w:tcPr>
            <w:tcW w:w="3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320" w:type="dxa"/>
            <w:vAlign w:val="bottom"/>
          </w:tcPr>
          <w:p>
            <w:pPr>
              <w:jc w:val="right"/>
              <w:ind w:right="114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(4,914 )</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(13,213 )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5692140</wp:posOffset>
            </wp:positionH>
            <wp:positionV relativeFrom="paragraph">
              <wp:posOffset>-178435</wp:posOffset>
            </wp:positionV>
            <wp:extent cx="730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decrease in net cash used in operating activities was primarily driven by a lower net loss for the nine months ended September 30, 2024 compared to the nine months ended September 30,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increase in net cash used in investing activities was driven primarily by an increase in capitalized internal-use software development costs during the nine months ended September 30, 2024 compared to September 30,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increase in net cash used in financing activities was driven primarily by the purchase of $8.0 million of outstanding shares of the Company’s common stock under the Share Repurchase Program and an increase in taxes paid related to vested stock-based awards during the nine months ended September 30, 2024 compared to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Commitments and Contingencies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of September 30, 2024, we did not have any short-term or long-term debt, or significant long-term liabilities. As of September 30, 2024, we have a non-material long-term operating lease for our office space in New York, NY.</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As of September 30, 2024 there were no material legal proceedings, claims or litigation.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2023.</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accounting policies are essential to understanding and interpreting the financial results reported on the condensed consolidated financial statements. The significant accounting policies used in the preparation of the Company’s consolidated financial statements are summarized in Note 2 to the financial statements in the Company’s Annual Report on Form 10-K for the year ended December 31, 2023.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nine months ended September 30, 2024, there were no material changes to matters discussed under the heading “Critical Accounting Policies and Estimates” in Part II, Item 7 of the Company’s Annual Report on Form 10-K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2023 and in Note 2, “Significant Accounting Policies” in the notes to the condensed consolidated financial statements of this Quarterly Report on Form 10-Q.</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and uncertainties. Many important factors could cause actual future events to differ materially from the forward-looking statements in this press release, including but not limited to: (i) our business and the markets we operate in are rapidly evolving; (ii) rapid technological change in our industry; (iii) our ability to secure clients' contract renewals; (iv) our ability to maintain and expand our network of therapists, psychiatrists and other providers; (v) a decline in the prevalence of enterprise-sponsored healthcare or the emergence of new technologies may adversely impact our DTE business; (vi) if our or our vendors’ security measures fail or are breached; (vii) changes in healthcare laws, regulations or trends and our ability to operate in the heavily regulated healthcare industry; and (viii) and the other factors, risks and uncertainties discussed in Part I, Item 1A, “Risk Factors” of the Company's Annual Report on Form 10-K for the fiscal year ended December 31, 2023 and subsequent quarterly reports on Form 10-Q, including this report.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You should read this Quarterly Report and the risk factors discussed in Part I, Item 1A, “Risk Factors” of the Company’s Annual Report on Form 10-K for the fiscal year ended December 31, 2023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nine months ended September 30, 2024, there were no material changes to the information contained in Part II, Item 7A of the Company’s Annual Report on Form 10-K for the year ended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Disclosure controls and procedures are designed to ensure that information required to be disclosed in reports filed or submitted under the Exchange Act is recorded, processed, summarized, and reported within the time periods specified in the SEC’s rules and forms, and that such information is accumulated and communicated to management, including the Chief Executive Officer and the Chief Financial Officer, to allow timely decisions regarding required disclosures.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Based on their evaluation as of September 30, 2024, our management, including our Chief Executive Officer and Chief Financial Officer, have concluded that our disclosure controls and procedures (as defined in Exchange Act Rules 13a-15(e) and 15d-15(e)) were effective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There were no changes in the Company's internal controls over financial reporting (as defined in Rules 13a-15(f) and 15d-15(f) of the Exchange Act) that occurred during the third quarter of fiscal year 2024 that have materially affected, or are reasonably likely to materially affect, our internal control over financial reporting. We will continue to evaluate each quarter whether there are changes that materially affect our internal control over financial reporting.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Inherent Limitations on Effectiveness of Controls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has no material pending legal proceedings as of September 30, 2024, for more details see Note 6, “Commitments and Contingencies” in the Notes to Condensed Consolidated Financial Statements included in Part I, Item 1 of this Quarterly Report on Form 10-Q, which is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you should carefully consider the factors discussed under Part I, Item 1A. “Risk Factors” in the Company’s Annual Report on Form 10-K for the year ended December 31, 2023.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nine months ended September 30, 2024, there were no material changes to the information contained in Part I, Item 1A of the Company's Annual Report on Form 10-K for the year ended December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Below is a summary of share repurchases for the three months ended September 30, 2024. See Note 7, “Capital Stock” in the Notes to Condensed Consolidated Financial Statements included in Part I, Item 1 of this Quarterly Report on Form 10-Q, as well as the section entitled “Liquidity Capital Resources-Share Repurchase Program” in Part I, Item II of this Quarterly Report on Form 10-Q for information regarding our share repurchase program.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Number of Shares Purchased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Approximate Dollar Value of</w:t>
            </w:r>
          </w:p>
        </w:tc>
        <w:tc>
          <w:tcPr>
            <w:tcW w:w="0" w:type="dxa"/>
            <w:vAlign w:val="bottom"/>
          </w:tcPr>
          <w:p>
            <w:pPr>
              <w:spacing w:after="0"/>
              <w:rPr>
                <w:sz w:val="1"/>
                <w:szCs w:val="1"/>
                <w:color w:val="auto"/>
              </w:rPr>
            </w:pPr>
          </w:p>
        </w:tc>
      </w:tr>
      <w:tr>
        <w:trPr>
          <w:trHeight w:val="141"/>
        </w:trPr>
        <w:tc>
          <w:tcPr>
            <w:tcW w:w="2600" w:type="dxa"/>
            <w:vAlign w:val="bottom"/>
          </w:tcPr>
          <w:p>
            <w:pPr>
              <w:spacing w:after="0"/>
              <w:rPr>
                <w:sz w:val="12"/>
                <w:szCs w:val="12"/>
                <w:color w:val="auto"/>
              </w:rPr>
            </w:pPr>
          </w:p>
        </w:tc>
        <w:tc>
          <w:tcPr>
            <w:tcW w:w="1760" w:type="dxa"/>
            <w:vAlign w:val="bottom"/>
            <w:vMerge w:val="restart"/>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Average Price Paid 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4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as Part of Publicly Announced</w:t>
            </w:r>
          </w:p>
        </w:tc>
        <w:tc>
          <w:tcPr>
            <w:tcW w:w="220" w:type="dxa"/>
            <w:vAlign w:val="bottom"/>
          </w:tcPr>
          <w:p>
            <w:pPr>
              <w:spacing w:after="0"/>
              <w:rPr>
                <w:sz w:val="12"/>
                <w:szCs w:val="12"/>
                <w:color w:val="auto"/>
              </w:rPr>
            </w:pPr>
          </w:p>
        </w:tc>
        <w:tc>
          <w:tcPr>
            <w:tcW w:w="22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78"/>
        </w:trPr>
        <w:tc>
          <w:tcPr>
            <w:tcW w:w="2600" w:type="dxa"/>
            <w:vAlign w:val="bottom"/>
            <w:vMerge w:val="continue"/>
          </w:tcPr>
          <w:p>
            <w:pPr>
              <w:spacing w:after="0"/>
              <w:rPr>
                <w:sz w:val="15"/>
                <w:szCs w:val="15"/>
                <w:color w:val="auto"/>
              </w:rPr>
            </w:pPr>
          </w:p>
        </w:tc>
        <w:tc>
          <w:tcPr>
            <w:tcW w:w="176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Programs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 Thousands) (1)</w:t>
            </w:r>
          </w:p>
        </w:tc>
        <w:tc>
          <w:tcPr>
            <w:tcW w:w="0" w:type="dxa"/>
            <w:vAlign w:val="bottom"/>
          </w:tcPr>
          <w:p>
            <w:pPr>
              <w:spacing w:after="0"/>
              <w:rPr>
                <w:sz w:val="1"/>
                <w:szCs w:val="1"/>
                <w:color w:val="auto"/>
              </w:rPr>
            </w:pP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July 1 - 31</w:t>
            </w:r>
          </w:p>
        </w:tc>
        <w:tc>
          <w:tcPr>
            <w:tcW w:w="1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August 1 - 31</w:t>
            </w:r>
          </w:p>
        </w:tc>
        <w:tc>
          <w:tcPr>
            <w:tcW w:w="1760" w:type="dxa"/>
            <w:vAlign w:val="bottom"/>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40" w:type="dxa"/>
            <w:vAlign w:val="bottom"/>
            <w:shd w:val="clear" w:color="auto" w:fill="CFF0FC"/>
          </w:tcPr>
          <w:p>
            <w:pPr>
              <w:ind w:left="1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1 - 30</w:t>
            </w:r>
          </w:p>
        </w:tc>
        <w:tc>
          <w:tcPr>
            <w:tcW w:w="1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2140" w:type="dxa"/>
            <w:vAlign w:val="bottom"/>
            <w:tcBorders>
              <w:bottom w:val="single" w:sz="8" w:color="auto"/>
            </w:tcBorders>
            <w:shd w:val="clear" w:color="auto" w:fill="CFF0FC"/>
          </w:tcPr>
          <w:p>
            <w:pPr>
              <w:ind w:left="196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9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-23495</wp:posOffset>
            </wp:positionV>
            <wp:extent cx="730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-7620</wp:posOffset>
            </wp:positionV>
            <wp:extent cx="730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-23495</wp:posOffset>
            </wp:positionV>
            <wp:extent cx="730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30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219" w:lineRule="exact"/>
        <w:rPr>
          <w:sz w:val="20"/>
          <w:szCs w:val="20"/>
          <w:color w:val="auto"/>
        </w:rPr>
      </w:pPr>
    </w:p>
    <w:p>
      <w:pPr>
        <w:ind w:left="520" w:hanging="517"/>
        <w:spacing w:after="0" w:line="238" w:lineRule="auto"/>
        <w:tabs>
          <w:tab w:leader="none" w:pos="5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were no share repurchases during the three months ended September 30, 2024. As of September 30, 2024, $32.0 million remained available for share repurchases under the Share Repurchase Program.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19, 2024, Mr. Gil Margolin, the Chief Technology Officer of the Company, adopted a trading arrangement for the sale of shares of the Company’s common stock (a “Rule 10b5-1 Trading Plan”) that is intended to satisfy the affirmative defense conditions of Securities Exchange Act Rule 10b5-1(c). Mr. Margolin’s Rule 10b5-1 Trading Plan provides for the sale of up to 853,901 shares of common stock pursuant to the terms of the plan. The shares include: i) shares which will be acquired upon the exercise of employee stock options; and ii) vested restricted stock units. The Rule 10b5-1 Trading Plan expires on December 31, 2025, or such earlier date upon the completion of all trades under the plan or the occurrence of such other termination events as specified in the plan, including but not limited to termination of the plan.</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No other directors or officers, as defined in Securities Exchange Act Rule 16a-1(f), adopted, modified, or terminated a “Rule 10b5-1 trading arrangement” or a “non-Rule 10b5-1 trading arrangement,” as defined in Item 408 of Regulation S-K, during the three months ended September 30, 2024.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7" w:name="page28"/>
    <w:bookmarkEnd w:id="27"/>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1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tc>
      </w:tr>
      <w:tr>
        <w:trPr>
          <w:trHeight w:val="220"/>
        </w:trPr>
        <w:tc>
          <w:tcPr>
            <w:tcW w:w="2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Furnished</w:t>
            </w:r>
          </w:p>
        </w:tc>
      </w:tr>
      <w:tr>
        <w:trPr>
          <w:trHeight w:val="214"/>
        </w:trPr>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20" w:type="dxa"/>
            <w:vAlign w:val="bottom"/>
          </w:tcPr>
          <w:p>
            <w:pPr>
              <w:spacing w:after="0"/>
              <w:rPr>
                <w:sz w:val="18"/>
                <w:szCs w:val="18"/>
                <w:color w:val="auto"/>
              </w:rPr>
            </w:pPr>
          </w:p>
        </w:tc>
        <w:tc>
          <w:tcPr>
            <w:tcW w:w="9180" w:type="dxa"/>
            <w:vAlign w:val="bottom"/>
            <w:tcBorders>
              <w:bottom w:val="single" w:sz="8" w:color="auto"/>
            </w:tcBorders>
            <w:gridSpan w:val="5"/>
          </w:tcPr>
          <w:p>
            <w:pPr>
              <w:ind w:left="3940"/>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r>
      <w:tr>
        <w:trPr>
          <w:trHeight w:val="405"/>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31.</w:t>
            </w:r>
            <w:r>
              <w:rPr>
                <w:rFonts w:ascii="Times New Roman" w:cs="Times New Roman" w:eastAsia="Times New Roman" w:hAnsi="Times New Roman"/>
                <w:sz w:val="15"/>
                <w:szCs w:val="15"/>
                <w:u w:val="single" w:color="auto"/>
                <w:color w:val="0000FF"/>
                <w:w w:val="83"/>
              </w:rPr>
              <w:t>1</w:t>
            </w:r>
          </w:p>
        </w:tc>
        <w:tc>
          <w:tcPr>
            <w:tcW w:w="40" w:type="dxa"/>
            <w:vAlign w:val="bottom"/>
            <w:tcBorders>
              <w:bottom w:val="single" w:sz="8" w:color="0000EE"/>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11"/>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31.</w:t>
            </w:r>
            <w:r>
              <w:rPr>
                <w:rFonts w:ascii="Times New Roman" w:cs="Times New Roman" w:eastAsia="Times New Roman" w:hAnsi="Times New Roman"/>
                <w:sz w:val="15"/>
                <w:szCs w:val="15"/>
                <w:u w:val="single" w:color="auto"/>
                <w:color w:val="0000FF"/>
                <w:w w:val="83"/>
              </w:rPr>
              <w:t>2</w:t>
            </w:r>
          </w:p>
        </w:tc>
        <w:tc>
          <w:tcPr>
            <w:tcW w:w="40" w:type="dxa"/>
            <w:vAlign w:val="bottom"/>
            <w:tcBorders>
              <w:bottom w:val="single" w:sz="8" w:color="0000EE"/>
            </w:tcBorders>
            <w:gridSpan w:val="2"/>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4080" w:type="dxa"/>
            <w:vAlign w:val="bottom"/>
          </w:tcPr>
          <w:p>
            <w:pPr>
              <w:spacing w:after="0"/>
              <w:rPr>
                <w:sz w:val="18"/>
                <w:szCs w:val="18"/>
                <w:color w:val="auto"/>
              </w:rPr>
            </w:pP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11"/>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32.</w:t>
            </w:r>
            <w:r>
              <w:rPr>
                <w:rFonts w:ascii="Times New Roman" w:cs="Times New Roman" w:eastAsia="Times New Roman" w:hAnsi="Times New Roman"/>
                <w:sz w:val="15"/>
                <w:szCs w:val="15"/>
                <w:u w:val="single" w:color="auto"/>
                <w:color w:val="0000FF"/>
                <w:w w:val="83"/>
              </w:rPr>
              <w:t>1</w:t>
            </w:r>
          </w:p>
        </w:tc>
        <w:tc>
          <w:tcPr>
            <w:tcW w:w="40" w:type="dxa"/>
            <w:vAlign w:val="bottom"/>
            <w:tcBorders>
              <w:bottom w:val="single" w:sz="8" w:color="0000EE"/>
            </w:tcBorders>
            <w:gridSpan w:val="2"/>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4200" w:type="dxa"/>
            <w:vAlign w:val="bottom"/>
            <w:gridSpan w:val="3"/>
          </w:tcPr>
          <w:p>
            <w:pPr>
              <w:spacing w:after="0"/>
              <w:rPr>
                <w:sz w:val="18"/>
                <w:szCs w:val="18"/>
                <w:color w:val="auto"/>
              </w:rPr>
            </w:pPr>
          </w:p>
        </w:tc>
        <w:tc>
          <w:tcPr>
            <w:tcW w:w="11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32.</w:t>
            </w:r>
            <w:r>
              <w:rPr>
                <w:rFonts w:ascii="Times New Roman" w:cs="Times New Roman" w:eastAsia="Times New Roman" w:hAnsi="Times New Roman"/>
                <w:sz w:val="15"/>
                <w:szCs w:val="15"/>
                <w:u w:val="single" w:color="auto"/>
                <w:color w:val="0000FF"/>
                <w:w w:val="83"/>
              </w:rPr>
              <w:t>2</w:t>
            </w:r>
          </w:p>
        </w:tc>
        <w:tc>
          <w:tcPr>
            <w:tcW w:w="20" w:type="dxa"/>
            <w:vAlign w:val="bottom"/>
            <w:tcBorders>
              <w:bottom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4240" w:type="dxa"/>
            <w:vAlign w:val="bottom"/>
            <w:gridSpan w:val="4"/>
          </w:tcPr>
          <w:p>
            <w:pPr>
              <w:spacing w:after="0"/>
              <w:rPr>
                <w:sz w:val="18"/>
                <w:szCs w:val="18"/>
                <w:color w:val="auto"/>
              </w:rPr>
            </w:pPr>
          </w:p>
        </w:tc>
        <w:tc>
          <w:tcPr>
            <w:tcW w:w="11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101.INS</w:t>
            </w:r>
          </w:p>
        </w:tc>
        <w:tc>
          <w:tcPr>
            <w:tcW w:w="120" w:type="dxa"/>
            <w:vAlign w:val="bottom"/>
          </w:tcPr>
          <w:p>
            <w:pPr>
              <w:spacing w:after="0"/>
              <w:rPr>
                <w:sz w:val="19"/>
                <w:szCs w:val="19"/>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Instance Document-the instance document does not appear in the Interactive Data file because its XBRL tags are embedded</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11"/>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tcPr>
          <w:p>
            <w:pPr>
              <w:spacing w:after="0"/>
              <w:rPr>
                <w:sz w:val="20"/>
                <w:szCs w:val="20"/>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31"/>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7"/>
              </w:rPr>
              <w:t>104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(as formatted as Inline XBRL and contained in Exhibit 101).</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7700" w:type="dxa"/>
            <w:vAlign w:val="bottom"/>
            <w:gridSpan w:val="2"/>
          </w:tcPr>
          <w:p>
            <w:pPr>
              <w:ind w:left="1800"/>
              <w:spacing w:after="0"/>
              <w:rPr>
                <w:sz w:val="20"/>
                <w:szCs w:val="20"/>
                <w:color w:val="auto"/>
              </w:rPr>
            </w:pPr>
            <w:r>
              <w:rPr>
                <w:rFonts w:ascii="Times New Roman" w:cs="Times New Roman" w:eastAsia="Times New Roman" w:hAnsi="Times New Roman"/>
                <w:sz w:val="17"/>
                <w:szCs w:val="17"/>
                <w:b w:val="1"/>
                <w:bCs w:val="1"/>
                <w:color w:val="auto"/>
              </w:rPr>
              <w:t>Talkspace, Inc.</w:t>
            </w:r>
          </w:p>
        </w:tc>
      </w:tr>
      <w:tr>
        <w:trPr>
          <w:trHeight w:val="448"/>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November 7, 2024</w:t>
            </w:r>
          </w:p>
        </w:tc>
        <w:tc>
          <w:tcPr>
            <w:tcW w:w="262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 Cohen</w:t>
            </w:r>
          </w:p>
        </w:tc>
      </w:tr>
      <w:tr>
        <w:trPr>
          <w:trHeight w:val="194"/>
        </w:trPr>
        <w:tc>
          <w:tcPr>
            <w:tcW w:w="3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48"/>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November 7, 2024</w:t>
            </w:r>
          </w:p>
        </w:tc>
        <w:tc>
          <w:tcPr>
            <w:tcW w:w="262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Ian Harris</w:t>
            </w:r>
          </w:p>
        </w:tc>
      </w:tr>
      <w:tr>
        <w:trPr>
          <w:trHeight w:val="194"/>
        </w:trPr>
        <w:tc>
          <w:tcPr>
            <w:tcW w:w="3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526"/>
        </w:trPr>
        <w:tc>
          <w:tcPr>
            <w:tcW w:w="3540" w:type="dxa"/>
            <w:vAlign w:val="bottom"/>
          </w:tcPr>
          <w:p>
            <w:pPr>
              <w:spacing w:after="0"/>
              <w:rPr>
                <w:sz w:val="24"/>
                <w:szCs w:val="24"/>
                <w:color w:val="auto"/>
              </w:rPr>
            </w:pPr>
          </w:p>
        </w:tc>
        <w:tc>
          <w:tcPr>
            <w:tcW w:w="262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29</w:t>
            </w:r>
          </w:p>
        </w:tc>
        <w:tc>
          <w:tcPr>
            <w:tcW w:w="5080" w:type="dxa"/>
            <w:vAlign w:val="bottom"/>
          </w:tcPr>
          <w:p>
            <w:pPr>
              <w:spacing w:after="0"/>
              <w:rPr>
                <w:sz w:val="24"/>
                <w:szCs w:val="24"/>
                <w:color w:val="auto"/>
              </w:rPr>
            </w:pPr>
          </w:p>
        </w:tc>
      </w:tr>
      <w:tr>
        <w:trPr>
          <w:trHeight w:val="723"/>
        </w:trPr>
        <w:tc>
          <w:tcPr>
            <w:tcW w:w="35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Jon Cohen, certify that:</w:t>
      </w:r>
    </w:p>
    <w:p>
      <w:pPr>
        <w:spacing w:after="0" w:line="215" w:lineRule="exact"/>
        <w:rPr>
          <w:sz w:val="20"/>
          <w:szCs w:val="20"/>
          <w:color w:val="auto"/>
        </w:rPr>
      </w:pPr>
    </w:p>
    <w:p>
      <w:pPr>
        <w:ind w:left="520" w:hanging="517"/>
        <w:spacing w:after="0"/>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Talkspace, Inc.;</w:t>
      </w:r>
    </w:p>
    <w:p>
      <w:pPr>
        <w:spacing w:after="0" w:line="214"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jc w:val="both"/>
        <w:ind w:left="520" w:hanging="517"/>
        <w:spacing w:after="0" w:line="268"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November 7, 2024</w:t>
            </w:r>
          </w:p>
        </w:tc>
        <w:tc>
          <w:tcPr>
            <w:tcW w:w="260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Jon Cohen</w:t>
            </w:r>
          </w:p>
        </w:tc>
      </w:tr>
      <w:tr>
        <w:trPr>
          <w:trHeight w:val="194"/>
        </w:trPr>
        <w:tc>
          <w:tcPr>
            <w:tcW w:w="35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146"/>
        </w:trPr>
        <w:tc>
          <w:tcPr>
            <w:tcW w:w="35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Ian Harris, certify that:</w:t>
      </w:r>
    </w:p>
    <w:p>
      <w:pPr>
        <w:spacing w:after="0" w:line="215" w:lineRule="exact"/>
        <w:rPr>
          <w:sz w:val="20"/>
          <w:szCs w:val="20"/>
          <w:color w:val="auto"/>
        </w:rPr>
      </w:pPr>
    </w:p>
    <w:p>
      <w:pPr>
        <w:ind w:left="520" w:hanging="517"/>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Talkspace, Inc.;</w:t>
      </w:r>
    </w:p>
    <w:p>
      <w:pPr>
        <w:spacing w:after="0" w:line="214"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jc w:val="both"/>
        <w:ind w:left="520" w:hanging="517"/>
        <w:spacing w:after="0" w:line="268"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November 7, 2024</w:t>
            </w:r>
          </w:p>
        </w:tc>
        <w:tc>
          <w:tcPr>
            <w:tcW w:w="2580" w:type="dxa"/>
            <w:vAlign w:val="bottom"/>
          </w:tcPr>
          <w:p>
            <w:pPr>
              <w:ind w:left="1840"/>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Ian Harris</w:t>
            </w:r>
          </w:p>
        </w:tc>
      </w:tr>
      <w:tr>
        <w:trPr>
          <w:trHeight w:val="194"/>
        </w:trPr>
        <w:tc>
          <w:tcPr>
            <w:tcW w:w="35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146"/>
        </w:trPr>
        <w:tc>
          <w:tcPr>
            <w:tcW w:w="35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8"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on Form 10-Q of Talkspace, Inc. (the “Company”) for the period ended September 30, 2024 as filed with the Securities and Exchange Commission on the date hereof (the “Report”), I certify, pursuant to 18 U.S.C. § 1350, as adopted pursuant to § 906 of the Sarbanes-Oxley Act of 2002, that:</w:t>
      </w:r>
    </w:p>
    <w:p>
      <w:pPr>
        <w:spacing w:after="0" w:line="166" w:lineRule="exact"/>
        <w:rPr>
          <w:sz w:val="20"/>
          <w:szCs w:val="20"/>
          <w:color w:val="auto"/>
        </w:rPr>
      </w:pPr>
    </w:p>
    <w:p>
      <w:pPr>
        <w:ind w:left="880" w:hanging="344"/>
        <w:spacing w:after="0"/>
        <w:tabs>
          <w:tab w:leader="none" w:pos="8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4" w:lineRule="exact"/>
        <w:rPr>
          <w:rFonts w:ascii="Times New Roman" w:cs="Times New Roman" w:eastAsia="Times New Roman" w:hAnsi="Times New Roman"/>
          <w:sz w:val="17"/>
          <w:szCs w:val="17"/>
          <w:color w:val="auto"/>
        </w:rPr>
      </w:pPr>
    </w:p>
    <w:p>
      <w:pPr>
        <w:ind w:left="880" w:hanging="344"/>
        <w:spacing w:after="0"/>
        <w:tabs>
          <w:tab w:leader="none" w:pos="8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November 7, 2024</w:t>
            </w:r>
          </w:p>
        </w:tc>
        <w:tc>
          <w:tcPr>
            <w:tcW w:w="262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Jon Cohen</w:t>
            </w:r>
          </w:p>
        </w:tc>
      </w:tr>
      <w:tr>
        <w:trPr>
          <w:trHeight w:val="194"/>
        </w:trPr>
        <w:tc>
          <w:tcPr>
            <w:tcW w:w="3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146"/>
        </w:trPr>
        <w:tc>
          <w:tcPr>
            <w:tcW w:w="35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8"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on Form 10-Q of Talkspace, Inc. (the “Company”) for the period ended September 30, 2024 as filed with the Securities and Exchange Commission on the date hereof (the “Report”), I certify, pursuant to 18 U.S.C. § 1350, as adopted pursuant to § 906 of the Sarbanes-Oxley Act of 2002, that:</w:t>
      </w:r>
    </w:p>
    <w:p>
      <w:pPr>
        <w:spacing w:after="0" w:line="166" w:lineRule="exact"/>
        <w:rPr>
          <w:sz w:val="20"/>
          <w:szCs w:val="20"/>
          <w:color w:val="auto"/>
        </w:rPr>
      </w:pPr>
    </w:p>
    <w:p>
      <w:pPr>
        <w:ind w:left="880" w:hanging="34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4" w:lineRule="exact"/>
        <w:rPr>
          <w:rFonts w:ascii="Times New Roman" w:cs="Times New Roman" w:eastAsia="Times New Roman" w:hAnsi="Times New Roman"/>
          <w:sz w:val="17"/>
          <w:szCs w:val="17"/>
          <w:color w:val="auto"/>
        </w:rPr>
      </w:pPr>
    </w:p>
    <w:p>
      <w:pPr>
        <w:ind w:left="880" w:hanging="34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November 7, 2024</w:t>
            </w:r>
          </w:p>
        </w:tc>
        <w:tc>
          <w:tcPr>
            <w:tcW w:w="2620" w:type="dxa"/>
            <w:vAlign w:val="bottom"/>
          </w:tcPr>
          <w:p>
            <w:pPr>
              <w:ind w:left="18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Ian Harris</w:t>
            </w:r>
          </w:p>
        </w:tc>
      </w:tr>
      <w:tr>
        <w:trPr>
          <w:trHeight w:val="194"/>
        </w:trPr>
        <w:tc>
          <w:tcPr>
            <w:tcW w:w="3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5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351"/>
        </w:trPr>
        <w:tc>
          <w:tcPr>
            <w:tcW w:w="35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2024-11-07T16:51:21Z</dcterms:created>
  <dcterms:modified xsi:type="dcterms:W3CDTF">2024-11-07T16:51:21Z</dcterms:modified>
</cp:coreProperties>
</file>