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207645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65"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42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TALKSPACE, INC.</w:t>
      </w:r>
    </w:p>
    <w:p>
      <w:pPr>
        <w:sectPr>
          <w:pgSz w:w="11900" w:h="16838" w:orient="portrait"/>
          <w:cols w:equalWidth="0" w:num="1">
            <w:col w:w="11240"/>
          </w:cols>
          <w:pgMar w:left="320" w:top="220" w:right="339" w:bottom="1440" w:gutter="0" w:footer="0" w:header="0"/>
        </w:sectPr>
      </w:pPr>
    </w:p>
    <w:p>
      <w:pPr>
        <w:spacing w:after="0" w:line="5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4"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84-4636604</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sectPr>
          <w:pgSz w:w="11900" w:h="16838" w:orient="portrait"/>
          <w:cols w:equalWidth="0" w:num="2">
            <w:col w:w="7700" w:space="240"/>
            <w:col w:w="3300"/>
          </w:cols>
          <w:pgMar w:left="320" w:top="22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9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284-7206</w:t>
      </w:r>
    </w:p>
    <w:p>
      <w:pPr>
        <w:spacing w:after="0" w:line="6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7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TALK</w:t>
            </w:r>
          </w:p>
        </w:tc>
        <w:tc>
          <w:tcPr>
            <w:tcW w:w="120" w:type="dxa"/>
            <w:vAlign w:val="bottom"/>
          </w:tcPr>
          <w:p>
            <w:pPr>
              <w:spacing w:after="0"/>
              <w:rPr>
                <w:sz w:val="15"/>
                <w:szCs w:val="15"/>
                <w:color w:val="auto"/>
              </w:rPr>
            </w:pPr>
          </w:p>
        </w:tc>
        <w:tc>
          <w:tcPr>
            <w:tcW w:w="5040" w:type="dxa"/>
            <w:vAlign w:val="bottom"/>
          </w:tcPr>
          <w:p>
            <w:pPr>
              <w:ind w:left="1780"/>
              <w:spacing w:after="0" w:line="182" w:lineRule="exact"/>
              <w:rPr>
                <w:sz w:val="20"/>
                <w:szCs w:val="20"/>
                <w:color w:val="auto"/>
              </w:rPr>
            </w:pPr>
            <w:r>
              <w:rPr>
                <w:rFonts w:ascii="Times New Roman" w:cs="Times New Roman" w:eastAsia="Times New Roman" w:hAnsi="Times New Roman"/>
                <w:sz w:val="16"/>
                <w:szCs w:val="16"/>
                <w:color w:val="auto"/>
              </w:rPr>
              <w:t>Nasdaq Stock Market</w:t>
            </w: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TALKW</w:t>
            </w:r>
          </w:p>
        </w:tc>
        <w:tc>
          <w:tcPr>
            <w:tcW w:w="120" w:type="dxa"/>
            <w:vAlign w:val="bottom"/>
          </w:tcPr>
          <w:p>
            <w:pPr>
              <w:spacing w:after="0"/>
              <w:rPr>
                <w:sz w:val="18"/>
                <w:szCs w:val="18"/>
                <w:color w:val="auto"/>
              </w:rPr>
            </w:pPr>
          </w:p>
        </w:tc>
        <w:tc>
          <w:tcPr>
            <w:tcW w:w="504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Nasdaq Stock Market</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both"/>
        <w:ind w:firstLine="59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1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5, 2022, the registrant had 158,181,841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gridSpan w:val="3"/>
            <w:vMerge w:val="continue"/>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20" w:type="dxa"/>
            <w:vAlign w:val="bottom"/>
            <w:tcBorders>
              <w:top w:val="single" w:sz="8" w:color="0000EE"/>
            </w:tcBorders>
          </w:tcPr>
          <w:p>
            <w:pPr>
              <w:spacing w:after="0"/>
              <w:rPr>
                <w:sz w:val="15"/>
                <w:szCs w:val="15"/>
                <w:color w:val="auto"/>
              </w:rPr>
            </w:pPr>
          </w:p>
        </w:tc>
        <w:tc>
          <w:tcPr>
            <w:tcW w:w="6860" w:type="dxa"/>
            <w:vAlign w:val="bottom"/>
            <w:gridSpan w:val="10"/>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 as of June 30, 2022 (unaudited) and December 31, 2021</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2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(unaudited) for the three and six months ended</w:t>
            </w:r>
          </w:p>
        </w:tc>
        <w:tc>
          <w:tcPr>
            <w:tcW w:w="228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8"/>
                <w:szCs w:val="18"/>
                <w:color w:val="0000FF"/>
              </w:rPr>
              <w:t>June 30, 2022 and 2021</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 (Deficit) (unaudited) for the three and six months ended June</w:t>
            </w:r>
          </w:p>
        </w:tc>
        <w:tc>
          <w:tcPr>
            <w:tcW w:w="32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rPr>
              <w:t>30,</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160" w:type="dxa"/>
            <w:vAlign w:val="bottom"/>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2022 and 2021</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Condensed</w:t>
            </w:r>
          </w:p>
        </w:tc>
        <w:tc>
          <w:tcPr>
            <w:tcW w:w="822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Cash Flows (unaudited) for the six months ended June 30, 2022 and 2021</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top w:val="single" w:sz="8" w:color="0000FF"/>
              <w:bottom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bottom w:val="single" w:sz="8" w:color="0000EE"/>
            </w:tcBorders>
          </w:tcPr>
          <w:p>
            <w:pPr>
              <w:spacing w:after="0"/>
              <w:rPr>
                <w:sz w:val="15"/>
                <w:szCs w:val="15"/>
                <w:color w:val="auto"/>
              </w:rPr>
            </w:pPr>
          </w:p>
        </w:tc>
        <w:tc>
          <w:tcPr>
            <w:tcW w:w="3360" w:type="dxa"/>
            <w:vAlign w:val="bottom"/>
            <w:tcBorders>
              <w:top w:val="single" w:sz="8" w:color="0000FF"/>
            </w:tcBorders>
            <w:gridSpan w:val="3"/>
          </w:tcPr>
          <w:p>
            <w:pPr>
              <w:spacing w:after="0"/>
              <w:rPr>
                <w:sz w:val="15"/>
                <w:szCs w:val="15"/>
                <w:color w:val="auto"/>
              </w:rPr>
            </w:pPr>
          </w:p>
        </w:tc>
        <w:tc>
          <w:tcPr>
            <w:tcW w:w="112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5"/>
          </w:tcPr>
          <w:p>
            <w:pPr>
              <w:spacing w:after="0"/>
              <w:rPr>
                <w:sz w:val="15"/>
                <w:szCs w:val="15"/>
                <w:color w:val="auto"/>
              </w:rPr>
            </w:pPr>
          </w:p>
        </w:tc>
        <w:tc>
          <w:tcPr>
            <w:tcW w:w="492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1"/>
        </w:trPr>
        <w:tc>
          <w:tcPr>
            <w:tcW w:w="11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gridSpan w:val="8"/>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87"/>
              </w:rPr>
              <w:t>OTHER INFORMATION</w:t>
            </w:r>
          </w:p>
        </w:tc>
        <w:tc>
          <w:tcPr>
            <w:tcW w:w="540" w:type="dxa"/>
            <w:vAlign w:val="bottom"/>
          </w:tcPr>
          <w:p>
            <w:pPr>
              <w:spacing w:after="0"/>
              <w:rPr>
                <w:sz w:val="16"/>
                <w:szCs w:val="16"/>
                <w:color w:val="auto"/>
              </w:rPr>
            </w:pPr>
          </w:p>
        </w:tc>
        <w:tc>
          <w:tcPr>
            <w:tcW w:w="2020" w:type="dxa"/>
            <w:vAlign w:val="bottom"/>
            <w:gridSpan w:val="3"/>
          </w:tcPr>
          <w:p>
            <w:pPr>
              <w:spacing w:after="0"/>
              <w:rPr>
                <w:sz w:val="16"/>
                <w:szCs w:val="16"/>
                <w:color w:val="auto"/>
              </w:rPr>
            </w:pPr>
          </w:p>
        </w:tc>
        <w:tc>
          <w:tcPr>
            <w:tcW w:w="4940" w:type="dxa"/>
            <w:vAlign w:val="bottom"/>
            <w:gridSpan w:val="9"/>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3"/>
          </w:tcPr>
          <w:p>
            <w:pPr>
              <w:spacing w:after="0"/>
              <w:rPr>
                <w:sz w:val="15"/>
                <w:szCs w:val="15"/>
                <w:color w:val="auto"/>
              </w:rPr>
            </w:pPr>
          </w:p>
        </w:tc>
        <w:tc>
          <w:tcPr>
            <w:tcW w:w="1000" w:type="dxa"/>
            <w:vAlign w:val="bottom"/>
            <w:gridSpan w:val="3"/>
          </w:tcPr>
          <w:p>
            <w:pPr>
              <w:spacing w:after="0"/>
              <w:rPr>
                <w:sz w:val="15"/>
                <w:szCs w:val="15"/>
                <w:color w:val="auto"/>
              </w:rPr>
            </w:pPr>
          </w:p>
        </w:tc>
        <w:tc>
          <w:tcPr>
            <w:tcW w:w="2020" w:type="dxa"/>
            <w:vAlign w:val="bottom"/>
            <w:gridSpan w:val="3"/>
          </w:tcPr>
          <w:p>
            <w:pPr>
              <w:spacing w:after="0"/>
              <w:rPr>
                <w:sz w:val="15"/>
                <w:szCs w:val="15"/>
                <w:color w:val="auto"/>
              </w:rPr>
            </w:pPr>
          </w:p>
        </w:tc>
        <w:tc>
          <w:tcPr>
            <w:tcW w:w="494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8"/>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vMerge w:val="restart"/>
          </w:tcPr>
          <w:p>
            <w:pPr>
              <w:spacing w:after="0"/>
              <w:rPr>
                <w:sz w:val="15"/>
                <w:szCs w:val="15"/>
                <w:color w:val="auto"/>
              </w:rPr>
            </w:pPr>
          </w:p>
        </w:tc>
        <w:tc>
          <w:tcPr>
            <w:tcW w:w="4200" w:type="dxa"/>
            <w:vAlign w:val="bottom"/>
            <w:gridSpan w:val="13"/>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vMerge w:val="continue"/>
          </w:tcPr>
          <w:p>
            <w:pPr>
              <w:spacing w:after="0"/>
              <w:rPr>
                <w:sz w:val="24"/>
                <w:szCs w:val="24"/>
                <w:color w:val="auto"/>
              </w:rPr>
            </w:pPr>
          </w:p>
        </w:tc>
        <w:tc>
          <w:tcPr>
            <w:tcW w:w="4200" w:type="dxa"/>
            <w:vAlign w:val="bottom"/>
            <w:gridSpan w:val="13"/>
            <w:vMerge w:val="continue"/>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BASIS OF PRESENTATION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unless the context otherwise requires, references to:</w:t>
      </w:r>
    </w:p>
    <w:p>
      <w:pPr>
        <w:spacing w:after="0" w:line="10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are to the Talkspace, Inc. 2021 Incentive Award Plan;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are to, together, (i) the First Merger and (ii) the Second Merger;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2021 ESPP”</w:t>
      </w:r>
      <w:r>
        <w:rPr>
          <w:rFonts w:ascii="Times New Roman" w:cs="Times New Roman" w:eastAsia="Times New Roman" w:hAnsi="Times New Roman"/>
          <w:sz w:val="18"/>
          <w:szCs w:val="18"/>
          <w:color w:val="auto"/>
        </w:rPr>
        <w:t xml:space="preserve"> are to the Talkspace, Inc. 2021 Employee Stock Purchase Plan;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are to the Securities Exchange Act of 1934, as amended;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are to the merger of First Merger Sub with and into Old Talkspace;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Merger Sub</w:t>
      </w:r>
      <w:r>
        <w:rPr>
          <w:rFonts w:ascii="Times New Roman" w:cs="Times New Roman" w:eastAsia="Times New Roman" w:hAnsi="Times New Roman"/>
          <w:sz w:val="18"/>
          <w:szCs w:val="18"/>
          <w:color w:val="auto"/>
        </w:rPr>
        <w:t>” are to Tailwind Merger Sub I, Inc.;</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w:t>
      </w:r>
      <w:r>
        <w:rPr>
          <w:rFonts w:ascii="Times New Roman" w:cs="Times New Roman" w:eastAsia="Times New Roman" w:hAnsi="Times New Roman"/>
          <w:sz w:val="18"/>
          <w:szCs w:val="18"/>
          <w:color w:val="auto"/>
        </w:rPr>
        <w:t>” are to Hudson Executive Investment Corp., a Delaware corporation;</w:t>
      </w:r>
    </w:p>
    <w:p>
      <w:pPr>
        <w:spacing w:after="0" w:line="103" w:lineRule="exact"/>
        <w:rPr>
          <w:rFonts w:ascii="Times New Roman" w:cs="Times New Roman" w:eastAsia="Times New Roman" w:hAnsi="Times New Roman"/>
          <w:sz w:val="18"/>
          <w:szCs w:val="18"/>
          <w:color w:val="auto"/>
        </w:rPr>
      </w:pPr>
    </w:p>
    <w:p>
      <w:pPr>
        <w:ind w:left="760" w:right="60" w:hanging="378"/>
        <w:spacing w:after="0" w:line="27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 Forward Purchase Agreement</w:t>
      </w:r>
      <w:r>
        <w:rPr>
          <w:rFonts w:ascii="Times New Roman" w:cs="Times New Roman" w:eastAsia="Times New Roman" w:hAnsi="Times New Roman"/>
          <w:sz w:val="18"/>
          <w:szCs w:val="18"/>
          <w:color w:val="auto"/>
        </w:rPr>
        <w:t>” are to the forward purchase agreement, entered into as of June 8, 2020, by and between HEC and HEC Fund, as amended by that certain First Amendment to Forward Purchase Agreement, dated January 12, 2021;</w:t>
      </w:r>
    </w:p>
    <w:p>
      <w:pPr>
        <w:spacing w:after="0" w:line="5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 Fund</w:t>
      </w:r>
      <w:r>
        <w:rPr>
          <w:rFonts w:ascii="Times New Roman" w:cs="Times New Roman" w:eastAsia="Times New Roman" w:hAnsi="Times New Roman"/>
          <w:sz w:val="18"/>
          <w:szCs w:val="18"/>
          <w:color w:val="auto"/>
        </w:rPr>
        <w:t>” are to HEC Master Fund LP, a Delaware limited partnership;</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 IPO</w:t>
      </w:r>
      <w:r>
        <w:rPr>
          <w:rFonts w:ascii="Times New Roman" w:cs="Times New Roman" w:eastAsia="Times New Roman" w:hAnsi="Times New Roman"/>
          <w:sz w:val="18"/>
          <w:szCs w:val="18"/>
          <w:color w:val="auto"/>
        </w:rPr>
        <w:t>” are to the initial public offering by HEC which closed on June 11, 2020;</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Old Talkspace</w:t>
      </w:r>
      <w:r>
        <w:rPr>
          <w:rFonts w:ascii="Times New Roman" w:cs="Times New Roman" w:eastAsia="Times New Roman" w:hAnsi="Times New Roman"/>
          <w:sz w:val="18"/>
          <w:szCs w:val="18"/>
          <w:color w:val="auto"/>
        </w:rPr>
        <w:t>” are to Groop Internet Platform, Inc. (d/b/a “Talkspace”), a Delaware corporation;</w:t>
      </w:r>
    </w:p>
    <w:p>
      <w:pPr>
        <w:spacing w:after="0" w:line="117" w:lineRule="exact"/>
        <w:rPr>
          <w:rFonts w:ascii="Times New Roman" w:cs="Times New Roman" w:eastAsia="Times New Roman" w:hAnsi="Times New Roman"/>
          <w:sz w:val="18"/>
          <w:szCs w:val="18"/>
          <w:color w:val="auto"/>
        </w:rPr>
      </w:pPr>
    </w:p>
    <w:p>
      <w:pPr>
        <w:ind w:left="760" w:right="120" w:hanging="378"/>
        <w:spacing w:after="0" w:line="27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are to the warrants issued by HEC to the Sponsor in a private placement simultaneously with the closing of the HEC IPO and the warrants originally sold as part of the units in the HEC Forward Purchase;</w:t>
      </w:r>
    </w:p>
    <w:p>
      <w:pPr>
        <w:spacing w:after="0" w:line="45" w:lineRule="exact"/>
        <w:rPr>
          <w:rFonts w:ascii="Times New Roman" w:cs="Times New Roman" w:eastAsia="Times New Roman" w:hAnsi="Times New Roman"/>
          <w:sz w:val="18"/>
          <w:szCs w:val="18"/>
          <w:color w:val="auto"/>
        </w:rPr>
      </w:pPr>
    </w:p>
    <w:p>
      <w:pPr>
        <w:ind w:left="760" w:right="38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are to the warrants originally sold as part of the units in the HEC IPO (whether they were purchased in the HEC IPO or thereafter in the open market);</w:t>
      </w:r>
    </w:p>
    <w:p>
      <w:pPr>
        <w:spacing w:after="0" w:line="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are to the United States Securities and Exchange Commission;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Merger Sub</w:t>
      </w:r>
      <w:r>
        <w:rPr>
          <w:rFonts w:ascii="Times New Roman" w:cs="Times New Roman" w:eastAsia="Times New Roman" w:hAnsi="Times New Roman"/>
          <w:sz w:val="18"/>
          <w:szCs w:val="18"/>
          <w:color w:val="auto"/>
        </w:rPr>
        <w:t>” are to Tailwind Merger Sub II, LLC;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are to HEC Sponsor LLC, a Delaware limited liability company;</w:t>
      </w:r>
    </w:p>
    <w:p>
      <w:pPr>
        <w:spacing w:after="0" w:line="103" w:lineRule="exact"/>
        <w:rPr>
          <w:rFonts w:ascii="Times New Roman" w:cs="Times New Roman" w:eastAsia="Times New Roman" w:hAnsi="Times New Roman"/>
          <w:sz w:val="18"/>
          <w:szCs w:val="18"/>
          <w:color w:val="auto"/>
        </w:rPr>
      </w:pPr>
    </w:p>
    <w:p>
      <w:pPr>
        <w:ind w:left="760" w:hanging="378"/>
        <w:spacing w:after="0" w:line="27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are to that certain Warrant Agreement, dated as of June 8, 2020, by and between HEC and Continental Stock Transfer &amp; Trust Company;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11"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we have a history of losses, which we expect to continue, and we may never achieve or sustain profitability; our business and the markets we operate in are new and rapidly evolving which makes it difficult to evaluate our future prospects and the risks and challenges we may encounter; we may not grow at the rates we historically have achieved or at all; the virtual behavioral health market is immature and volatile, and if it does not develop, if it develops more slowly than we expect, if it encounters negative publicity or if our services are not competitive, the growth of our business will be harmed; the outbreak of the novel coronavirus (COVID-19) and its impact on business and economic conditions; a deterioration in general economic conditions as a result of inflation, increased interest rates or otherwise could adversely affect our business, results of operations and financial condition, and the extent and duration of those effects are uncertain; we operate in a competitive industry, and if we are not able to compete effectively, our business, financial condition and results of operations will be harmed; 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 we may be unsuccessful in achieving broad market education and changing consumer purchasing habits; our growth depends in part on the success of our strategic relationships with third parties that we provide services to; our virtual behavioral healthcare strategies depend on our ability to maintain and expand our network of therapists, psychiatrists and other providers; developments affecting spending by the healthcare industry could adversely affect our business; our business could be adversely affected by legal challenges to our business model or by actions restricting our ability to provide the full range of our services in certain jurisdictions; 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 the impact on us of recent healthcare legislation and other changes in the healthcare industry and in healthcare spending is currently unknown, but may adversely affect our business, financial condition and results of operations; 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 our use and disclosure of personal information, including PHI, personal data, and other health information, is subject to state, federal or other privacy and security regulations; any failure to protect, enforce or defend our intellectual property rights could impair our ability to protect our technology and our brand; legal proceedings could cause us to incur unforeseen expenses and could occupy a significant amount of our management’s time and attention; and the other important factors discussed in Part I, Item 1A, “Risk Factors” of the Company’s Annual Report on Form 10-K for the fiscal year ended December 31, 2021 and described from time to time in our future reports filed with the SEC.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4" w:name="page5"/>
    <w:bookmarkEnd w:id="4"/>
    <w:p>
      <w:pPr>
        <w:jc w:val="both"/>
        <w:spacing w:after="0" w:line="242" w:lineRule="auto"/>
        <w:rPr>
          <w:sz w:val="20"/>
          <w:szCs w:val="20"/>
          <w:color w:val="auto"/>
        </w:rPr>
      </w:pPr>
      <w:r>
        <w:rPr>
          <w:rFonts w:ascii="Times New Roman" w:cs="Times New Roman" w:eastAsia="Times New Roman" w:hAnsi="Times New Roman"/>
          <w:sz w:val="18"/>
          <w:szCs w:val="18"/>
          <w:color w:val="auto"/>
        </w:rPr>
        <w:t>You should read this Quarterly Report and the risk factors discussed in Part I, Item 1A, “Risk Factors” of the Company’s Annual Report on Form 10-K for the fiscal year ended December 31, 2021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166,622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gridSpan w:val="2"/>
          </w:tcPr>
          <w:p>
            <w:pPr>
              <w:ind w:left="180"/>
              <w:spacing w:after="0" w:line="170" w:lineRule="exact"/>
              <w:rPr>
                <w:sz w:val="20"/>
                <w:szCs w:val="20"/>
                <w:color w:val="auto"/>
              </w:rPr>
            </w:pPr>
            <w:r>
              <w:rPr>
                <w:rFonts w:ascii="Times New Roman" w:cs="Times New Roman" w:eastAsia="Times New Roman" w:hAnsi="Times New Roman"/>
                <w:sz w:val="18"/>
                <w:szCs w:val="18"/>
                <w:color w:val="auto"/>
              </w:rPr>
              <w:t>Accounts receivable, net of reserves of $4,698 and $4,918 as of June 30, 2022 and December 31,</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77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7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177,724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213,330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7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187,466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223,606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70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770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24,658</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27,177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134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4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7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30,212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31,333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7700" w:type="dxa"/>
            <w:vAlign w:val="bottom"/>
            <w:gridSpan w:val="2"/>
            <w:shd w:val="clear" w:color="auto" w:fill="CFF0FC"/>
          </w:tcPr>
          <w:p>
            <w:pPr>
              <w:ind w:left="180"/>
              <w:spacing w:after="0" w:line="170" w:lineRule="exact"/>
              <w:rPr>
                <w:sz w:val="20"/>
                <w:szCs w:val="20"/>
                <w:color w:val="auto"/>
              </w:rPr>
            </w:pPr>
            <w:r>
              <w:rPr>
                <w:rFonts w:ascii="Times New Roman" w:cs="Times New Roman" w:eastAsia="Times New Roman" w:hAnsi="Times New Roman"/>
                <w:sz w:val="18"/>
                <w:szCs w:val="18"/>
                <w:color w:val="auto"/>
              </w:rPr>
              <w:t>Common stock of $0.0001 par value — Authorized: 1,000,000,000 shares at June 30, 2022 and</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7700" w:type="dxa"/>
            <w:vAlign w:val="bottom"/>
            <w:gridSpan w:val="2"/>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December 31, 2021; Issued and outstanding: 157,372,616 and 152,862,447 shares at June 30, 2022</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7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(214,912 )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(171,530 )</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157,254</w:t>
            </w: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192,273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187,466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223,606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-3385185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-2536825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-2519680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-1396365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shd w:val="clear" w:color="auto" w:fill="CFF0FC"/>
          </w:tcPr>
          <w:p>
            <w:pPr>
              <w:spacing w:after="0"/>
              <w:rPr>
                <w:sz w:val="18"/>
                <w:szCs w:val="18"/>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59,994</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30,426</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Borders>
              <w:bottom w:val="single" w:sz="8" w:color="CFF0FC"/>
            </w:tcBorders>
            <w:shd w:val="clear" w:color="auto" w:fill="CFF0FC"/>
          </w:tcPr>
          <w:p>
            <w:pPr>
              <w:spacing w:after="0"/>
              <w:rPr>
                <w:sz w:val="18"/>
                <w:szCs w:val="18"/>
                <w:color w:val="auto"/>
              </w:rPr>
            </w:pPr>
          </w:p>
        </w:tc>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Clinical operations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40,339</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CFF0FC"/>
          </w:tcPr>
          <w:p>
            <w:pPr>
              <w:spacing w:after="0"/>
              <w:rPr>
                <w:sz w:val="16"/>
                <w:szCs w:val="16"/>
                <w:color w:val="auto"/>
              </w:rPr>
            </w:pPr>
          </w:p>
        </w:tc>
        <w:tc>
          <w:tcPr>
            <w:tcW w:w="494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35,615</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46,847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71,844</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76,747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45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106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000000"/>
          </w:tcPr>
          <w:p>
            <w:pPr>
              <w:spacing w:after="0" w:line="20" w:lineRule="exact"/>
              <w:rPr>
                <w:sz w:val="1"/>
                <w:szCs w:val="1"/>
                <w:color w:val="auto"/>
              </w:rPr>
            </w:pPr>
          </w:p>
        </w:tc>
        <w:tc>
          <w:tcPr>
            <w:tcW w:w="106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104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CFF0FC"/>
            </w:tcBorders>
            <w:shd w:val="clear" w:color="auto" w:fill="CFF0FC"/>
          </w:tcPr>
          <w:p>
            <w:pPr>
              <w:spacing w:after="0"/>
              <w:rPr>
                <w:sz w:val="18"/>
                <w:szCs w:val="18"/>
                <w:color w:val="auto"/>
              </w:rPr>
            </w:pPr>
          </w:p>
        </w:tc>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CFF0FC"/>
            </w:tcBorders>
            <w:shd w:val="clear" w:color="auto" w:fill="CFF0FC"/>
          </w:tcPr>
          <w:p>
            <w:pPr>
              <w:spacing w:after="0"/>
              <w:rPr>
                <w:sz w:val="18"/>
                <w:szCs w:val="18"/>
                <w:color w:val="auto"/>
              </w:rPr>
            </w:pPr>
          </w:p>
        </w:tc>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43,382</w:t>
            </w:r>
          </w:p>
        </w:tc>
        <w:tc>
          <w:tcPr>
            <w:tcW w:w="7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shd w:val="clear" w:color="auto" w:fill="CFF0FC"/>
          </w:tcPr>
          <w:p>
            <w:pPr>
              <w:spacing w:after="0"/>
              <w:rPr>
                <w:sz w:val="17"/>
                <w:szCs w:val="17"/>
                <w:color w:val="auto"/>
              </w:rPr>
            </w:pPr>
          </w:p>
        </w:tc>
        <w:tc>
          <w:tcPr>
            <w:tcW w:w="49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7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94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Weighted average number of common shares used in computing</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155,709,901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26,362,369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154,901,165</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-2245360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-2245360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-2245360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-1405255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-1405255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-1405255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-1122045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-1122045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-1122045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-839470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-839470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-839470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TALKSPACE, INC.</w:t>
      </w:r>
    </w:p>
    <w:p>
      <w:pPr>
        <w:ind w:left="1720"/>
        <w:spacing w:after="0" w:line="235" w:lineRule="auto"/>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 EQUITY (DEFICIT)</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w:t>
      </w:r>
    </w:p>
    <w:tbl>
      <w:tblPr>
        <w:tblLayout w:type="fixed"/>
        <w:tblInd w:w="0" w:type="dxa"/>
        <w:tblCellMar>
          <w:top w:w="0" w:type="dxa"/>
          <w:left w:w="0" w:type="dxa"/>
          <w:bottom w:w="0" w:type="dxa"/>
          <w:right w:w="0" w:type="dxa"/>
        </w:tblCellMar>
      </w:tblPr>
      <w:tr>
        <w:trPr>
          <w:trHeight w:val="183"/>
        </w:trPr>
        <w:tc>
          <w:tcPr>
            <w:tcW w:w="302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i w:val="1"/>
                <w:iCs w:val="1"/>
                <w:color w:val="auto"/>
              </w:rPr>
              <w:t>and per share data)</w:t>
            </w:r>
          </w:p>
        </w:tc>
        <w:tc>
          <w:tcPr>
            <w:tcW w:w="2640" w:type="dxa"/>
            <w:vAlign w:val="bottom"/>
            <w:gridSpan w:val="6"/>
          </w:tcPr>
          <w:p>
            <w:pPr>
              <w:ind w:left="480"/>
              <w:spacing w:after="0"/>
              <w:rPr>
                <w:sz w:val="20"/>
                <w:szCs w:val="20"/>
                <w:color w:val="auto"/>
              </w:rPr>
            </w:pPr>
            <w:r>
              <w:rPr>
                <w:rFonts w:ascii="Times New Roman" w:cs="Times New Roman" w:eastAsia="Times New Roman" w:hAnsi="Times New Roman"/>
                <w:sz w:val="12"/>
                <w:szCs w:val="12"/>
                <w:b w:val="1"/>
                <w:bCs w:val="1"/>
                <w:color w:val="auto"/>
              </w:rPr>
              <w:t>Convertible Preferred Stock</w:t>
            </w:r>
          </w:p>
        </w:tc>
        <w:tc>
          <w:tcPr>
            <w:tcW w:w="15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02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Three and Six Months Ended June 30, 2022</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34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380" w:type="dxa"/>
            <w:vAlign w:val="bottom"/>
            <w:gridSpan w:val="2"/>
          </w:tcPr>
          <w:p>
            <w:pPr>
              <w:jc w:val="center"/>
              <w:ind w:right="240"/>
              <w:spacing w:after="0" w:line="91" w:lineRule="exact"/>
              <w:rPr>
                <w:sz w:val="20"/>
                <w:szCs w:val="20"/>
                <w:color w:val="auto"/>
              </w:rPr>
            </w:pPr>
            <w:r>
              <w:rPr>
                <w:rFonts w:ascii="Times New Roman" w:cs="Times New Roman" w:eastAsia="Times New Roman" w:hAnsi="Times New Roman"/>
                <w:sz w:val="9"/>
                <w:szCs w:val="9"/>
                <w:b w:val="1"/>
                <w:bCs w:val="1"/>
                <w:color w:val="auto"/>
              </w:rPr>
              <w:t>Number of Shares</w:t>
            </w:r>
          </w:p>
        </w:tc>
        <w:tc>
          <w:tcPr>
            <w:tcW w:w="200" w:type="dxa"/>
            <w:vAlign w:val="bottom"/>
          </w:tcPr>
          <w:p>
            <w:pPr>
              <w:spacing w:after="0"/>
              <w:rPr>
                <w:sz w:val="7"/>
                <w:szCs w:val="7"/>
                <w:color w:val="auto"/>
              </w:rPr>
            </w:pPr>
          </w:p>
        </w:tc>
        <w:tc>
          <w:tcPr>
            <w:tcW w:w="940" w:type="dxa"/>
            <w:vAlign w:val="bottom"/>
            <w:tcBorders>
              <w:right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7"/>
                <w:szCs w:val="7"/>
                <w:color w:val="auto"/>
              </w:rPr>
            </w:pPr>
          </w:p>
        </w:tc>
        <w:tc>
          <w:tcPr>
            <w:tcW w:w="1240" w:type="dxa"/>
            <w:vAlign w:val="bottom"/>
          </w:tcPr>
          <w:p>
            <w:pPr>
              <w:jc w:val="center"/>
              <w:spacing w:after="0" w:line="91" w:lineRule="exact"/>
              <w:rPr>
                <w:sz w:val="20"/>
                <w:szCs w:val="20"/>
                <w:color w:val="auto"/>
              </w:rPr>
            </w:pPr>
            <w:r>
              <w:rPr>
                <w:rFonts w:ascii="Times New Roman" w:cs="Times New Roman" w:eastAsia="Times New Roman" w:hAnsi="Times New Roman"/>
                <w:sz w:val="9"/>
                <w:szCs w:val="9"/>
                <w:b w:val="1"/>
                <w:bCs w:val="1"/>
                <w:color w:val="auto"/>
              </w:rPr>
              <w:t>Number of Shares</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restart"/>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tcPr>
          <w:p>
            <w:pPr>
              <w:jc w:val="center"/>
              <w:ind w:right="320"/>
              <w:spacing w:after="0" w:line="91" w:lineRule="exact"/>
              <w:rPr>
                <w:sz w:val="20"/>
                <w:szCs w:val="20"/>
                <w:color w:val="auto"/>
              </w:rPr>
            </w:pPr>
            <w:r>
              <w:rPr>
                <w:rFonts w:ascii="Times New Roman" w:cs="Times New Roman" w:eastAsia="Times New Roman" w:hAnsi="Times New Roman"/>
                <w:sz w:val="9"/>
                <w:szCs w:val="9"/>
                <w:b w:val="1"/>
                <w:bCs w:val="1"/>
                <w:color w:val="auto"/>
              </w:rPr>
              <w:t>paid-in</w:t>
            </w:r>
          </w:p>
        </w:tc>
        <w:tc>
          <w:tcPr>
            <w:tcW w:w="120" w:type="dxa"/>
            <w:vAlign w:val="bottom"/>
          </w:tcPr>
          <w:p>
            <w:pPr>
              <w:spacing w:after="0"/>
              <w:rPr>
                <w:sz w:val="7"/>
                <w:szCs w:val="7"/>
                <w:color w:val="auto"/>
              </w:rPr>
            </w:pPr>
          </w:p>
        </w:tc>
        <w:tc>
          <w:tcPr>
            <w:tcW w:w="1020" w:type="dxa"/>
            <w:vAlign w:val="bottom"/>
            <w:gridSpan w:val="2"/>
          </w:tcPr>
          <w:p>
            <w:pPr>
              <w:jc w:val="center"/>
              <w:ind w:right="259"/>
              <w:spacing w:after="0" w:line="91"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80" w:type="dxa"/>
            <w:vAlign w:val="bottom"/>
          </w:tcPr>
          <w:p>
            <w:pPr>
              <w:spacing w:after="0"/>
              <w:rPr>
                <w:sz w:val="7"/>
                <w:szCs w:val="7"/>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200" w:type="dxa"/>
            <w:vAlign w:val="bottom"/>
          </w:tcPr>
          <w:p>
            <w:pPr>
              <w:spacing w:after="0"/>
              <w:rPr>
                <w:sz w:val="13"/>
                <w:szCs w:val="13"/>
                <w:color w:val="auto"/>
              </w:rPr>
            </w:pPr>
          </w:p>
        </w:tc>
        <w:tc>
          <w:tcPr>
            <w:tcW w:w="940" w:type="dxa"/>
            <w:vAlign w:val="bottom"/>
            <w:tcBorders>
              <w:right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2"/>
              </w:rPr>
              <w:t>capital</w:t>
            </w:r>
          </w:p>
        </w:tc>
        <w:tc>
          <w:tcPr>
            <w:tcW w:w="120" w:type="dxa"/>
            <w:vAlign w:val="bottom"/>
          </w:tcPr>
          <w:p>
            <w:pPr>
              <w:spacing w:after="0"/>
              <w:rPr>
                <w:sz w:val="13"/>
                <w:szCs w:val="13"/>
                <w:color w:val="auto"/>
              </w:rPr>
            </w:pPr>
          </w:p>
        </w:tc>
        <w:tc>
          <w:tcPr>
            <w:tcW w:w="1020" w:type="dxa"/>
            <w:vAlign w:val="bottom"/>
            <w:gridSpan w:val="2"/>
          </w:tcPr>
          <w:p>
            <w:pPr>
              <w:jc w:val="center"/>
              <w:ind w:right="259"/>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152,862,447</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363,788</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(171,530</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192,273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2,164,870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77,338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3"/>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(20,360 )</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(20,360 )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March 31, 2022 (unaudited)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155,104,655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368,152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(191,890 )</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1,092,515</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1,175,446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(126 )</w:t>
            </w:r>
          </w:p>
        </w:tc>
        <w:tc>
          <w:tcPr>
            <w:tcW w:w="12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(23,022 )</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(23,022 )</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30, 2022 (unaudited)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157,372,616</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372,151</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(214,912</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157,254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Three and Six Months Ended June 30, 2021</w:t>
            </w:r>
          </w:p>
        </w:tc>
        <w:tc>
          <w:tcPr>
            <w:tcW w:w="2640" w:type="dxa"/>
            <w:vAlign w:val="bottom"/>
            <w:gridSpan w:val="6"/>
          </w:tcPr>
          <w:p>
            <w:pPr>
              <w:ind w:left="480"/>
              <w:spacing w:after="0"/>
              <w:rPr>
                <w:sz w:val="20"/>
                <w:szCs w:val="20"/>
                <w:color w:val="auto"/>
              </w:rPr>
            </w:pPr>
            <w:r>
              <w:rPr>
                <w:rFonts w:ascii="Times New Roman" w:cs="Times New Roman" w:eastAsia="Times New Roman" w:hAnsi="Times New Roman"/>
                <w:sz w:val="12"/>
                <w:szCs w:val="12"/>
                <w:b w:val="1"/>
                <w:bCs w:val="1"/>
                <w:color w:val="auto"/>
              </w:rPr>
              <w:t>Convertible Preferred Stock</w:t>
            </w:r>
          </w:p>
        </w:tc>
        <w:tc>
          <w:tcPr>
            <w:tcW w:w="15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2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34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380" w:type="dxa"/>
            <w:vAlign w:val="bottom"/>
            <w:gridSpan w:val="2"/>
          </w:tcPr>
          <w:p>
            <w:pPr>
              <w:jc w:val="center"/>
              <w:ind w:right="240"/>
              <w:spacing w:after="0" w:line="91" w:lineRule="exact"/>
              <w:rPr>
                <w:sz w:val="20"/>
                <w:szCs w:val="20"/>
                <w:color w:val="auto"/>
              </w:rPr>
            </w:pPr>
            <w:r>
              <w:rPr>
                <w:rFonts w:ascii="Times New Roman" w:cs="Times New Roman" w:eastAsia="Times New Roman" w:hAnsi="Times New Roman"/>
                <w:sz w:val="9"/>
                <w:szCs w:val="9"/>
                <w:b w:val="1"/>
                <w:bCs w:val="1"/>
                <w:color w:val="auto"/>
              </w:rPr>
              <w:t>Number of Shares</w:t>
            </w:r>
          </w:p>
        </w:tc>
        <w:tc>
          <w:tcPr>
            <w:tcW w:w="200" w:type="dxa"/>
            <w:vAlign w:val="bottom"/>
          </w:tcPr>
          <w:p>
            <w:pPr>
              <w:spacing w:after="0"/>
              <w:rPr>
                <w:sz w:val="7"/>
                <w:szCs w:val="7"/>
                <w:color w:val="auto"/>
              </w:rPr>
            </w:pPr>
          </w:p>
        </w:tc>
        <w:tc>
          <w:tcPr>
            <w:tcW w:w="940" w:type="dxa"/>
            <w:vAlign w:val="bottom"/>
            <w:tcBorders>
              <w:right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7"/>
                <w:szCs w:val="7"/>
                <w:color w:val="auto"/>
              </w:rPr>
            </w:pPr>
          </w:p>
        </w:tc>
        <w:tc>
          <w:tcPr>
            <w:tcW w:w="1240" w:type="dxa"/>
            <w:vAlign w:val="bottom"/>
          </w:tcPr>
          <w:p>
            <w:pPr>
              <w:jc w:val="center"/>
              <w:spacing w:after="0" w:line="91" w:lineRule="exact"/>
              <w:rPr>
                <w:sz w:val="20"/>
                <w:szCs w:val="20"/>
                <w:color w:val="auto"/>
              </w:rPr>
            </w:pPr>
            <w:r>
              <w:rPr>
                <w:rFonts w:ascii="Times New Roman" w:cs="Times New Roman" w:eastAsia="Times New Roman" w:hAnsi="Times New Roman"/>
                <w:sz w:val="9"/>
                <w:szCs w:val="9"/>
                <w:b w:val="1"/>
                <w:bCs w:val="1"/>
                <w:color w:val="auto"/>
              </w:rPr>
              <w:t>Number of Shares</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restart"/>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tcPr>
          <w:p>
            <w:pPr>
              <w:jc w:val="center"/>
              <w:ind w:right="320"/>
              <w:spacing w:after="0" w:line="91" w:lineRule="exact"/>
              <w:rPr>
                <w:sz w:val="20"/>
                <w:szCs w:val="20"/>
                <w:color w:val="auto"/>
              </w:rPr>
            </w:pPr>
            <w:r>
              <w:rPr>
                <w:rFonts w:ascii="Times New Roman" w:cs="Times New Roman" w:eastAsia="Times New Roman" w:hAnsi="Times New Roman"/>
                <w:sz w:val="9"/>
                <w:szCs w:val="9"/>
                <w:b w:val="1"/>
                <w:bCs w:val="1"/>
                <w:color w:val="auto"/>
              </w:rPr>
              <w:t>paid-in</w:t>
            </w:r>
          </w:p>
        </w:tc>
        <w:tc>
          <w:tcPr>
            <w:tcW w:w="120" w:type="dxa"/>
            <w:vAlign w:val="bottom"/>
          </w:tcPr>
          <w:p>
            <w:pPr>
              <w:spacing w:after="0"/>
              <w:rPr>
                <w:sz w:val="7"/>
                <w:szCs w:val="7"/>
                <w:color w:val="auto"/>
              </w:rPr>
            </w:pPr>
          </w:p>
        </w:tc>
        <w:tc>
          <w:tcPr>
            <w:tcW w:w="1020" w:type="dxa"/>
            <w:vAlign w:val="bottom"/>
            <w:gridSpan w:val="2"/>
          </w:tcPr>
          <w:p>
            <w:pPr>
              <w:jc w:val="center"/>
              <w:ind w:right="259"/>
              <w:spacing w:after="0" w:line="91"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80" w:type="dxa"/>
            <w:vAlign w:val="bottom"/>
          </w:tcPr>
          <w:p>
            <w:pPr>
              <w:spacing w:after="0"/>
              <w:rPr>
                <w:sz w:val="7"/>
                <w:szCs w:val="7"/>
                <w:color w:val="auto"/>
              </w:rPr>
            </w:pPr>
          </w:p>
        </w:tc>
        <w:tc>
          <w:tcPr>
            <w:tcW w:w="8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200" w:type="dxa"/>
            <w:vAlign w:val="bottom"/>
          </w:tcPr>
          <w:p>
            <w:pPr>
              <w:spacing w:after="0"/>
              <w:rPr>
                <w:sz w:val="13"/>
                <w:szCs w:val="13"/>
                <w:color w:val="auto"/>
              </w:rPr>
            </w:pPr>
          </w:p>
        </w:tc>
        <w:tc>
          <w:tcPr>
            <w:tcW w:w="940" w:type="dxa"/>
            <w:vAlign w:val="bottom"/>
            <w:tcBorders>
              <w:right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2"/>
              </w:rPr>
              <w:t>capital</w:t>
            </w:r>
          </w:p>
        </w:tc>
        <w:tc>
          <w:tcPr>
            <w:tcW w:w="120" w:type="dxa"/>
            <w:vAlign w:val="bottom"/>
          </w:tcPr>
          <w:p>
            <w:pPr>
              <w:spacing w:after="0"/>
              <w:rPr>
                <w:sz w:val="13"/>
                <w:szCs w:val="13"/>
                <w:color w:val="auto"/>
              </w:rPr>
            </w:pPr>
          </w:p>
        </w:tc>
        <w:tc>
          <w:tcPr>
            <w:tcW w:w="1020" w:type="dxa"/>
            <w:vAlign w:val="bottom"/>
            <w:gridSpan w:val="2"/>
          </w:tcPr>
          <w:p>
            <w:pPr>
              <w:jc w:val="center"/>
              <w:ind w:right="259"/>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13,413,431</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(108,788</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(98,898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Issuance of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(12,738 )</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(12,738 )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March 31, 2021 (unaudited)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14,098,354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12,324</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(121,526 )</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(109,201 )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2,617,908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issued related to exercise of</w:t>
            </w:r>
          </w:p>
        </w:tc>
        <w:tc>
          <w:tcPr>
            <w:tcW w:w="13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94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98,871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3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tcBorders>
              <w:right w:val="single" w:sz="8" w:color="auto"/>
            </w:tcBorders>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Acquisition of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Preferred stock conversion</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(94,582,550 )</w:t>
            </w:r>
          </w:p>
        </w:tc>
        <w:tc>
          <w:tcPr>
            <w:tcW w:w="200" w:type="dxa"/>
            <w:vAlign w:val="bottom"/>
            <w:shd w:val="clear" w:color="auto" w:fill="CFF0FC"/>
          </w:tcPr>
          <w:p>
            <w:pPr>
              <w:spacing w:after="0"/>
              <w:rPr>
                <w:sz w:val="17"/>
                <w:szCs w:val="17"/>
                <w:color w:val="auto"/>
              </w:rPr>
            </w:pPr>
          </w:p>
        </w:tc>
        <w:tc>
          <w:tcPr>
            <w:tcW w:w="94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(111,282 )</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111,272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2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in connection</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with</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Business Combination and PIPE offering,</w:t>
            </w: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9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40,858,053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185,739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185,743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of issuance costs</w:t>
            </w:r>
          </w:p>
        </w:tc>
        <w:tc>
          <w:tcPr>
            <w:tcW w:w="1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right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(30,441 )</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(30,441 )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June 30, 2021 (unaudited)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152,255,736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354,213</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(151,967 )</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-3625215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-3625215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-3625215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-3625215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-3625215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-3625215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-2828290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-2811145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-2828290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-2811145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-2828290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-2811145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-2828290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-2811145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-2828290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-2811145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-2828290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-2811145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-1645285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-1645285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-1645285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-1645285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-1645285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-1645285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-161925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-161925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-161925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-161925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-161925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an amount lower than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jc w:val="center"/>
        <w:ind w:right="40"/>
        <w:spacing w:after="0" w:line="238"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4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60" w:type="dxa"/>
            <w:vAlign w:val="bottom"/>
            <w:gridSpan w:val="7"/>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FF0FC"/>
          </w:tcPr>
          <w:p>
            <w:pPr>
              <w:spacing w:after="0"/>
              <w:rPr>
                <w:sz w:val="16"/>
                <w:szCs w:val="16"/>
                <w:color w:val="auto"/>
              </w:rPr>
            </w:pPr>
          </w:p>
        </w:tc>
        <w:tc>
          <w:tcPr>
            <w:tcW w:w="7540" w:type="dxa"/>
            <w:vAlign w:val="bottom"/>
            <w:gridSpan w:val="6"/>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28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Net loss</w:t>
            </w:r>
          </w:p>
        </w:tc>
        <w:tc>
          <w:tcPr>
            <w:tcW w:w="472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FF0FC"/>
            </w:tcBorders>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(43,382 )</w:t>
            </w:r>
          </w:p>
        </w:tc>
        <w:tc>
          <w:tcPr>
            <w:tcW w:w="540" w:type="dxa"/>
            <w:vAlign w:val="bottom"/>
            <w:tcBorders>
              <w:top w:val="single" w:sz="8" w:color="CFF0FC"/>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(43,179 )</w:t>
            </w:r>
          </w:p>
        </w:tc>
        <w:tc>
          <w:tcPr>
            <w:tcW w:w="0" w:type="dxa"/>
            <w:vAlign w:val="bottom"/>
          </w:tcPr>
          <w:p>
            <w:pPr>
              <w:spacing w:after="0"/>
              <w:rPr>
                <w:sz w:val="1"/>
                <w:szCs w:val="1"/>
                <w:color w:val="auto"/>
              </w:rPr>
            </w:pPr>
          </w:p>
        </w:tc>
      </w:tr>
      <w:tr>
        <w:trPr>
          <w:trHeight w:val="216"/>
        </w:trPr>
        <w:tc>
          <w:tcPr>
            <w:tcW w:w="75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 issue costs and change in fair value</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Increase in accounts receivable, net</w:t>
            </w:r>
          </w:p>
        </w:tc>
        <w:tc>
          <w:tcPr>
            <w:tcW w:w="40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(1,650 )</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 increase in deferred revenues</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(1,236 )</w:t>
            </w: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w:t>
            </w:r>
          </w:p>
        </w:tc>
        <w:tc>
          <w:tcPr>
            <w:tcW w:w="40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(1,145 )</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7540" w:type="dxa"/>
            <w:vAlign w:val="bottom"/>
            <w:tcBorders>
              <w:bottom w:val="single" w:sz="8" w:color="CFF0FC"/>
            </w:tcBorders>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(33,111 )</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(17,787 )</w:t>
            </w:r>
          </w:p>
        </w:tc>
        <w:tc>
          <w:tcPr>
            <w:tcW w:w="0" w:type="dxa"/>
            <w:vAlign w:val="bottom"/>
          </w:tcPr>
          <w:p>
            <w:pPr>
              <w:spacing w:after="0"/>
              <w:rPr>
                <w:sz w:val="1"/>
                <w:szCs w:val="1"/>
                <w:color w:val="auto"/>
              </w:rPr>
            </w:pP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2780" w:type="dxa"/>
            <w:vAlign w:val="bottom"/>
            <w:tcBorders>
              <w:bottom w:val="single" w:sz="8" w:color="auto"/>
            </w:tcBorders>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investing activities:</w:t>
            </w:r>
          </w:p>
        </w:tc>
        <w:tc>
          <w:tcPr>
            <w:tcW w:w="4760" w:type="dxa"/>
            <w:vAlign w:val="bottom"/>
            <w:tcBorders>
              <w:bottom w:val="single" w:sz="8" w:color="CFF0FC"/>
            </w:tcBorders>
            <w:gridSpan w:val="3"/>
            <w:shd w:val="clear" w:color="auto" w:fill="CFF0FC"/>
          </w:tcPr>
          <w:p>
            <w:pPr>
              <w:spacing w:after="0"/>
              <w:rPr>
                <w:sz w:val="16"/>
                <w:szCs w:val="16"/>
                <w:color w:val="auto"/>
              </w:rPr>
            </w:pPr>
          </w:p>
        </w:tc>
        <w:tc>
          <w:tcPr>
            <w:tcW w:w="400" w:type="dxa"/>
            <w:vAlign w:val="bottom"/>
            <w:tcBorders>
              <w:top w:val="single" w:sz="8" w:color="auto"/>
              <w:bottom w:val="single" w:sz="8" w:color="CFF0FC"/>
            </w:tcBorders>
            <w:shd w:val="clear" w:color="auto" w:fill="CFF0FC"/>
          </w:tcPr>
          <w:p>
            <w:pPr>
              <w:spacing w:after="0"/>
              <w:rPr>
                <w:sz w:val="16"/>
                <w:szCs w:val="16"/>
                <w:color w:val="auto"/>
              </w:rPr>
            </w:pPr>
          </w:p>
        </w:tc>
        <w:tc>
          <w:tcPr>
            <w:tcW w:w="1260" w:type="dxa"/>
            <w:vAlign w:val="bottom"/>
            <w:tcBorders>
              <w:top w:val="single" w:sz="8" w:color="auto"/>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top w:val="single" w:sz="8" w:color="auto"/>
              <w:bottom w:val="single" w:sz="8" w:color="CFF0FC"/>
            </w:tcBorders>
            <w:shd w:val="clear" w:color="auto" w:fill="CFF0FC"/>
          </w:tcPr>
          <w:p>
            <w:pPr>
              <w:spacing w:after="0"/>
              <w:rPr>
                <w:sz w:val="16"/>
                <w:szCs w:val="16"/>
                <w:color w:val="auto"/>
              </w:rPr>
            </w:pPr>
          </w:p>
        </w:tc>
        <w:tc>
          <w:tcPr>
            <w:tcW w:w="11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(160 )</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r>
        <w:trPr>
          <w:trHeight w:val="209"/>
        </w:trPr>
        <w:tc>
          <w:tcPr>
            <w:tcW w:w="756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69"/>
        </w:trPr>
        <w:tc>
          <w:tcPr>
            <w:tcW w:w="7560" w:type="dxa"/>
            <w:vAlign w:val="bottom"/>
            <w:gridSpan w:val="7"/>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proceeds from reverse capitalization, net of transaction costs</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(645 )</w:t>
            </w: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40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Repayment of borrowings</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w:t>
            </w:r>
          </w:p>
        </w:tc>
        <w:tc>
          <w:tcPr>
            <w:tcW w:w="40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40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(67 )</w:t>
            </w:r>
          </w:p>
        </w:tc>
        <w:tc>
          <w:tcPr>
            <w:tcW w:w="54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0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(31,634 )</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166,622</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540" w:type="dxa"/>
            <w:vAlign w:val="bottom"/>
            <w:gridSpan w:val="6"/>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Supplemental cash flow data:</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56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financing activity:</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Issuance of warrant and other costs related to the Credit Agreement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-2976880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-2976880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-2402840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-2402840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-1288415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-1005205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jc w:val="center"/>
        <w:ind w:right="40"/>
        <w:spacing w:after="0" w:line="238"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Talkspace was originally incorporated as Hudson Executive Investment Corp. (“HEC”). In connection with the Business Combination completed in June 2021, HEC changed its name to “Talkspace,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as a single segment and as one reporting unit, which is how the Company's chief operating decision maker (who is the interim chief executive officer) reviews financial performance and allocates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 significant accounting policies applied in the annual consolidated financial statements of the Company as of December 31, 2021, have been applied consistently in these unaudited condensed consolidated financial statements, unless otherwise stated. These interim condensed consolidated financial statements should be read in conjunction with the audited consolidated financial statements as of and for the year ended December 31, 2021 included in the Company’s Annual Report on Form 10-K for the year ended December 31, 2021.</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policy is to consolidate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benefits that could potentially be significant to the VIE.</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second quarter of 2022, the Company completed the transition of its structure with respect to its relationships with healthcare providers and certain affiliated professional association and professional corporations in which it holds a variable interest. These affiliated professional association and professional corporations are considered VIEs since they do not have sufficient equity to finance their activities without additional subordinated financial support. The Company determined that it is the primary beneficiary of the VIEs and as a result consolidated them in its financial statements. All intercompany transactions and balances have been eliminated. See Note 11, “Variable Interest Entities,” for further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financial statements and accompanying notes. The Company evaluates its assumptions on an ongoing basis. 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condensed consolidated financial statements, and the reported amounts of revenue and expenses during the reporting periods.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Pronouncements</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ASU 2021-10, Government Assistance (Topic 832): Disclosures by Business Entities about Government Assistance, which requires entities to disclose information about certain types of government assistance they receive in the notes to the financial statements. Entities are required to provide the new disclosures prospectively for all transactions with a government entity that are accounted for under either a grant or a</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contribution accounting model and are reflected in the financial statements at the date of initially applying the new amendments, and to new transactions entered into after that date. Retrospective application of the guidance is permitted. The amendments in this ASU are effective for all entities within their scope for financial statements issued for annual periods beginning after December 15, 2021. The Company adopted this guidance on January 1, 2022 and the adoption did not have a significant impact on its condensed consolidated financial statements or related disclosures.</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May 2021, the FASB issued ASU 2021-04—Earnings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which clarifies and reduces diversity in accounting for modifications or exchanges of freestanding equity-written call options that remain equity classified after modifications or exchanges based on the substance of the transactions. The amendments in this ASU are effective for all entities for fiscal years beginning after December 15, 2021, including interim periods within those fiscal years. The Company adopted this guidance on January 1, 2022 and the adoption did not have an impact on its condensed consolidated financial statements or related disclosures.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August 2020, the FASB issued ASU 2020-06—Debt—Debt with Conversion and Other Options (Subtopic 470-20) and Derivatives and Hedging— Contracts in Entity’s Own Equity (Subtopic 815-40): Issuer's Accounting for Convertible Instruments and Contracts in an Entity’s Own Equity, which simplifies the accounting for certain financial instruments with characteristics of liabilities and equity, including convertible instruments and contracts on an entity’s own equity. The amendments in this ASU are effective for public entities excluding entities eligible to be smaller reporting companies as defined by the SEC, for fiscal years beginning after December 15, 2021, including interim periods within those fiscal years. The Company adopted this guidance on January 1, 2022 and the adoption did not have an impact on its condensed consolidated financial statements or related disclosures.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operates a virtual behavioral healthcare business that connects individuals and licensed therapists, psychologists and psychiatrists with an online platform for one-on-one therapy delivered via messaging, audio and video. Individuals access the Company’s services through the Company’s website or mobile app. The Company generates revenues from the sale of monthly, quarterly, bi-annual and annual membership subscriptions to its therapy platform as well as supplementary a la carte offerings, payments from members and their respective insurance companies and annually contracted platform access fees from enterprise clients for the delivery of therapy services to their members or employees. The Company provides these services directly to individuals through a subscription plan. The Company recognizes member subscription revenues ratably over the subscription period, beginning when therapy services commence. Members may cancel at any time and will receive a pro-rata refund for the subscription price.</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also contracts with health plans and other enterprises to provide its services to individuals who are qualified to receive access to the Company’s services through the Company’s commercial arrangements. The Company recognizes contracted revenue from our enterprise clients from the commencement of their contracted term through the annual period based primarily on a per-member-per month model. The Company recognizes revenues from services provided to insured members at a point in time, as virtual therapy session is rendered. Revenue is recognized in an amount that reflects the consideration that is expected in exchange for the service. Contracts with enterprise clients are for one or more years with the ability to provide 60 days advance notice prior to termination at each year mark during the term. On occasion and depending on the client, the Company allows a 60 or 90 day intra-year termination notice but only after the client has completed the first year of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from sales to unaffiliated customers:</w:t>
            </w: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3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39,655</w:t>
            </w:r>
          </w:p>
        </w:tc>
        <w:tc>
          <w:tcPr>
            <w:tcW w:w="100" w:type="dxa"/>
            <w:vAlign w:val="bottom"/>
          </w:tcPr>
          <w:p>
            <w:pPr>
              <w:spacing w:after="0"/>
              <w:rPr>
                <w:sz w:val="18"/>
                <w:szCs w:val="18"/>
                <w:color w:val="auto"/>
              </w:rPr>
            </w:pPr>
          </w:p>
        </w:tc>
      </w:tr>
      <w:tr>
        <w:trPr>
          <w:trHeight w:val="216"/>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29,844</w:t>
            </w:r>
          </w:p>
        </w:tc>
        <w:tc>
          <w:tcPr>
            <w:tcW w:w="13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59,994</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58,140</w:t>
            </w:r>
          </w:p>
        </w:tc>
        <w:tc>
          <w:tcPr>
            <w:tcW w:w="10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26"/>
        </w:trPr>
        <w:tc>
          <w:tcPr>
            <w:tcW w:w="4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-839470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-839470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-839470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Revenue Reserves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reserves are deducted from accounts receivable to present the net amount expected to be collected. As of June 30, 2022, revenue reserves mainly relate to allowances for accounts receivable balances from health insurance and EAP organizations.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 recorded an increase in revenue reserves of $1.0 million and $0.2 million, respectively. During the six months ended June 30, 2022, the Company wrote-off $1.2 million of its aged receivables that were previously fully reserved. There were no write-offs of aged balances during the six months ended June 30, 2021.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insignificant changes in reserves and no write-offs of aged balances during the three months ended June 30, 2022 and 2021.</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balance of receivables related to health insurance and EAP organizations was $5.8 million and the revenue reserves against these receivables was $4.7 million, of this amount $2.6 million relates to aged balances for periods prior to 2022.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the Company’s performance obligation to provide services. As of June 30, 2022, deferred revenue related mainly to the Company’s consumer subscription business. Deferred revenue as of June 30, 2022 was $6.0 million ($7.2 million as of December 31, 2021). The Company recognizes deferred revenues as revenues in the statement of operations once performance obligations have been performed and satisfied. The Company expects to satisfy the majority of its performance obligations associated with deferred revenue within one year or less.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19" w:lineRule="exact"/>
        <w:rPr>
          <w:sz w:val="20"/>
          <w:szCs w:val="20"/>
          <w:color w:val="auto"/>
        </w:rPr>
      </w:pPr>
    </w:p>
    <w:p>
      <w:pPr>
        <w:ind w:right="860"/>
        <w:spacing w:after="0" w:line="266" w:lineRule="auto"/>
        <w:rPr>
          <w:sz w:val="20"/>
          <w:szCs w:val="20"/>
          <w:color w:val="auto"/>
        </w:rPr>
      </w:pPr>
      <w:r>
        <w:rPr>
          <w:rFonts w:ascii="Times New Roman" w:cs="Times New Roman" w:eastAsia="Times New Roman" w:hAnsi="Times New Roman"/>
          <w:sz w:val="18"/>
          <w:szCs w:val="18"/>
          <w:color w:val="auto"/>
        </w:rPr>
        <w:t>The Company elected to use the practical expedient to recognize the incremental costs of obtaining contracts as an expense when incurred if the amortization period of the assets that the Company otherwise would have recognized is one year or 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carrying value of the Company’s cash equivalents, accounts receivable, other current assets, accounts payable, and accrued liabilities approximate fair value because of the relatively short-term nature of the underlying assets. The Company’s Private Placement Warrants are carried at fair value with changes in fair value recognized in earnings each period.</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Private Placement Warrants assumed in connection with the consummation of the Business Combination and the closing of the Forward Purchase Agreement with the HEC Fund are accounted for as liabilities in accordance with ASC 815-40 and are presented within warrant liabilities in the accompanying condensed consolidated balance sheets. The warrant liabilities are measured at fair value at inception and on a recurring basis, with changes in fair value presented within financial expense, net, in the condensed consolidated statement of operations.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Private Placement Warrants were valued using the Black-Scholes-Merton Model, which is considered to be a Level 3 fair value measurement. The primary unobservable input utilized in determining the fair value of the Private Placement Warrants is the expected volatility of the Company’s common stock. For the three and six months ended June 30, 2022, the Company had losses related to the remeasurement of the Private Placement Warrants of $2.1 million and $1.2 million, respectively.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 liabilities during the three and six months ended June 30,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4"/>
                <w:szCs w:val="14"/>
                <w:color w:val="auto"/>
              </w:rPr>
            </w:pPr>
          </w:p>
        </w:tc>
      </w:tr>
      <w:tr>
        <w:trPr>
          <w:trHeight w:val="210"/>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shd w:val="clear" w:color="auto" w:fill="CFF0FC"/>
          </w:tcPr>
          <w:p>
            <w:pPr>
              <w:spacing w:after="0"/>
              <w:rPr>
                <w:sz w:val="18"/>
                <w:szCs w:val="18"/>
                <w:color w:val="auto"/>
              </w:rPr>
            </w:pPr>
          </w:p>
        </w:tc>
      </w:tr>
      <w:tr>
        <w:trPr>
          <w:trHeight w:val="421"/>
        </w:trPr>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4"/>
                <w:szCs w:val="14"/>
                <w:color w:val="auto"/>
              </w:rPr>
            </w:pPr>
          </w:p>
        </w:tc>
      </w:tr>
      <w:tr>
        <w:trPr>
          <w:trHeight w:val="20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shd w:val="clear" w:color="auto" w:fill="CFF0FC"/>
          </w:tcPr>
          <w:p>
            <w:pPr>
              <w:spacing w:after="0"/>
              <w:rPr>
                <w:sz w:val="18"/>
                <w:szCs w:val="18"/>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CONTINGENT LIABILITIES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currently have any leases with terms in excess of 12 months. Since terminating the prior office lease agreement in New York City in August 2020, the Company has an immaterial month to month operating lease for office space in New York City. The Company currently has no permanent physical office space, and the majority of its employees are working remotely.</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limited operations outside the United States. The Company has one foreign subsidiary located in Israel which leases its operating facilities under a month-to-month operating lease agreement.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elected the practical expedient for lease agreements with a term of twelve months or less and does not recognize right-of-use (“ROU”) assets and lease liabilities in respect of those agreements. The Company also elected the practical expedient to not separate lease and non-lease components for all of the Company’s leases.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expenses under the Company’s short-term operating leases for the three and six months ended June 30, 2022 was $50,000 and $110,000,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and may in the future be involved in various legal proceedings arising from the normal course of business activities. Although the results of litigation and claims cannot be predicted with certainty, the Company currently believes that any such litigation or claims are unlikely to have any material adverse impact on the Company’s consolidated results of operations, cash flows or financial position. Regardless of the outcome, however, litigation can have an adverse impact on the Company because of the costs to defend lawsuits, diversion of management resources and other factors.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January 2022, the Company and certain of its current and former officers and directors were named as defendants in securities class action complaints filed in the United States District Court for the Southern District of New York (the “Securities Actions”) under the case headings: (1) </w:t>
      </w:r>
      <w:r>
        <w:rPr>
          <w:rFonts w:ascii="Times New Roman" w:cs="Times New Roman" w:eastAsia="Times New Roman" w:hAnsi="Times New Roman"/>
          <w:sz w:val="18"/>
          <w:szCs w:val="18"/>
          <w:i w:val="1"/>
          <w:iCs w:val="1"/>
          <w:color w:val="auto"/>
        </w:rPr>
        <w:t>Baron v. Talkspace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22-cv-00163 (S.D.N.Y.) and (2)</w:t>
      </w:r>
      <w:r>
        <w:rPr>
          <w:rFonts w:ascii="Times New Roman" w:cs="Times New Roman" w:eastAsia="Times New Roman" w:hAnsi="Times New Roman"/>
          <w:sz w:val="18"/>
          <w:szCs w:val="18"/>
          <w:i w:val="1"/>
          <w:iCs w:val="1"/>
          <w:color w:val="auto"/>
        </w:rPr>
        <w:t xml:space="preserve"> Valdez v. Talkspace et al</w:t>
      </w:r>
      <w:r>
        <w:rPr>
          <w:rFonts w:ascii="Times New Roman" w:cs="Times New Roman" w:eastAsia="Times New Roman" w:hAnsi="Times New Roman"/>
          <w:sz w:val="18"/>
          <w:szCs w:val="18"/>
          <w:color w:val="auto"/>
        </w:rPr>
        <w:t>., No. 22-cv-00840 (S.D.N.Y.). The Securities Actions asserted violations of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10(b), 14(a) and 20(a) of the Securities Exchange Act of 1934 and SEC Rules 10b-5 and 14a-9 promulgated thereunder. The Securities Actions generally relate to public disclosures and statements by the Company in connection with its merger with HEC. The core allegations are that in connection with the merger, defendants made material misstatements and omissions regarding Talkspace’s business, financial condition, and growth prospects. The complaints seek, among other things, damages on behalf of all members of the proposed class. In June 2022, the Securities Actions were consolidated under the caption </w:t>
      </w:r>
      <w:r>
        <w:rPr>
          <w:rFonts w:ascii="Times New Roman" w:cs="Times New Roman" w:eastAsia="Times New Roman" w:hAnsi="Times New Roman"/>
          <w:sz w:val="18"/>
          <w:szCs w:val="18"/>
          <w:i w:val="1"/>
          <w:iCs w:val="1"/>
          <w:color w:val="auto"/>
        </w:rPr>
        <w:t>In re Talkspace, Inc. Securities Litigation</w:t>
      </w:r>
      <w:r>
        <w:rPr>
          <w:rFonts w:ascii="Times New Roman" w:cs="Times New Roman" w:eastAsia="Times New Roman" w:hAnsi="Times New Roman"/>
          <w:sz w:val="18"/>
          <w:szCs w:val="18"/>
          <w:color w:val="auto"/>
        </w:rPr>
        <w:t xml:space="preserve"> (the “Consolidated Securities Action”).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On June 15, 2022, an individual filed a stockholder derivative lawsuit purportedly on behalf of Talkspace, naming certain of the Company’s current and former officers and directors as defendants and the Company as a nominal defendant. The suit is pending in the United States District Court for the Southern District of New York under the case caption </w:t>
      </w:r>
      <w:r>
        <w:rPr>
          <w:rFonts w:ascii="Times New Roman" w:cs="Times New Roman" w:eastAsia="Times New Roman" w:hAnsi="Times New Roman"/>
          <w:sz w:val="18"/>
          <w:szCs w:val="18"/>
          <w:i w:val="1"/>
          <w:iCs w:val="1"/>
          <w:color w:val="auto"/>
        </w:rPr>
        <w:t>Odsvall v. Oren Frank et al</w:t>
      </w:r>
      <w:r>
        <w:rPr>
          <w:rFonts w:ascii="Times New Roman" w:cs="Times New Roman" w:eastAsia="Times New Roman" w:hAnsi="Times New Roman"/>
          <w:sz w:val="18"/>
          <w:szCs w:val="18"/>
          <w:color w:val="auto"/>
        </w:rPr>
        <w:t>., No. 22-cv-05016 (S.D.N.Y.) (the “Odsvall Derivative Lawsuit”). The Odsvall Derivative Lawsuit asserts claims for violations of federal securities laws and breaches of fiduciary duty based on many of the same facts at-issue in the Consolidated Securities Action. The complaint in the Odsvall Derivative Lawsuit additionally alleges that the individual defendants breached their fiduciary obligations to Talkspace by permitting misleading statements to be published in a proxy statement, press releases, and other public filings and announced on a quarterly earnings call. The complaint seeks, among other things, damages on behalf of the Company, restitution and injunctive relief.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On July 22, 2022, an individual filed a stockholder derivative lawsuit purportedly on behalf of Talkspace, naming the Company’s current directors as defendants and the Company as a nominal defendant. The suit is pending in the United States District Court for the Southern District of New York under the case caption </w:t>
      </w:r>
      <w:r>
        <w:rPr>
          <w:rFonts w:ascii="Times New Roman" w:cs="Times New Roman" w:eastAsia="Times New Roman" w:hAnsi="Times New Roman"/>
          <w:sz w:val="18"/>
          <w:szCs w:val="18"/>
          <w:i w:val="1"/>
          <w:iCs w:val="1"/>
          <w:color w:val="auto"/>
        </w:rPr>
        <w:t>Nayman v. Berg, et al</w:t>
      </w:r>
      <w:r>
        <w:rPr>
          <w:rFonts w:ascii="Times New Roman" w:cs="Times New Roman" w:eastAsia="Times New Roman" w:hAnsi="Times New Roman"/>
          <w:sz w:val="18"/>
          <w:szCs w:val="18"/>
          <w:color w:val="auto"/>
        </w:rPr>
        <w:t>., No. 22-cv-06258 (S.D.N.Y.) (the “Nayman Derivative Lawsuit”). The Nayman Derivative Lawsuit asserts claims for violations of federal securities laws, breach of fiduciary duty, and aiding and abetting breach of fiduciary duty relating to the merger with HEC, among other things, based on many of the same facts at issue in the Consolidated Securities Action. The complaint seeks, among other things, damages on behalf of the Company, restitution and injunctive relief.</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able to predict the outcome of these lawsuits, nor can it predict the amount of time and expense that will be required to resolve the lawsuits. The Company believes that the lawsuits are without merit and intends to vigorously defend against them.</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foregoing, from time-to-time, the Company is party to various legal proceedings, claims and litigation that arise in the normal course of business. In the opinion of management, the ultimate outcome of these matters will not have a material adverse effect on the Company’s financial position, results of operations or cash flows. Accruals for loss contingencies are recorded when a loss is probable, and the amount of such loss can be reasonably estimated.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CAPITAL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authorized capital stock consists of (a) 1,000,000,000 shares of common stock, par value $0.0001 per share; and (b) 100,000,000 shares of preferred stock, par value $0.0001 per share. As of June 30, 2022, there were 157,372,616 shares of common stock issued and outstanding (152,862,447 as of December 31, 2021). As of June 30, 2022 and December 31, 2021, no shares of preferred stock were issued or outstanding.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adopted the 2014 Stock Incentive Plan (the “2014 Plan”) pursuant to which incentive and nonqualified stock options and stock purchase rights to purchase the Company’s common stock may be granted to officers, employees, directors, consultants and service providers. In connection with the closing of the Business Combination, the Company adopted the 2021 Incentive Award Plan (the “2021 Plan”) under which the Company may grant cash and equity incentive awards to eligible service providers in order to attract, motivate and retain the talent. In connection with the effectiveness of the 2021 Plan, no further awards will be granted under the 2014 Plan. Employees, consultants and directors of the Company, and employees and consultants of its subsidiaries, are eligible to receive awards under the 2021 Plan.</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also adopted the 2021 Employee Stock Purchase Plan (the “2021 ESPP”) under which employees of Talkspace and its participating subsidiaries are provided with the opportunity to purchase Talkspace common stock at a discount through accumulated payroll deductions during successive offering periods. As of June 30, 2022, no employee stock purchases have been made under the 2021 ESPP.</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generally recognized on a straight-line basis in the Company’s condensed consolidated statement of operations over the period during which the employee is required to perform services in exchange for the award (generally requiring a four-year vesting period).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table sets forth the total stock-based compensation expense related to stock options and restricted stock units included in the respective components of operating expenses in the condensed 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00" w:type="dxa"/>
            <w:vAlign w:val="bottom"/>
          </w:tcPr>
          <w:p>
            <w:pPr>
              <w:spacing w:after="0"/>
              <w:rPr>
                <w:sz w:val="18"/>
                <w:szCs w:val="18"/>
                <w:color w:val="auto"/>
              </w:rPr>
            </w:pPr>
          </w:p>
        </w:tc>
      </w:tr>
      <w:tr>
        <w:trPr>
          <w:trHeight w:val="249"/>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LOSS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155,709,901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26,362,369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154,901,165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2022, the following were excluded from the calculation of diluted net loss per share since each would have had an anti-dilutive effect given the Company’s net loss: 18,042,701 stock options, 6,360,148 restricted stock units, 12,780,000 private placement warrants and 21,350,000 public warrants to purchase the Company’s common stock.</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2021, the following were excluded from the calculation of diluted net loss per share since each would have had an anti-dilutive effect: 18,304,765 stock options, 12,780,000 private placement warrants and 21,350,000 public warrants to purchase the Company's common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TAXES ON INCOME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Company’s history of net operating losses (“NOL”), the Company has provided for a full valuation allowance against its deferred tax assets for assets that are not expected to be realized.</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210"/>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compensation</w:t>
            </w:r>
          </w:p>
        </w:tc>
        <w:tc>
          <w:tcPr>
            <w:tcW w:w="2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User acquisition</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2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Pr>
          <w:p>
            <w:pPr>
              <w:spacing w:after="0"/>
              <w:rPr>
                <w:sz w:val="18"/>
                <w:szCs w:val="18"/>
                <w:color w:val="auto"/>
              </w:rPr>
            </w:pPr>
          </w:p>
        </w:tc>
      </w:tr>
      <w:tr>
        <w:trPr>
          <w:trHeight w:val="250"/>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55"/>
        </w:trPr>
        <w:tc>
          <w:tcPr>
            <w:tcW w:w="4420" w:type="dxa"/>
            <w:vAlign w:val="bottom"/>
          </w:tcPr>
          <w:p>
            <w:pPr>
              <w:spacing w:after="0"/>
              <w:rPr>
                <w:sz w:val="24"/>
                <w:szCs w:val="24"/>
                <w:color w:val="auto"/>
              </w:rPr>
            </w:pPr>
          </w:p>
        </w:tc>
        <w:tc>
          <w:tcPr>
            <w:tcW w:w="22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-530860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-513715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 ("VIEs"</w:t>
      </w:r>
      <w:r>
        <w:rPr>
          <w:rFonts w:ascii="Times New Roman" w:cs="Times New Roman" w:eastAsia="Times New Roman" w:hAnsi="Times New Roman"/>
          <w:sz w:val="19"/>
          <w:szCs w:val="19"/>
          <w:b w:val="1"/>
          <w:bCs w:val="1"/>
          <w:color w:val="auto"/>
        </w:rPr>
        <w:t>)</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second quarter of 2022, the Company completed its transition with respect to its relationships with healthcare providers under Talkspace Provider Network, PA (“TPN”), a Texas professional association entity. The Company's wholly owned subsidiary, Talkspace LLC, is party to various Management Services Agreements (“MSAs”) between it and TPN as well as other affiliated professional entities ("PC entities") as part of this transition. TPN and the PC entities, where applicable, contract with physicians, therapists, and other licensed professionals for clinical and professional services provided to the Company’s members. The Company believes the transition to a structure where it operates under various MSAs with professional associations and professional corporations authorized by state law to contract with affiliated professionals to delivery teletherapy services to its members, will help ensure the Company is able to comply with all applicable regulatory requirements, including the corporate practice of medicine and fee-splitting laws, that are necessarily implicated by engaging in telehealth care that can only be delivered by physicians. The Company is continuing to transition its current agreements with its clients, members and other business partners to TPN or the PC entities, where applicable.</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MSAs, Talkspace LLC is the manager entity (the “Manager”) and provides management and administrative resources and services essential to the operations of TPN and the PC entities and receives a management fee for these services and reimbursement of expenses incurred. TPN and the PC entities in turn have the obligation under the MSAs to engage all licensed physicians and other health professionals to provide behavioral healthcare services to the Company's members. As of June 30, 2022, the PC entities are not active and no activity has been recorded under these entities.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Company holds a variable interest in TPN. TPN is considered a variable interest entity (“VIE”) under Accounting Standard Codification 810, </w:t>
      </w: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since it does not have sufficient equity to finance its activities without additional subordinated financial support. An entity having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financial interest in a VIE must consolidate the VIE if it has both power and benefits—that is, it has (1) the power to direct the activities of a VIE that most significantly impact the VIE’s economic performance (power) and (2) the obligation to absorb losses of the VIE that potentially could be significant to the VIE or the right to receive benefits from the VIE that potentially could be significant to the VIE (benefits). The Company has the power and rights to control the activities of TPN that most significantly impact TPN's economic performance and the obligation to absorb all losses or the right to receive the benefits from TPN, and as a result TPN is consolidated in the Company’s financial statements. In addition, no non-controlling interest is recorded in respect of TPN as it has a single individual shareholder who has no right to dividends or residual interest.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assets and liabilities of the Company's consolidated VIE: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r>
      <w:tr>
        <w:trPr>
          <w:trHeight w:val="216"/>
        </w:trPr>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43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4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18"/>
                <w:szCs w:val="18"/>
                <w:color w:val="auto"/>
              </w:rPr>
            </w:pPr>
          </w:p>
        </w:tc>
      </w:tr>
      <w:tr>
        <w:trPr>
          <w:trHeight w:val="25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520" w:type="dxa"/>
            <w:vAlign w:val="bottom"/>
          </w:tcPr>
          <w:p>
            <w:pPr>
              <w:spacing w:after="0"/>
              <w:rPr>
                <w:sz w:val="24"/>
                <w:szCs w:val="24"/>
                <w:color w:val="auto"/>
              </w:rPr>
            </w:pPr>
          </w:p>
        </w:tc>
        <w:tc>
          <w:tcPr>
            <w:tcW w:w="434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as “Talkspace,” the “Company,” “we,” “us” or “our” refer to the business of Talkspace, Inc. and its subsidiaries.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2021.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2021 and “Forward-Looking Statements” sections and elsewhere in this Quarterly Report, our actual results may differ materially from those anticipated in these forward-looking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business-to-consumer (“B2C”) channel, comprised of individual consumers who subscribe directly to our platform, and our business-to-business (“B2B”) channel, comprised of large enterprise clients such as Google and Expedia and large health plans and employee assistance programs (“health plan clients”) such as Aetna, Cigna, Premera and Optum (collectively, our “clients”), who offer their employees and insured members access to our platform while their employer is under an active contract with Talkspace, or at in-network reimbursement rates, where applicable.</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2022, we had over 68,700 active members through our B2C and B2B channels, including approximately 20,100 B2C active members, and approximately 77 million B2B eligible lives. For the three and six months ended June 30, 2022, our clinicians completed 96,000 and 186,600 B2B sessions, respectively, related to members covered under our health plan clients, as compared to 66,800 and 120,800 completed B2B sessions for the three and six months ended June 30, 2021, respectively. Please refer to the “Key Business Metrics” section below for a description of active members and B2B eligible lives.</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our business in a single segment and as one reporting unit, which is how our chief operating decision maker (who is our interim chief executive officer) reviews financial performance and allocates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460" w:type="dxa"/>
            <w:vAlign w:val="bottom"/>
            <w:gridSpan w:val="3"/>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60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clients or otherwise indicated)</w:t>
            </w:r>
          </w:p>
        </w:tc>
        <w:tc>
          <w:tcPr>
            <w:tcW w:w="16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B2C active members at period end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Number of B2B eligible lives at period end </w:t>
            </w:r>
            <w:r>
              <w:rPr>
                <w:rFonts w:ascii="Times New Roman" w:cs="Times New Roman" w:eastAsia="Times New Roman" w:hAnsi="Times New Roman"/>
                <w:sz w:val="18"/>
                <w:szCs w:val="18"/>
                <w:i w:val="1"/>
                <w:iCs w:val="1"/>
                <w:color w:val="auto"/>
              </w:rPr>
              <w:t>(in millions)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completed B2B sessions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health plan clients at period end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enterprise clients at period end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8"/>
                <w:szCs w:val="18"/>
                <w:color w:val="auto"/>
              </w:rPr>
            </w:pPr>
          </w:p>
        </w:tc>
      </w:tr>
    </w:tbl>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Active Members: </w:t>
      </w:r>
      <w:r>
        <w:rPr>
          <w:rFonts w:ascii="Times New Roman" w:cs="Times New Roman" w:eastAsia="Times New Roman" w:hAnsi="Times New Roman"/>
          <w:sz w:val="18"/>
          <w:szCs w:val="18"/>
          <w:color w:val="auto"/>
        </w:rPr>
        <w:t>We consider members “active” (i) in the case of our B2C members, commencing on the date such member initiates contact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While a growth in active members typically highlights strong engagement with our members, not all active members are associated with revenue in that particular period.</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B2B Eligible Lives: </w:t>
      </w:r>
      <w:r>
        <w:rPr>
          <w:rFonts w:ascii="Times New Roman" w:cs="Times New Roman" w:eastAsia="Times New Roman" w:hAnsi="Times New Roman"/>
          <w:sz w:val="18"/>
          <w:szCs w:val="18"/>
          <w:color w:val="auto"/>
        </w:rPr>
        <w:t>We consider B2B lives “eligible” if such persons are eligible to receive treatment on the Talkspace platform, in the case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members than we actually serve.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this non-GAAP financial measure to net loss, the most directly comparable financial measure stated in accordance with GAAP. Investors are encouraged to review our GAAP financial measure and the reconciliation of our non-GAAP financial measure to its most directly comparable GAAP financial measure, and not to rely on any single financial measure to evaluate our business.</w:t>
      </w:r>
    </w:p>
    <w:p>
      <w:pPr>
        <w:spacing w:after="0" w:line="18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 interest and other expenses (income), net, (ii) tax expense, (iii) depreciation and amortization, (iv) stock-based compensation expense and (v) certain non-recurring expenses, where applicable</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three and six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5"/>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56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268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697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4"/>
                <w:szCs w:val="14"/>
                <w:color w:val="auto"/>
              </w:rPr>
            </w:pPr>
          </w:p>
        </w:tc>
      </w:tr>
      <w:tr>
        <w:trPr>
          <w:trHeight w:val="268"/>
        </w:trPr>
        <w:tc>
          <w:tcPr>
            <w:tcW w:w="56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Financial expense, net </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23"/>
                <w:szCs w:val="23"/>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Borders>
              <w:bottom w:val="single" w:sz="8" w:color="CFF0FC"/>
            </w:tcBorders>
          </w:tcPr>
          <w:p>
            <w:pPr>
              <w:spacing w:after="0"/>
              <w:rPr>
                <w:sz w:val="18"/>
                <w:szCs w:val="18"/>
                <w:color w:val="auto"/>
              </w:rPr>
            </w:pPr>
          </w:p>
        </w:tc>
      </w:tr>
      <w:tr>
        <w:trPr>
          <w:trHeight w:val="249"/>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-25400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 w:lineRule="exact"/>
        <w:rPr>
          <w:sz w:val="20"/>
          <w:szCs w:val="20"/>
          <w:color w:val="auto"/>
        </w:rPr>
      </w:pPr>
    </w:p>
    <w:p>
      <w:pPr>
        <w:jc w:val="both"/>
        <w:ind w:firstLine="8"/>
        <w:spacing w:after="0" w:line="253" w:lineRule="auto"/>
        <w:tabs>
          <w:tab w:leader="none" w:pos="218"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six months ended June 30, 2022, financial expense, net, primarily consisted of $2.1 million and $1.2 million, respectively, in losses resulting from the revaluation of warrant liabilities. For the three months ended June 30, 2021, financial expense, net, primarily consisted of $4.0 million in warrant issuance costs related to the closure of the Business Combination, partially offset by $1.4 million in gains resulting from the revaluation of warrant liabilities. For the six months ended June 30, 2021, financial expense, net, primarily consisted of $4.0 million in warrant issuance costs related to the closure of the Business Combination, partially offset by $1.2 million in gains resulting from the revaluation of warrant liabilities.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generate revenues from the sale of monthly, quarterly, bi-annual and annual membership subscriptions to our therapy platform as well as supplementary a la carte offerings, payments from members and their respective insurance companies and annually contracted platform access fees paid to us by our enterprise clients for the delivery of therapy services to their members or employees. We recognize B2C member subscription revenues ratably over the subscription period, beginning when therapy services commence. B2C members may cancel at any time and will receive a pro-rata refund for the subscription price.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 contracted revenue from our enterprise clients from the commencement of their contracted term through the annual period based primarily on a per-member-per month model. We recognize revenues from services provided to insured members at a point in time, as virtual therapy session is rendered. Revenue is recognized in an amount that reflects the consideration that is expected in exchange for the service. Contracts with our enterprise clients are for one or more years with the ability to provide 60 days advance notice prior to termination at each anniversary during the term. On occasion and depending on the client, we allow a 60 or 90 day intra-year termination notice but only after the client has completed the first year of service.</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growth is generated from increasing our eligible covered lives through contracting with enterprise clients and health plans, and increasing membership subscriptions.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is comprised of therapist payments and hosting costs. Cost of revenues is largely driven by the size of our provider network that is required to service the growth of our customer base, in addition to the growth of our health plan and enterprise clients.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broad authority to approve the payment of incentive bonuses to providers with certain licenses during periods of higher demand for providers with such licenses. For our employee providers, they receive a fixed-salary and discretionary bonuses, where applicable.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expect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aforementioned factors.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employee provider headcount was 252 as of June 30, 2022, as compared to 227 as of June 30,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 of research and development, clinical operations, sales and marketing, and general and administrative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corporate employee headcount was 239 as of June 30, 2022, as compared to 185 as of June 30,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software-related costs, and cost savings related to the application of research grant proceeds.</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research and development expenses will increase on an absolute dollar basis as we continue to grow our platform and product offerings; however, anticipated future revenue growth is expected to result in lower research and development expenses as a percentage of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clinical operations expenses will increase on an absolute dollar basis as we continue to grow our provider network and product offerings; however, anticipated future revenue growth is expected to result in lower clinical operations expenses as a percentage of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 We expect our sales expenses to increase as we continue to invest in the expansion of our health plan and enterprise business. We expect to hire additional sales personnel and related account management personnel to properly service our increasing client base, to develop additional growth opportunities within existing clients and to develop new market opportunities.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consumer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9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Consumer marketing expenses are primarily driven by investments to grow and retain our consumer base and may fluctuate as a percentage of our total revenue from period to period due to the timing and extent of our advertising and marketing expenses.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our executive,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related to our compliance and reporting obligations as a public company. We also anticipate that as we continue to grow as a company our general and administrative expenses will increase on an absolute dollar basis. However, we expect our general and administrative expenses to decrease as a percentage of our total revenue over the next several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expense, net</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expense, net includes the impact from (i) non-cash changes in the fair value of our warrant liabilities, (ii) issuance costs related to our warrant liabilities, (iii) interest earned on cash equivalents deposited in our bank accounts and (iv) other financial expenses in connection with bank charges.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taxes on income consists primarily of foreign income taxes related to income generated by our subsidiary organized under the laws of Israel. If we expand the scale of our international business activities, any changes in the U.S. and foreign taxation of such activities may increase our overall provision for income taxes in the future.</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six months ended June 30, 2022 and 2021 and the dollar and percentage change between the respective periods: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4"/>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6"/>
                <w:szCs w:val="16"/>
                <w:color w:val="auto"/>
              </w:rPr>
              <w:t>Unaudited</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jc w:val="center"/>
              <w:ind w:left="544"/>
              <w:spacing w:after="0" w:line="142" w:lineRule="exact"/>
              <w:rPr>
                <w:sz w:val="20"/>
                <w:szCs w:val="20"/>
                <w:color w:val="auto"/>
              </w:rPr>
            </w:pPr>
            <w:r>
              <w:rPr>
                <w:rFonts w:ascii="Times New Roman" w:cs="Times New Roman" w:eastAsia="Times New Roman" w:hAnsi="Times New Roman"/>
                <w:sz w:val="16"/>
                <w:szCs w:val="16"/>
                <w:color w:val="auto"/>
              </w:rPr>
              <w:t>Unaudited</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share and per share data)</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29,844</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30,983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(1,139 )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(3.7 )</w:t>
            </w: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59,994</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58,140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1,854</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revenues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15,297</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30,426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21,511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14,547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19,286</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(4,739 )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(24.6 )</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29,568</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36,629</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(7,061 )</w:t>
            </w:r>
          </w:p>
        </w:tc>
        <w:tc>
          <w:tcPr>
            <w:tcW w:w="2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(19.3 )</w:t>
            </w: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4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5"/>
                <w:szCs w:val="15"/>
                <w:color w:val="auto"/>
              </w:rPr>
              <w:t>Research and development,</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5,576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4,781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10,611</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7,745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2,866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Clinical operations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Sales and marketing</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18,931</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26,443</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(7,512 )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(28.4 )</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40,339</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48,694</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(8,355 )</w:t>
            </w:r>
          </w:p>
        </w:tc>
        <w:tc>
          <w:tcPr>
            <w:tcW w:w="2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(17.2 )</w:t>
            </w:r>
          </w:p>
        </w:tc>
        <w:tc>
          <w:tcPr>
            <w:tcW w:w="0" w:type="dxa"/>
            <w:vAlign w:val="bottom"/>
          </w:tcPr>
          <w:p>
            <w:pPr>
              <w:spacing w:after="0"/>
              <w:rPr>
                <w:sz w:val="1"/>
                <w:szCs w:val="1"/>
                <w:color w:val="auto"/>
              </w:rPr>
            </w:pPr>
          </w:p>
        </w:tc>
      </w:tr>
      <w:tr>
        <w:trPr>
          <w:trHeight w:val="189"/>
        </w:trPr>
        <w:tc>
          <w:tcPr>
            <w:tcW w:w="20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8,792</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13,710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(4,918 )</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(35.9 )</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16,802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35,615</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46,847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(11,232 )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(24.0 )</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71,844</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76,747</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(4,903 )</w:t>
            </w:r>
          </w:p>
        </w:tc>
        <w:tc>
          <w:tcPr>
            <w:tcW w:w="2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(6.4 )</w:t>
            </w: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loss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21,068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27,561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42,276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(2,158 )</w:t>
            </w:r>
          </w:p>
        </w:tc>
        <w:tc>
          <w:tcPr>
            <w:tcW w:w="2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(5.4 )</w:t>
            </w: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Financial expense, net</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1,865</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(1,005 )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(35.0 )</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996</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3,043</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(2,047 )</w:t>
            </w:r>
          </w:p>
        </w:tc>
        <w:tc>
          <w:tcPr>
            <w:tcW w:w="2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(67.3 )</w:t>
            </w: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before taxes on income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22,933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43,272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43,161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(111 )</w:t>
            </w:r>
          </w:p>
        </w:tc>
        <w:tc>
          <w:tcPr>
            <w:tcW w:w="2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(0.3 )</w:t>
            </w: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Taxes on income</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790.0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23,022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30,441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2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43,382</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43,179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(203 )</w:t>
            </w:r>
          </w:p>
        </w:tc>
        <w:tc>
          <w:tcPr>
            <w:tcW w:w="2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(0.5 )</w:t>
            </w: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 per share:</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 and Diluted</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w:t>
            </w:r>
          </w:p>
        </w:tc>
        <w:tc>
          <w:tcPr>
            <w:tcW w:w="2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0.28</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4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Weighted average number of</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common shares: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 and Diluted</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155,709,901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26,362,369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154,901,165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20,097,094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decreased by $1.1 million, or 3.7% to $29.8 million for the three months ended June 30, 2022 from $31.0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2021. The decrease was principally due to a 27.6% decrease in B2C revenue, offset by a 47.2% growth in B2B revenue driven by an increase in covered lives from health plan clients and new enterprise clients, and a higher number of completed B2B sessions. B2C member subscriptions revenue decreased by $5.8 million, or 27.6%, to</w:t>
      </w: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$15.3 million for the three months ended June 30, 2022 from $21.1 million for the three months ended June 30, 2021 due in part to reduced marketing spend. Enterprise client contracts increased by 98 clients, or 91.6%, to 205 clients as of June 30, 2022 from 107 clients as of June 30, 2021. This increase in the number of enterprise clients increased revenue by $2.9 million, or 76.3% to $6.7 million for the three months ended June 30, 2022 from $3.8 million for the three months ended June 30, 2021. Revenue, net of reserves, from our health plan clients increased by $1.7 million, or 27.9%, to $7.8 million for the three months ended June 30, 2022 from $6.1 million for the three months ended June 30, 2021. The Company did not record revenue reserves related to receivables from its health plan clients during the three months ended June 30, 2022.</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Revenues increased by $1.9 million, or 3.2% to $60.0 million for the six months ended June 30, 2022, from $58.1 million for the six months ended June 30, 2021. The increase was principally due to a 53.3% growth in B2B revenue driven by an increase in covered lives from health plan clients and new enterprise clients, and a higher number of completed B2B sessions, partially offset by higher revenue reserves on receivables from our existing health plan clients. Enterprise client contracts increased by 98 clients, or 91.6%, to 205 clients as of June 30, 2022 from 107 clients as of June 30, 2021. This increase in the number of enterprise clients increased revenue by $5.2 million, or 73.2% to $12.3 million for the six months ended June 30, 2022 from $7.1 million for the six months ended June 30, 2021. Revenue, net of reserves, from our health plan clients increased by $4.7 million, or 41.6% to $16.0 million for the six months ended June 30, 2022 from $11.3 million for the six months ended June 30, 2021. During the six months ended June 30, 2022, the Company recorded an increase in revenue reserves of $1.0 million related to receivables from its health plan clients. B2C member subscriptions revenue decreased by $8.0 million, or 20.2% to $31.7 million for the six months ended June 30, 2022 from $39.7 million for the six months ended June 30, 2021 due in part to reduced marketing spend, partially offset by a one-time $0.6 million non-cash reversal in deferred revenue associated with customers no longer active on the Company’s platform.</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the appeal of our technology platform, the quality of our providers and the cost of our services will continue to represent the primary drivers of revenue growth from B2B clients and B2C members. The decline in B2C revenue this quarter resulted from an intentional and strategic decision to reduce marketing spend.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Costs of revenues. </w:t>
      </w:r>
      <w:r>
        <w:rPr>
          <w:rFonts w:ascii="Times New Roman" w:cs="Times New Roman" w:eastAsia="Times New Roman" w:hAnsi="Times New Roman"/>
          <w:sz w:val="18"/>
          <w:szCs w:val="18"/>
          <w:color w:val="auto"/>
        </w:rPr>
        <w:t>Cost of revenues increased by $3.6 million, or 30.8%, to $15.3 million for the three months ended June 30, 2022 from $11.7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June 30, 2021, primarily due to costs associated with an increase of employee providers on our platform and higher therapist compensation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increased by $8.9 million, or 41.4%, to $30.4 million for the six months ended June 30, 2022 from $21.5 million for the six months ended June 30, 2021, primarily due to costs associated with an increase of employee providers on our platform and higher therapist compensation expense.</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profit decreased by $4.7 million, or 24.6%, to $14.5 million for the three months ended June 30, 2022 from $19.3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June 30, 2021. This was primarily due to higher cost of revenues due to an increase of employee providers on our platform to support increased demand and higher therapist compensation expense and the 3.7% decrease in revenues. Gross margin (calculated as gross profit as a percentage of revenues) was 48.7% for the three months ended June 30, 2022, compared to 62.2% during the three months ended June 30, 2021. The decrease in gross margin was due primarily to a revenue shift to our B2B business, higher revenue reserves recorded related to our health plan clients and higher therapist compensation expense during the three months ended June 30, 2022.</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Gross profit decreased by $7.1 million, or 19.3%, to $29.6 million for the six months ended June 30, 2022 from $36.6 million for the six months ended June 30, 2021. This was primarily due to an increase in cost of revenues due to an increase of providers on our platform to support our increased demand and higher therapist compensation expense, partially offset by the 3.2% increase in revenues. Gross margin (calculated as gross profit as a percentage of revenues) was 49.3% for the six months ended June 30, 2022, compared to 63.0% during the six months ended June 30, 2021. The decrease in gross margin was due primarily to a revenue shift to our B2B business which generally realize lower margins, higher revenue reserves recorded related to our health plan clients and higher therapist compensation expense during the six months ended June 30, 2022.</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expenses increased by approximately $0.8 million, or 16.6% to $5.6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June 30, 2022 from $4.8 million for the three months ended June 30, 2021. This was primarily due to an increase in employee-related costs, inclusive of non-cash stock compensation expense.</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$2.9 million, or 37.0%, to $10.6 million for the six months ended June 30, 2022 from $7.7 million for the six months ended June 30, 2021. This was primarily due to an increase in employee-related costs, inclusive of non-cash stock compensation expense.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Clinical operations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operations expenses increased by $0.4 million, or 21.1% to $2.3 million for the three months ended June 30,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$1.9 million for the three months ended June 30, 2021. This was primarily due to an increase in employee-related costs, inclusive of non-cash stock compensation expense.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operations expenses increased by $0.1 million, or 2.6% to $4.1 million for the six months ended June 30, 2022 from $4.0 million for the six months ended June 30, 2021. This was primarily due to an increase an increase in employee-related costs, inclusive of non-cash stock compensation expense.</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Sales and marketing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marketing expenses decreased by $7.5 million, or 28.4%, to $18.9 million for the three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from $26.4 million for the three months ended June 30, 2021. The decrease in sales and marketing expenses primarily consisted of a decrease in direct marketing and promotional costs for our B2C business.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and marketing expenses decreased by $8.4 million, or 17.2%, to $40.3 million for the six months ended June 30, 2022 from $48.7 million for the six months ended June 30, 2021. The decrease in sales and marketing expenses primarily consisted of a decrease in direct marketing and promotional costs for our B2C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$4.9 million, or 35.9%, to $8.8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2022 from $13.7 million for the three months ended June 30, 2021. This was driven primarily by a decrease in employee-related costs, inclusive of non-cash stock compensation expense.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$0.5 million, or 3.0%, to $16.8 million for the six months ended June 30, 2022 from $16.3 million for the six months ended June 30, 2021. This was driven primarily by an increase in professional fees and insurance costs, partially offset by a decrease in employee-related costs, inclusive of non-cash stock compensation expense.</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Financial expense, net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expense, net was $1.9 million for the three months ended June 30, 2022, compared to financial expense, net of $2.9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June 30, 2021. For the three months ended June 30, 2022, financial expense, net, primarily consisted of $2.1 million in losses resulting from the revaluation of warrant liabilities. For the three months ended June 30, 2021, financial expense, net, primarily consisted of $4.0 million in warrant issuance costs incurred in connection with the closure of the Business Combination, partially offset by $1.4 million in gains resulting from the revaluation of warrant liabilities.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Financial expense, net was $1.0 million for the six months ended June 30, 2022, compared to financial expense, net of $3.0 million for the six months ended June 30, 2021. For the six months ended June 30, 2022, financial expense, net, primarily consisted of $1.2 million in losses resulting from the revaluation of warrant liabilities. For the six months ended June 30, 2021, financial expense, net, primarily consisted of $4.0 million in warrant issuance costs incurred in connection with the closure of the Business Combination, partially offset by $1.2 million in gains resulting from the revaluation of warrant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2022, we had $166.6 million of cash and cash equivalents ($198.3 million as of December 31, 2021), which were held to finance our operations and support a variety of growth initiatives and investments. We had no debt as of June 30, 2022 or December 31, 2021 and expect to generate operating losses for the foreseeable future.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next twelve months using available cash and cash equivalent balances as of June 30, 2022. However, in the future we may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our ability to continue to grow or support our business and to respond to business challenges could be significantly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condensed consolidated cash flow information for the periods presented: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(33,111 )</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(17,787 )</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(160 )</w:t>
            </w:r>
          </w:p>
        </w:tc>
        <w:tc>
          <w:tcPr>
            <w:tcW w:w="6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(31,634 )</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Net cash used in operating activities was $33.1 million and $17.8 million for the six months ended June 30, 2022 and 2021, respectively. The increase in net cash used in operating activities was driven primarily by the negative impact of the slightly higher net loss during the current-year period, a decrease in non-cash related activity and favorable timing of payments on our accounts payable balances during the same prior-year period, partially offset by the favorable timing on collections of receivables during the current-year period. The higher net loss for the six months ended June 30, 2022 was driven primarily by an increase in cost of revenues and research and development expenses partially offset by a decrease in sales and marketing expenses and expenses related to warrant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six months ended June 30, 2022, compared to $0.4 million for the six months ended June 30, 2021. The change was driven primarily by a decrease in the purchases of computer equipment and software during the six months ended June 30, 2022 compared to the six months ended June 30,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$1.6 million and $253.2 million for the six months ended June 30, 2022 and 2021, respectively. The decrease was primarily driven by $2.3 million of proceeds from the exercise of stock options, partially offset by a $0.6 million payment of accrued liabilities related to the Business Combination during the six months ended June 30, 2022 compared to $251.3 million in proceeds, net of the payment of transaction costs, received in the Business Combination and $1.9 million of proceeds from the exercise of stock options during the six months ended June 30,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did not have any short-term or long-term debt, capital lease obligations, long-term operating lease obligations, or significant long-term liabilities.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for indemnifying clients against liabilities if there is a breach of a client’s data or if our service infringes a third party’s intellectual property rights. To date, we have not incurred any material costs as a result of such indemnifications.</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2021.</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condensed consolidated financial statements. The significant accounting policies used in the preparation of the Company’s consolidated financial statements are summarized in Note 2 to those statements and the notes thereto found in the Company’s Annual Report on Form 10-K for the year ended December 31, 2021.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there were no material changes to matters discussed under the heading “Critical Accounting Policies and Estimates” in Part II, Item 7 of the Company’s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impact on our results can be found in “Part I, Item 1. Financial Statements – Note 2 – Significant Accounting Policies” of this Quarterly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there were no material changes to the information contained in Part II, Item 7A of the Company’s Annual Report on Form 10-K for the year ended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Disclosure Controls and Procedures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the disclosure controls and procedures must reflect the fact that there are resource constraints and that management is required to apply judgment in evaluating the benefits of possible controls and procedures relative to their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at the reasonable assurance level as of June 30, 2022 due to the material weaknesses in our internal control over financial reporting described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a reasonable possibility exists that a material misstatement of our annual or interim financial statements could not be prevented or detected on a timely basis. We have identified material weaknesses in our controls related to the following (a) the aggregation of open control deficiencies across the Company’s financial reporting processes because the controls were not fully designed and operating effectively, (b) not fully designing, implementing and monitoring general information technology controls in the areas of user access and program change-management for systems supporting all of the Company’s internal control processes and (c) our controls on accounting for complex financial instruments such as warrants, did not operate effectively to appropriately apply the provisions of ASC 815-40, resulting in the failure to prevent a material error in our accounting for warrants and the resulting restatement of our previously issued financial statements.</w:t>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on April 12, 2021, the Acting Director of the Division of Corporation Finance and Acting Chief Accountant of the SEC together issued a statement (the “SEC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our warrants and the HEC Forward Purchase Agreement. Following the issuance of the SEC Statement, on May 4, 2021, HEC concluded that it was appropriate to restate its previously issued audited financial statements as of December 31, 2020 and for the period from February 6, 2020 (inception) through December 31, 2020, as well as its financial data as of June 11, 2020, and as part of such process, HEC identified a material weakness in its internal control over financial reporting. As the accounting acquirer in the Business Combination and the successful issuer of the warrants, we inherited this material weakness.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these material weaknesses, we performed additional analysis as deemed necessary to ensure that our financial statements were prepared in accordance with U.S. generally accepted accounting principles. Accordingly, management believes that the financial statements included in this Quarterly Report present fairly in all material respects our financial position, results of operations and cash flows for the periods presented.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Activities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are implementing several actions, as described below, to remediate the material weaknesses described in this Item 4. Management is committed to ensuring that our internal controls over financial reporting are designed and operating effectively.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Reporting</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make progress on our automated and manual business process controls, including reports generated from these IT systems, that are dependent upon the completeness and accuracy of information from the affected ITGC material weakness. We are leveraging these improvements in the design of our future state processes and controls within our new enterprise resource planning (“ERP”) system, which is expected to go live during the second half of 2022.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remediation plan includes, but is not limited to:</w:t>
      </w:r>
    </w:p>
    <w:p>
      <w:pPr>
        <w:spacing w:after="0" w:line="104" w:lineRule="exact"/>
        <w:rPr>
          <w:sz w:val="20"/>
          <w:szCs w:val="20"/>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Frequent communications between our Audit Committee and management regarding our financial reporting and internal control environment;</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expansion of the finance, accounting, reporting and information technology teams through the addition of experienced and qualified resources;</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improvement of the process and controls in the determination of the appropriate accounting and classification of our financial instruments and key agreements;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additional internal controls training, as well as policy and control standardization where possible;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Re-designed internal controls processes as part of our Sarbanes-Oxley program to drive accountability and efficiency;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Instituted monthly review of financial statements to evaluate results, observe adherence to policies and agree on necessary actions;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outside resources to assist with the design and implementation of a risk-based internal controls plan, enhance process documentation, provide company-wide training, and help with management's self-assessment and testing of internal controls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 General Controls (“ITGCs”)</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make progress in advancing foundational elements of our ITGCs as it relates to financial reporting. We are leveraging these foundational elements in the design of our future state processes and controls within our new ERP system. Our remediation plan includes, but is not limited to:</w:t>
      </w:r>
    </w:p>
    <w:p>
      <w:pPr>
        <w:spacing w:after="0" w:line="6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new, relevant IT systems related to our revenue processes and financial reporting;</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improved IT change management policies and procedures, control activities, and tools impacting financial reporting to ensure changes affecting financial IT applications are identified, authorized, tested, and implemented appropriately;</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improved processes for requesting, authorizing, and reviewing user access to key systems which impact our financial reporting, including identifying access to roles where manual business process controls may be required;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appropriate segregation of duties in relevant systems that impact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resources dedicated to monitoring ITGCs related to financial reporting to ensure compliance with policies and procedures; and</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training to ensure a clear understanding of risk assessment and monitoring activities related to automated processes and IT systems and ITGCs related to financial reporting.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Complex accounting requirements (such as warrants)</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intend to address this material weakness by enhancing our processes to identify and appropriately apply applicable accounting requirements to better evaluate our research and understanding of the nuances of the complex accounting standards that apply to our financial statements. We intend to provide enhanced access to accounting literature, research materials and documents and increased communication among our personnel and third-party professionals with whom we consult regarding complex accounting applications. We have also retained the services of a valuation expert to assist in valuation analysis of our warrants on a quarterly basis.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fully implemented and operational, we believe the controls we have designed or plan to design will remediate the control deficiencies that have led to the material weaknesses we have identified and strengthen our internal controls over financial reporting.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the applicable controls operate for a sufficient period of time and management has concluded, through testing, that these controls are operating effectively.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 over financial reporting (as such term is defined in Rules 13a-15(f) and 15d-15(f) of the Exchange Act) during the three and six months ended June 30, 2022 that have materially affected, or are reasonably likely to materially affect, our internal control over financial reporting.</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time-to-time, we are party to various legal proceedings, claims and litigation that arise in the normal course of business. In the opinion of management, the ultimate outcome of these matters will not have a material adverse effect on our financial position, results of operations or cash flows. See Note 5, “Commitments and Contingent Liabilities,” for further details.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under Part I, Item 1A. “Risk Factors” in the Company’s Annual Report on Form 10-K for the year ended December 31, 2021.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six months ended June 30, 2022, there were no material changes to the information contained in Part I, Item 1A of the Company's Annual Report on Form 10-K for the year ended December 31,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76"/>
        </w:trPr>
        <w:tc>
          <w:tcPr>
            <w:tcW w:w="1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Furnished</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gridSpan w:val="3"/>
          </w:tcPr>
          <w:p>
            <w:pPr>
              <w:ind w:left="36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r>
        <w:trPr>
          <w:trHeight w:val="359"/>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13a-14(a)/15d-14(a).</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Borders>
              <w:left w:val="single" w:sz="8" w:color="0000FF"/>
            </w:tcBorders>
          </w:tcPr>
          <w:p>
            <w:pPr>
              <w:spacing w:after="0" w:line="20" w:lineRule="exact"/>
              <w:rPr>
                <w:sz w:val="1"/>
                <w:szCs w:val="1"/>
                <w:color w:val="auto"/>
              </w:rPr>
            </w:pPr>
          </w:p>
        </w:tc>
        <w:tc>
          <w:tcPr>
            <w:tcW w:w="13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3"/>
        </w:trPr>
        <w:tc>
          <w:tcPr>
            <w:tcW w:w="3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Rule 13a-14(a)/15d-14(a).</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3"/>
        </w:trPr>
        <w:tc>
          <w:tcPr>
            <w:tcW w:w="3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13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3"/>
        </w:trPr>
        <w:tc>
          <w:tcPr>
            <w:tcW w:w="3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360" w:type="dxa"/>
            <w:vAlign w:val="bottom"/>
            <w:gridSpan w:val="2"/>
            <w:vMerge w:val="restart"/>
          </w:tcPr>
          <w:p>
            <w:pPr>
              <w:jc w:val="center"/>
              <w:ind w:left="15"/>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74"/>
        </w:trPr>
        <w:tc>
          <w:tcPr>
            <w:tcW w:w="10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15"/>
                <w:szCs w:val="15"/>
                <w:color w:val="auto"/>
              </w:rPr>
            </w:pPr>
          </w:p>
        </w:tc>
        <w:tc>
          <w:tcPr>
            <w:tcW w:w="8740" w:type="dxa"/>
            <w:vAlign w:val="bottom"/>
            <w:gridSpan w:val="4"/>
          </w:tcPr>
          <w:p>
            <w:pPr>
              <w:ind w:left="20"/>
              <w:spacing w:after="0" w:line="174"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are embedded within the Inline XBRL document.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(as formatted as Inline XBRL and contained in Exhibit 101).</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202" w:lineRule="exact"/>
        <w:rPr>
          <w:sz w:val="20"/>
          <w:szCs w:val="20"/>
          <w:color w:val="auto"/>
        </w:rPr>
      </w:pPr>
    </w:p>
    <w:p>
      <w:pPr>
        <w:ind w:left="5340" w:right="3380" w:hanging="6155"/>
        <w:spacing w:after="0" w:line="254" w:lineRule="auto"/>
        <w:tabs>
          <w:tab w:leader="none" w:pos="53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Douglas Braunstein Douglas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-128905</wp:posOffset>
            </wp:positionV>
            <wp:extent cx="32232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178" w:lineRule="exact"/>
        <w:rPr>
          <w:sz w:val="20"/>
          <w:szCs w:val="20"/>
          <w:color w:val="auto"/>
        </w:rPr>
      </w:pPr>
    </w:p>
    <w:p>
      <w:pPr>
        <w:ind w:left="20"/>
        <w:spacing w:after="0"/>
        <w:tabs>
          <w:tab w:leader="none" w:pos="5320" w:val="left"/>
          <w:tab w:leader="none" w:pos="61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Jennifer Fulk</w:t>
      </w: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Braunstein, certify that:</w:t>
      </w:r>
    </w:p>
    <w:p>
      <w:pPr>
        <w:spacing w:after="0" w:line="21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5400" w:right="3420" w:hanging="6155"/>
        <w:spacing w:after="0" w:line="254" w:lineRule="auto"/>
        <w:tabs>
          <w:tab w:leader="none" w:pos="53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Douglas Braunstein Douglas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-128905</wp:posOffset>
            </wp:positionV>
            <wp:extent cx="32232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Fulk, certify that:</w:t>
      </w:r>
    </w:p>
    <w:p>
      <w:pPr>
        <w:spacing w:after="0" w:line="21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380" w:val="left"/>
          <w:tab w:leader="none" w:pos="61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Jennifer Fulk</w:t>
      </w: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June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900" w:hanging="35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5360" w:right="3440" w:hanging="6142"/>
        <w:spacing w:after="0" w:line="254" w:lineRule="auto"/>
        <w:tabs>
          <w:tab w:leader="none" w:pos="53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Douglas Braunstein Douglas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-128905</wp:posOffset>
            </wp:positionV>
            <wp:extent cx="32315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June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900" w:hanging="35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380" w:val="left"/>
          <w:tab w:leader="none" w:pos="61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Jennifer Fulk</w:t>
      </w: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2022-08-09T17:07:47Z</dcterms:created>
  <dcterms:modified xsi:type="dcterms:W3CDTF">2022-08-09T17:07:47Z</dcterms:modified>
</cp:coreProperties>
</file>