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3"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9"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59" w:lineRule="exact"/>
        <w:rPr>
          <w:sz w:val="24"/>
          <w:szCs w:val="24"/>
          <w:color w:val="auto"/>
        </w:rPr>
      </w:pPr>
    </w:p>
    <w:p>
      <w:pPr>
        <w:ind w:left="388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HUDSON EXECUTIVE INVESTMENT CORP.</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1"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tcPr>
          <w:p>
            <w:pPr>
              <w:jc w:val="center"/>
              <w:ind w:left="1610"/>
              <w:spacing w:after="0"/>
              <w:rPr>
                <w:sz w:val="20"/>
                <w:szCs w:val="20"/>
                <w:color w:val="auto"/>
              </w:rPr>
            </w:pPr>
            <w:r>
              <w:rPr>
                <w:rFonts w:ascii="Arial" w:cs="Arial" w:eastAsia="Arial" w:hAnsi="Arial"/>
                <w:sz w:val="14"/>
                <w:szCs w:val="14"/>
                <w:b w:val="1"/>
                <w:bCs w:val="1"/>
                <w:color w:val="auto"/>
                <w:w w:val="94"/>
              </w:rPr>
              <w:t>Delaware</w:t>
            </w: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jc w:val="center"/>
              <w:ind w:right="1890"/>
              <w:spacing w:after="0"/>
              <w:rPr>
                <w:sz w:val="20"/>
                <w:szCs w:val="20"/>
                <w:color w:val="auto"/>
              </w:rPr>
            </w:pPr>
            <w:r>
              <w:rPr>
                <w:rFonts w:ascii="Arial" w:cs="Arial" w:eastAsia="Arial" w:hAnsi="Arial"/>
                <w:sz w:val="14"/>
                <w:szCs w:val="14"/>
                <w:b w:val="1"/>
                <w:bCs w:val="1"/>
                <w:color w:val="auto"/>
                <w:w w:val="90"/>
              </w:rPr>
              <w:t>84-4636604</w:t>
            </w:r>
          </w:p>
        </w:tc>
        <w:tc>
          <w:tcPr>
            <w:tcW w:w="0" w:type="dxa"/>
            <w:vAlign w:val="bottom"/>
          </w:tcPr>
          <w:p>
            <w:pPr>
              <w:spacing w:after="0"/>
              <w:rPr>
                <w:sz w:val="1"/>
                <w:szCs w:val="1"/>
                <w:color w:val="auto"/>
              </w:rPr>
            </w:pPr>
          </w:p>
        </w:tc>
      </w:tr>
      <w:tr>
        <w:trPr>
          <w:trHeight w:val="135"/>
        </w:trPr>
        <w:tc>
          <w:tcPr>
            <w:tcW w:w="3860" w:type="dxa"/>
            <w:vAlign w:val="bottom"/>
            <w:gridSpan w:val="2"/>
          </w:tcPr>
          <w:p>
            <w:pPr>
              <w:jc w:val="center"/>
              <w:ind w:left="1630"/>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4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0" w:type="dxa"/>
            <w:vAlign w:val="bottom"/>
          </w:tcPr>
          <w:p>
            <w:pPr>
              <w:jc w:val="center"/>
              <w:ind w:right="1890"/>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860" w:type="dxa"/>
            <w:vAlign w:val="bottom"/>
            <w:gridSpan w:val="2"/>
          </w:tcPr>
          <w:p>
            <w:pPr>
              <w:jc w:val="center"/>
              <w:ind w:left="1630"/>
              <w:spacing w:after="0"/>
              <w:rPr>
                <w:sz w:val="20"/>
                <w:szCs w:val="20"/>
                <w:color w:val="auto"/>
              </w:rPr>
            </w:pPr>
            <w:r>
              <w:rPr>
                <w:rFonts w:ascii="Arial" w:cs="Arial" w:eastAsia="Arial" w:hAnsi="Arial"/>
                <w:sz w:val="13"/>
                <w:szCs w:val="13"/>
                <w:b w:val="1"/>
                <w:bCs w:val="1"/>
                <w:color w:val="auto"/>
                <w:w w:val="88"/>
              </w:rPr>
              <w:t>incorporation or organization)</w:t>
            </w: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jc w:val="center"/>
              <w:ind w:right="1890"/>
              <w:spacing w:after="0"/>
              <w:rPr>
                <w:sz w:val="20"/>
                <w:szCs w:val="20"/>
                <w:color w:val="auto"/>
              </w:rPr>
            </w:pPr>
            <w:r>
              <w:rPr>
                <w:rFonts w:ascii="Arial" w:cs="Arial" w:eastAsia="Arial" w:hAnsi="Arial"/>
                <w:sz w:val="13"/>
                <w:szCs w:val="13"/>
                <w:b w:val="1"/>
                <w:bCs w:val="1"/>
                <w:color w:val="auto"/>
                <w:w w:val="89"/>
              </w:rPr>
              <w:t>Identification Number)</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8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2"/>
              </w:rPr>
              <w:t>570 Lexington Avenue, 35th Floor</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80" w:type="dxa"/>
            <w:vAlign w:val="bottom"/>
            <w:gridSpan w:val="4"/>
          </w:tcPr>
          <w:p>
            <w:pPr>
              <w:jc w:val="center"/>
              <w:ind w:right="960"/>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gridSpan w:val="2"/>
          </w:tcPr>
          <w:p>
            <w:pPr>
              <w:jc w:val="center"/>
              <w:ind w:left="434"/>
              <w:spacing w:after="0" w:line="153" w:lineRule="exact"/>
              <w:rPr>
                <w:sz w:val="20"/>
                <w:szCs w:val="20"/>
                <w:color w:val="auto"/>
              </w:rPr>
            </w:pPr>
            <w:r>
              <w:rPr>
                <w:rFonts w:ascii="Arial" w:cs="Arial" w:eastAsia="Arial" w:hAnsi="Arial"/>
                <w:sz w:val="14"/>
                <w:szCs w:val="14"/>
                <w:b w:val="1"/>
                <w:bCs w:val="1"/>
                <w:color w:val="auto"/>
                <w:w w:val="93"/>
              </w:rPr>
              <w:t>(212) 521-8495</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60" w:type="dxa"/>
            <w:vAlign w:val="bottom"/>
            <w:gridSpan w:val="5"/>
          </w:tcPr>
          <w:p>
            <w:pPr>
              <w:jc w:val="center"/>
              <w:ind w:right="460"/>
              <w:spacing w:after="0" w:line="135" w:lineRule="exact"/>
              <w:rPr>
                <w:sz w:val="20"/>
                <w:szCs w:val="20"/>
                <w:color w:val="auto"/>
              </w:rPr>
            </w:pPr>
            <w:r>
              <w:rPr>
                <w:rFonts w:ascii="Arial" w:cs="Arial" w:eastAsia="Arial" w:hAnsi="Arial"/>
                <w:sz w:val="13"/>
                <w:szCs w:val="13"/>
                <w:b w:val="1"/>
                <w:bCs w:val="1"/>
                <w:color w:val="auto"/>
                <w:w w:val="85"/>
              </w:rPr>
              <w:t>(Address, including zip code, of principal executive offices</w:t>
            </w: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6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86"/>
              </w:rPr>
              <w:t>and telephone number, including area code)</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8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9"/>
              </w:rPr>
              <w:t>N/A</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1020" w:type="dxa"/>
            <w:vAlign w:val="bottom"/>
            <w:gridSpan w:val="8"/>
          </w:tcPr>
          <w:p>
            <w:pPr>
              <w:jc w:val="center"/>
              <w:spacing w:after="0"/>
              <w:rPr>
                <w:sz w:val="20"/>
                <w:szCs w:val="20"/>
                <w:color w:val="auto"/>
              </w:rPr>
            </w:pPr>
            <w:r>
              <w:rPr>
                <w:rFonts w:ascii="Arial" w:cs="Arial" w:eastAsia="Arial" w:hAnsi="Arial"/>
                <w:sz w:val="13"/>
                <w:szCs w:val="13"/>
                <w:b w:val="1"/>
                <w:bCs w:val="1"/>
                <w:color w:val="auto"/>
                <w:w w:val="87"/>
              </w:rPr>
              <w:t>(Former name, former address and former fiscal year, if changed since last report)</w:t>
            </w:r>
          </w:p>
        </w:tc>
        <w:tc>
          <w:tcPr>
            <w:tcW w:w="0" w:type="dxa"/>
            <w:vAlign w:val="bottom"/>
          </w:tcPr>
          <w:p>
            <w:pPr>
              <w:spacing w:after="0"/>
              <w:rPr>
                <w:sz w:val="1"/>
                <w:szCs w:val="1"/>
                <w:color w:val="auto"/>
              </w:rPr>
            </w:pPr>
          </w:p>
        </w:tc>
      </w:tr>
      <w:tr>
        <w:trPr>
          <w:trHeight w:val="207"/>
        </w:trPr>
        <w:tc>
          <w:tcPr>
            <w:tcW w:w="7620" w:type="dxa"/>
            <w:vAlign w:val="bottom"/>
            <w:gridSpan w:val="7"/>
          </w:tcPr>
          <w:p>
            <w:pPr>
              <w:jc w:val="center"/>
              <w:ind w:left="3330"/>
              <w:spacing w:after="0"/>
              <w:rPr>
                <w:sz w:val="20"/>
                <w:szCs w:val="20"/>
                <w:color w:val="auto"/>
              </w:rPr>
            </w:pPr>
            <w:r>
              <w:rPr>
                <w:rFonts w:ascii="Arial" w:cs="Arial" w:eastAsia="Arial" w:hAnsi="Arial"/>
                <w:sz w:val="14"/>
                <w:szCs w:val="14"/>
                <w:b w:val="1"/>
                <w:bCs w:val="1"/>
                <w:color w:val="auto"/>
                <w:w w:val="91"/>
              </w:rPr>
              <w:t>Securities registered pursuant to Section 12(b) of the Exchange Act:</w:t>
            </w: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Pr>
          <w:p>
            <w:pPr>
              <w:spacing w:after="0"/>
              <w:rPr>
                <w:sz w:val="15"/>
                <w:szCs w:val="15"/>
                <w:color w:val="auto"/>
              </w:rPr>
            </w:pPr>
          </w:p>
        </w:tc>
        <w:tc>
          <w:tcPr>
            <w:tcW w:w="32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3"/>
              </w:rPr>
              <w:t>Trading</w:t>
            </w:r>
          </w:p>
        </w:tc>
        <w:tc>
          <w:tcPr>
            <w:tcW w:w="3400" w:type="dxa"/>
            <w:vAlign w:val="bottom"/>
          </w:tcPr>
          <w:p>
            <w:pPr>
              <w:jc w:val="center"/>
              <w:ind w:right="70"/>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2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8"/>
              </w:rPr>
              <w:t>Symbol(s)</w:t>
            </w:r>
          </w:p>
        </w:tc>
        <w:tc>
          <w:tcPr>
            <w:tcW w:w="3400" w:type="dxa"/>
            <w:vAlign w:val="bottom"/>
          </w:tcPr>
          <w:p>
            <w:pPr>
              <w:jc w:val="center"/>
              <w:ind w:right="70"/>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19"/>
        </w:trPr>
        <w:tc>
          <w:tcPr>
            <w:tcW w:w="3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Units, each consisting of one share of Class A</w:t>
            </w: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HECCU</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0" w:type="dxa"/>
            <w:vAlign w:val="bottom"/>
            <w:tcBorders>
              <w:top w:val="single" w:sz="8" w:color="auto"/>
            </w:tcBorders>
          </w:tcPr>
          <w:p>
            <w:pPr>
              <w:jc w:val="center"/>
              <w:ind w:right="70"/>
              <w:spacing w:after="0" w:line="119" w:lineRule="exact"/>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149"/>
        </w:trPr>
        <w:tc>
          <w:tcPr>
            <w:tcW w:w="3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common stock and one-half of one redeemable</w:t>
            </w: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warrant</w:t>
            </w: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Class A common stock, par value $0.0001 per share</w:t>
            </w:r>
          </w:p>
        </w:tc>
        <w:tc>
          <w:tcPr>
            <w:tcW w:w="480" w:type="dxa"/>
            <w:vAlign w:val="bottom"/>
          </w:tcPr>
          <w:p>
            <w:pPr>
              <w:spacing w:after="0"/>
              <w:rPr>
                <w:sz w:val="12"/>
                <w:szCs w:val="12"/>
                <w:color w:val="auto"/>
              </w:rPr>
            </w:pPr>
          </w:p>
        </w:tc>
        <w:tc>
          <w:tcPr>
            <w:tcW w:w="328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rPr>
              <w:t>HEC</w:t>
            </w:r>
          </w:p>
        </w:tc>
        <w:tc>
          <w:tcPr>
            <w:tcW w:w="3400" w:type="dxa"/>
            <w:vAlign w:val="bottom"/>
          </w:tcPr>
          <w:p>
            <w:pPr>
              <w:jc w:val="center"/>
              <w:ind w:right="70"/>
              <w:spacing w:after="0" w:line="149" w:lineRule="exact"/>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148"/>
        </w:trPr>
        <w:tc>
          <w:tcPr>
            <w:tcW w:w="3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Warrants, each whole warrant exercisable for one share of</w:t>
            </w:r>
          </w:p>
        </w:tc>
        <w:tc>
          <w:tcPr>
            <w:tcW w:w="480" w:type="dxa"/>
            <w:vAlign w:val="bottom"/>
          </w:tcPr>
          <w:p>
            <w:pPr>
              <w:spacing w:after="0"/>
              <w:rPr>
                <w:sz w:val="12"/>
                <w:szCs w:val="12"/>
                <w:color w:val="auto"/>
              </w:rPr>
            </w:pPr>
          </w:p>
        </w:tc>
        <w:tc>
          <w:tcPr>
            <w:tcW w:w="328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rPr>
              <w:t>HECCW</w:t>
            </w:r>
          </w:p>
        </w:tc>
        <w:tc>
          <w:tcPr>
            <w:tcW w:w="3400" w:type="dxa"/>
            <w:vAlign w:val="bottom"/>
          </w:tcPr>
          <w:p>
            <w:pPr>
              <w:jc w:val="center"/>
              <w:ind w:right="70"/>
              <w:spacing w:after="0" w:line="149" w:lineRule="exact"/>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149"/>
        </w:trPr>
        <w:tc>
          <w:tcPr>
            <w:tcW w:w="3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Class A common stock, each at an exercise price of $11.50</w:t>
            </w: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 share</w:t>
            </w: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340" w:type="dxa"/>
            <w:vAlign w:val="bottom"/>
            <w:gridSpan w:val="3"/>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960" w:type="dxa"/>
            <w:vAlign w:val="bottom"/>
            <w:gridSpan w:val="3"/>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620" w:type="dxa"/>
            <w:vAlign w:val="bottom"/>
            <w:gridSpan w:val="7"/>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w:t>
            </w:r>
          </w:p>
        </w:tc>
        <w:tc>
          <w:tcPr>
            <w:tcW w:w="34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9"/>
        </w:trPr>
        <w:tc>
          <w:tcPr>
            <w:tcW w:w="7620" w:type="dxa"/>
            <w:vAlign w:val="bottom"/>
            <w:gridSpan w:val="7"/>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Exchange Act.</w:t>
            </w:r>
          </w:p>
        </w:tc>
        <w:tc>
          <w:tcPr>
            <w:tcW w:w="340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120" w:right="34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120"/>
        <w:spacing w:after="0" w:line="161" w:lineRule="exact"/>
        <w:tabs>
          <w:tab w:leader="none" w:pos="54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Date File required to be submitted pursuant to Rule 405 of Regulation S-T (Section 232.405 of the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6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120"/>
        <w:spacing w:after="0" w:line="161" w:lineRule="exact"/>
        <w:tabs>
          <w:tab w:leader="none" w:pos="6760" w:val="left"/>
          <w:tab w:leader="none" w:pos="73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left="120" w:right="260"/>
        <w:spacing w:after="0" w:line="255" w:lineRule="auto"/>
        <w:rPr>
          <w:sz w:val="20"/>
          <w:szCs w:val="20"/>
          <w:color w:val="auto"/>
        </w:rPr>
      </w:pPr>
      <w:r>
        <w:rPr>
          <w:rFonts w:ascii="Arial" w:cs="Arial" w:eastAsia="Arial" w:hAnsi="Arial"/>
          <w:sz w:val="13"/>
          <w:szCs w:val="13"/>
          <w:color w:val="auto"/>
        </w:rPr>
        <w:t>The registrant’s Units began trading on the Nasdaq Stock Market LLC on June 9, 2020 and the registrant’s shares of Class A common stock began separate trading on the Nasdaq Stock Market LLC on July 30, 2020. As of March 23, 2021, there were 41,400,000 shares of the Company’s Class A common stock, par value $0.0001, and 10,350,000 shares of the Company’s Class B common stock, par value $0.0001, issued and outstanding. The aggregate market value of the registrant’s shares of Class A common stock outstanding, other than shares held by persons who may be deemed affiliates of the registrant, at December 31, 2020 was $447,534,000, based on a closing price of $10.81 per Class A Common Stock on December 31, 2020.</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3"/>
        </w:trPr>
        <w:tc>
          <w:tcPr>
            <w:tcW w:w="106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5"/>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gridSpan w:val="9"/>
          </w:tcPr>
          <w:p>
            <w:pPr>
              <w:jc w:val="center"/>
              <w:ind w:right="4440"/>
              <w:spacing w:after="0"/>
              <w:rPr>
                <w:sz w:val="20"/>
                <w:szCs w:val="20"/>
                <w:color w:val="auto"/>
              </w:rPr>
            </w:pPr>
            <w:r>
              <w:rPr>
                <w:rFonts w:ascii="Arial" w:cs="Arial" w:eastAsia="Arial" w:hAnsi="Arial"/>
                <w:sz w:val="18"/>
                <w:szCs w:val="18"/>
                <w:color w:val="auto"/>
                <w:w w:val="92"/>
              </w:rPr>
              <w:t>PART I</w:t>
            </w:r>
          </w:p>
        </w:tc>
        <w:tc>
          <w:tcPr>
            <w:tcW w:w="300" w:type="dxa"/>
            <w:vAlign w:val="bottom"/>
          </w:tcPr>
          <w:p>
            <w:pPr>
              <w:spacing w:after="0"/>
              <w:rPr>
                <w:sz w:val="24"/>
                <w:szCs w:val="24"/>
                <w:color w:val="auto"/>
              </w:rPr>
            </w:pPr>
          </w:p>
        </w:tc>
      </w:tr>
      <w:tr>
        <w:trPr>
          <w:trHeight w:val="283"/>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20" w:type="dxa"/>
            <w:vAlign w:val="bottom"/>
            <w:gridSpan w:val="2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260" w:type="dxa"/>
            <w:vAlign w:val="bottom"/>
            <w:gridSpan w:val="2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1B.</w:t>
            </w:r>
          </w:p>
        </w:tc>
        <w:tc>
          <w:tcPr>
            <w:tcW w:w="926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Unresolved Staff Comments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72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79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926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45"/>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gridSpan w:val="9"/>
          </w:tcPr>
          <w:p>
            <w:pPr>
              <w:jc w:val="center"/>
              <w:ind w:right="4420"/>
              <w:spacing w:after="0"/>
              <w:rPr>
                <w:sz w:val="20"/>
                <w:szCs w:val="20"/>
                <w:color w:val="auto"/>
              </w:rPr>
            </w:pPr>
            <w:r>
              <w:rPr>
                <w:rFonts w:ascii="Arial" w:cs="Arial" w:eastAsia="Arial" w:hAnsi="Arial"/>
                <w:sz w:val="18"/>
                <w:szCs w:val="18"/>
                <w:color w:val="auto"/>
                <w:w w:val="95"/>
              </w:rPr>
              <w:t>PART II</w:t>
            </w:r>
          </w:p>
        </w:tc>
        <w:tc>
          <w:tcPr>
            <w:tcW w:w="300" w:type="dxa"/>
            <w:vAlign w:val="bottom"/>
          </w:tcPr>
          <w:p>
            <w:pPr>
              <w:spacing w:after="0"/>
              <w:rPr>
                <w:sz w:val="24"/>
                <w:szCs w:val="24"/>
                <w:color w:val="auto"/>
              </w:rPr>
            </w:pPr>
          </w:p>
        </w:tc>
      </w:tr>
      <w:tr>
        <w:trPr>
          <w:trHeight w:val="283"/>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Market for Registrant’s Common Equity, Related Stockholder Matters and Issuer Purchases of Equity Securities</w:t>
              </w:r>
            </w:hyperlink>
          </w:p>
        </w:tc>
        <w:tc>
          <w:tcPr>
            <w:tcW w:w="1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26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Selected Financial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Management’s Discussion and Analysis of Financial Condition and Results of Operations</w:t>
              </w:r>
            </w:hyperlink>
          </w:p>
        </w:tc>
        <w:tc>
          <w:tcPr>
            <w:tcW w:w="28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490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8.</w:t>
            </w:r>
          </w:p>
        </w:tc>
        <w:tc>
          <w:tcPr>
            <w:tcW w:w="926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9.</w:t>
            </w:r>
          </w:p>
        </w:tc>
        <w:tc>
          <w:tcPr>
            <w:tcW w:w="926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Changes in and Disagreements With Accountants on Accounting and Financial Disclosure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27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50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45"/>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gridSpan w:val="9"/>
          </w:tcPr>
          <w:p>
            <w:pPr>
              <w:jc w:val="center"/>
              <w:ind w:right="4440"/>
              <w:spacing w:after="0"/>
              <w:rPr>
                <w:sz w:val="20"/>
                <w:szCs w:val="20"/>
                <w:color w:val="auto"/>
              </w:rPr>
            </w:pPr>
            <w:r>
              <w:rPr>
                <w:rFonts w:ascii="Arial" w:cs="Arial" w:eastAsia="Arial" w:hAnsi="Arial"/>
                <w:sz w:val="18"/>
                <w:szCs w:val="18"/>
                <w:color w:val="auto"/>
                <w:w w:val="96"/>
              </w:rPr>
              <w:t>PART III</w:t>
            </w:r>
          </w:p>
        </w:tc>
        <w:tc>
          <w:tcPr>
            <w:tcW w:w="300" w:type="dxa"/>
            <w:vAlign w:val="bottom"/>
          </w:tcPr>
          <w:p>
            <w:pPr>
              <w:spacing w:after="0"/>
              <w:rPr>
                <w:sz w:val="24"/>
                <w:szCs w:val="24"/>
                <w:color w:val="auto"/>
              </w:rPr>
            </w:pPr>
          </w:p>
        </w:tc>
      </w:tr>
      <w:tr>
        <w:trPr>
          <w:trHeight w:val="283"/>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Directors, Executive Officers and Corporate Governance</w:t>
              </w:r>
            </w:hyperlink>
          </w:p>
        </w:tc>
        <w:tc>
          <w:tcPr>
            <w:tcW w:w="516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11.</w:t>
            </w:r>
          </w:p>
        </w:tc>
        <w:tc>
          <w:tcPr>
            <w:tcW w:w="926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12.</w:t>
            </w:r>
          </w:p>
        </w:tc>
        <w:tc>
          <w:tcPr>
            <w:tcW w:w="926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19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Principal Accounting Fees and Services</w:t>
              </w:r>
            </w:hyperlink>
          </w:p>
        </w:tc>
        <w:tc>
          <w:tcPr>
            <w:tcW w:w="382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45"/>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gridSpan w:val="9"/>
          </w:tcPr>
          <w:p>
            <w:pPr>
              <w:jc w:val="center"/>
              <w:ind w:right="4420"/>
              <w:spacing w:after="0"/>
              <w:rPr>
                <w:sz w:val="20"/>
                <w:szCs w:val="20"/>
                <w:color w:val="auto"/>
              </w:rPr>
            </w:pPr>
            <w:r>
              <w:rPr>
                <w:rFonts w:ascii="Arial" w:cs="Arial" w:eastAsia="Arial" w:hAnsi="Arial"/>
                <w:sz w:val="18"/>
                <w:szCs w:val="18"/>
                <w:color w:val="auto"/>
                <w:w w:val="97"/>
              </w:rPr>
              <w:t>PART IV</w:t>
            </w:r>
          </w:p>
        </w:tc>
        <w:tc>
          <w:tcPr>
            <w:tcW w:w="300" w:type="dxa"/>
            <w:vAlign w:val="bottom"/>
          </w:tcPr>
          <w:p>
            <w:pPr>
              <w:spacing w:after="0"/>
              <w:rPr>
                <w:sz w:val="24"/>
                <w:szCs w:val="24"/>
                <w:color w:val="auto"/>
              </w:rPr>
            </w:pPr>
          </w:p>
        </w:tc>
      </w:tr>
      <w:tr>
        <w:trPr>
          <w:trHeight w:val="283"/>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15.</w:t>
            </w:r>
          </w:p>
        </w:tc>
        <w:tc>
          <w:tcPr>
            <w:tcW w:w="9260" w:type="dxa"/>
            <w:vAlign w:val="bottom"/>
            <w:gridSpan w:val="2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 Financial Statement Schedules.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100" w:type="dxa"/>
            <w:vAlign w:val="bottom"/>
            <w:tcBorders>
              <w:bottom w:val="single" w:sz="8" w:color="0000EE"/>
            </w:tcBorders>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SIGNATURES</w:t>
              </w:r>
            </w:hyperlink>
          </w:p>
        </w:tc>
        <w:tc>
          <w:tcPr>
            <w:tcW w:w="3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19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POWER OF ATTORNEY</w:t>
              </w:r>
            </w:hyperlink>
          </w:p>
        </w:tc>
        <w:tc>
          <w:tcPr>
            <w:tcW w:w="8760" w:type="dxa"/>
            <w:vAlign w:val="bottom"/>
            <w:gridSpan w:val="2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85"/>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60" w:type="dxa"/>
            <w:vAlign w:val="bottom"/>
            <w:gridSpan w:val="16"/>
          </w:tcPr>
          <w:p>
            <w:pPr>
              <w:ind w:left="4060"/>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Annual Report on Form 10-K includes statements that express our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but the absence of these words does not mean that a statement is not forward-looking. These forward-looking statements include all matters that are not historical facts. They appear in a number of places throughout this Annual Report on Form 10-K and include statements regarding our intentions, beliefs or current expectations concerning, among other things, our Proposed Business Combination with Talkspace (as described further herein) and related matters. Such forward-looking statements are based on available current market material and management’s expectations, beliefs and forecasts concerning future events impacting us.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 this Annual Report on Form 10-K may include, for example, statements about:</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including our Proposed Business Combination with Talkspace;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forward-looking statements contained in this Annual Report on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“Item 1A. Risk Factors.” Should one or more of these risks or uncertainties materialize, or should any of the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7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have filed a registration statement on Form S-4 with the United States Securities and Exchange Commission (the “SEC”), which includes a preliminary proxy statement and a prospectus (the “preliminary proxy statement/prospectus”), and we will file other documents regarding the Proposed Business Combination with Talkspace and the other Transactions (as defined herein). A definitive proxy statement/prospectus will also be sent to our stockholders and Talkspace’s stockholders, seeking any required stockholder approvals. We urge stockholders to carefully read the entire registration statement and proxy statement/prospectus and any other relevant documents filed with the SEC, including any amendments or supplements to these documents, because they contain important information about such transactions, including detailed descriptions of the Transactions and a discussion of historical information and risks relating to the Transactions. The documents filed by us with the SEC may be obtained free of charge at the SEC’s website at www.sec.gov.</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i w:val="1"/>
          <w:iCs w:val="1"/>
          <w:color w:val="auto"/>
        </w:rPr>
        <w:t>References in this Annual Report on Form 10-K to “we,” “us,” “HEC” or the “Company” are to Hudson Executive Investment Corp., a Delaware corporation. References to “management” or our “management team” are to our officers and directors. References to our “sponsor” are to HEC Sponsor LLC, a Delaware limited liability company. References to our “founders” are to the holders of our founder shares. References to “Talkspace” are to Groop Internet Platform, Inc. (d/b/a “Talkspace”), a Delaware corporation. References to “Talkspace, Inc.” are to HEC following the consummation of the Transactions and its name change from Hudson Executive Investment Corp. to Talkspace, Inc. References to our “Board of Directors” are to the board of directors of HEC.</w:t>
      </w:r>
    </w:p>
    <w:p>
      <w:pPr>
        <w:spacing w:after="0" w:line="337"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a blank check company incorporated on February 6, 2020 as a Delaware corporation and formed for the purpose of entering into a merger, share exchange, asset acquisition, stock purchase, recapitalization, reorganization or other similar business combination with one or more businesses or entities, which we refer to throughout this Annual Report on Form 10-K as our initial business combination. To date, our efforts have been limited to organizational activities, completion of our initial public offering (referred to herein as our “Initial Public Offering”) and the evaluation of possible business combinations, and we have neither engaged in any other operations nor generated any revenues. Based on our business activities to date, the Company is a “shell company” as defined under the Exchange Act because we have minimal operations and nominal assets consisting almost entirely of cash held in a trust account. As discussed further herein, on January 12, 2021, we announced that we had entered into a definitive merger agreement with certain entities collectively known as “Talkspace,” and we refer to our proposed merger with Talkspace throughout this Annual Report on Form 10-K as our “Proposed Business Combination.”</w:t>
      </w:r>
    </w:p>
    <w:p>
      <w:pPr>
        <w:spacing w:after="0" w:line="18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Company was co-founded by Hudson Executive Capital LP (“Hudson Executive Capital”), a value-oriented, event-driven investment firm with a focus on, and experience across, the financial services and healthcare sectors, Douglas L. Braunstein, our President and Chairman, and Douglas G. Bergeron, our Chief Executive Officer. Mr. Braunstein is the Founder and a Managing Partner of Hudson Executive Capital and Mr. Bergeron is a Managing Partner. Hudson Executive Capital, which is a member of our sponsor and is our affiliate, was founded in 2015 and has a successful history investing in undervalued domestic small and mid-cap public companies with identified and actionable opportunities for value creation. Since Hudson Executive Capital’s inception, the majority of its employed capital has been focused on financial services and healthcare.</w:t>
      </w:r>
    </w:p>
    <w:p>
      <w:pPr>
        <w:spacing w:after="0" w:line="16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Our corporate website address is https://hudsonexecutive.com. Our website and the information contained on, or that can be accessed through, the website is not deemed to be incorporated by reference in, and is not considered part of, this Annual Report on Form 10-K. Potential and current stockholders should not rely on any such information in making any investment decision with respect to our securities.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February 6, 2020, our sponsor purchased an aggregate of 8,625,000 shares of Class B common stock of the Company, par value $0.0001 per share (“Class B common stock” or “founder shares”), for an aggregate purchase price of $25,000, or approximately $0.0029 per share. Our Class B common stock will automatically convert into shares of Class A common stock of the Company, par value $0.0001 per share (“Class A common stock”), upon the completion of a business combination. On May 20, 2020, our sponsor transferred 25,000 founder shares to Amy Schulman, a director, and on June 3, 2020 our sponsor transferred 25,000 shares to Thelma Duggin, a director, resulting in the sponsor holding an aggregate of 8,575,000 founder shares. On June 8, 2020, we effected a 1:1.2 stock split of our Class B common stock, resulting in an aggregate of 10,350,000 founder shares outstanding of which 10,300,000 were held by our sponsor. The number of founder shares issued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was based on the expectation that the founder shares would represent 20% of the outstanding shares of our Class A common stock and our Class B common stock (collectively, our “common stock”) upon completion of our Initial Public Offering.</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June 11, 2020, we completed our Initial Public Offering of 41,400,000 units at a price of $10.00 per unit (“units”), generating gross proceeds of $414,000,000. Each unit consists of one share of Class A common stock and one-half of one redeemable warrant of the Company (“warrant”). Each whole warrant entitles the holder thereof to purchase one share of Class A common stock for $11.50 per share, subject to certain adjustments and conditions.</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Simultaneously with the closing of the Initial Public Offering, our sponsor purchased an aggregate of 10,280,000 warrants (the “Private Placement Warrants”), each exercisable to purchase one share of Class A common stock for $11.50 per share, at a price of $1.00 per Private Placement Warrant, or $10,280,000 in the aggregate. An aggregate of $414,000,000 from the proceeds of the Initial Public Offering and the Private Placement Warrants was placed in a trust account (the “trust account”) such that the trust account held $414,000,000 at the time of closing of the Initial Public Offering.</w:t>
      </w:r>
    </w:p>
    <w:p>
      <w:pPr>
        <w:spacing w:after="0" w:line="15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July 28, 2020, we announced that, commencing on July 30, 2020, holders of the units sold in our Initial Public Offering may elect to separately trade the Class A common stock and warrants included in the units. Those units not separated will continue to trade on The NASDAQ Capital market (“Nasdaq”) under the symbol “HECCU,” and the Class A common stock and warrants that are separated will trade on the Nasdaq under the symbols “HECC” and “HECCW,” respectively. We did not issue fractional warrants upon separation of the units.</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At December 31, 2020, funds held in the trust account consisted solely of cash and U.S. Treasury Bills. A portion of interest income on the funds held in the trust account may be released to us to pay tax obligations.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Talkspace Merger Agreement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January 12, 2021, we entered into an Agreement and Plan of Merger (the “Merger Agreement”) by and among the Company, Tailwind Merger Sub I, Inc., a Delaware corporation and direct, wholly owned subsidiary of the Company (“First Merger Sub”), Tailwind Merger Sub II, LLC, a Delaware limited liability company and direct, wholly owned subsidiary of the Company (“Second Merger Sub”) and GROOP Internet Platform, Inc. (d/b/a Talkspace), a Delaware corporation (“Talkspace”).</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Pursuant to the Merger Agreement, the parties thereto will enter into a business combination transaction (the “Proposed Business Combination”) by which, (i) First Merger Sub will merge with and into Talkspace with Talkspace being the surviving corporation in the merger (the “First Merger”) and</w:t>
      </w:r>
    </w:p>
    <w:p>
      <w:pPr>
        <w:ind w:left="120" w:right="520" w:hanging="4"/>
        <w:spacing w:after="0" w:line="253" w:lineRule="auto"/>
        <w:tabs>
          <w:tab w:leader="none" w:pos="38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Merger Sub will merge with and into the surviving corporation with Second Merger Sub being the surviving entity in the merger (the “Second Merger” and, together with the First Merger, being collectively referred to as the “Mergers” and, together with the other transactions contemplated by the Merger Agreement, the “Transactions” and the closing of the Transactions, the “Closing”). Following the Proposed Business Combination, the Company will change its name to “Talkspace, Inc.”</w:t>
      </w:r>
    </w:p>
    <w:p>
      <w:pPr>
        <w:spacing w:after="0" w:line="193"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At the effective time of the Mergers (the “Closing Date”), all shares of common stock of Talkspace, par value $0.0001 per share (“Talkspace common stock”), and all vested options exercisable for common stock of Talkspace outstanding as of immediately prior to Closing (“Vested Talkspace Options”) will be cancelled or assumed, as applicable, and converted into the right to receive, at the election of the holders thereof, a number of shares of common stock of Talkspace, Inc., par value $0.0001 per share (“Talkspace, Inc. common stock”), (or, with respect to holders of Vested Talkspace Options, a number of Vested Talkspace Options that are outstanding as of immediately prior to the effective time of the First Merger (the “First Effective Time”) that will be assumed and converted by virtue of the First Merger into an option to purchase shares of Talkspace, Inc. common stock (“Vested HEC Options”)) or a combination of shares of Talkspace, Inc. common stock and cash (or, with respect to holders of Vested Talkspace Options, a combination of Vested HEC Options and cash), in each case, as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5" w:lineRule="auto"/>
        <w:rPr>
          <w:sz w:val="20"/>
          <w:szCs w:val="20"/>
          <w:color w:val="auto"/>
        </w:rPr>
      </w:pPr>
      <w:r>
        <w:rPr>
          <w:rFonts w:ascii="Arial" w:cs="Arial" w:eastAsia="Arial" w:hAnsi="Arial"/>
          <w:sz w:val="16"/>
          <w:szCs w:val="16"/>
          <w:color w:val="auto"/>
        </w:rPr>
        <w:t>adjusted pursuant to the terms of the Merger Agreement, which in the aggregate with any options to acquire shares of Talkspace common stock granted under the 2014 Stock Incentive Plan of Groop Internet Platform, Inc. (“Talkspace Options”), or portion thereof, to the extent such Talkspace Option (or applicable portion thereof) is outstanding and not vested as of immediately prior to the First Effective Time, to be assumed by Talkspace, Inc. and converted into an option to purchase shares of Talkspace, Inc. common stock, will equal the closing merger consideration (the “Closing Merger Consideration”), reduced by certain deductions for the parties’ transaction expenses and $72,000,000 (the “Sponsor Share Amount”). The maximum amount of cash (the “Closing Cash Consideration”) that may be paid to the pre-closing holders of shares of Talkspace stock and Vested Talkspace Options pursuant to the foregoing is equal to (i) the amount of cash held by us in the trust account (after reduction for the aggregate amount of cash payable in respect of any stockholder redemptions), plus (ii) the amounts received by us upon the consummation of the PIPE Investment (as defined below) and the transactions contemplated under the HEC Forward Purchase Agreement (as defined below), minus (iii) $250,000,000, minus (iv) the transaction expenses of the parties to the Merger Agreement. The maximum number of shares (the “Closing Share Consideration”) of Talkspace, Inc. common stock that may be issued to the pre-closing holders of Talkspace stock and Talkspace Options (including shares of Talkspace’s common stock underlying any Talkspace Options on a net exercise basis) pursuant to the foregoing is equal to a number determined by dividing (a)(i) the Closing Merger Consideration minus (ii) the Closing Cash Consideration, minus (iii) the Sponsor Share Amount, minus (iv) the transaction expenses of the parties to the Merger Agreement, by (b) $10.00. At our election, in certain circumstances the Closing Cash Consideration may be reduced (with a corresponding increase to the Closing Share Consideration) to the extent required to ensure that the business combination qualifies for the intended income tax treatment for U.S. federal income tax purposes. However, in no event shall the consideration payable in connection with the Transactions in respect of all outstanding shares of Talkspace stock and Talkspace Options (including shares of Talkspace’s common stock underlying any Talkspace Options on a net exercise basis) exceed (i) an amount in cash equal to the Closing Cash Consideration and (ii) a number of shares of Talkspace, Inc. common stock equal to the Closing Share Consideration.</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contains customary representations and warranties and covenants of the parties thereto.</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Proposed Business Combination is expected to be consummated after receipt of the required approval by our stockholders and the satisfaction or waiver of certain other customary closing conditions, including the receipt of approval for listing on Nasdaq of the shares of Talkspace, Inc. common stock.</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The Merger Agreement contemplates that, at the Closing, Talkspace, Inc., the sponsor and certain former stockholders of Talkspace (the “Talkspace Holders”) will enter into an Amended and Restated Registration Rights Agreement, among Talkspace, Inc., our sponsor and certain former stockholders of Talkspace (the “Registration Rights Agreement”), pursuant to which Talkspace, Inc. will agree to register for resale, pursuant to</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Rule 415 under the Securities Act of 1933, as amended (the “Securities Act”), certain shares of Talkspace, Inc. common stock and other equity securities of Talkspace, Inc. that are held by the parties thereto from time to time.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Talkspace Holders Support Agreement</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connection with the execution of the Merger Agreement, the Company, Talkspace and certain stockholders of Talkspace (the “Requisite Talkspace Stockholders”) entered into the Talkspace holders support agreement (the “Talkspace Holders Support Agreement”). Pursuant to the terms of the Talkspace Holders Support Agreement, the Requisite Talkspace Stockholders agreed to, among other things, (i) vote to adopt and approve, as soon as reasonably practicable after the registration statement in connection with the registration of Talkspace, Inc. common stock is declared effective and delivered or otherwise made available to the stockholders of the Company and Talkspace, and in any event within forty-eight hours after such registration statement is declared effective and delivered or otherwise made available to the stockholders of the Company and Talkspace,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Merger Agreement and the Transactions, in each case, subject to the terms and conditions of the Talkspace Holders Support Agreement, and (ii) take, or cause to be taken, all actions, and cooperate with other parties, to exercise the drag-along rights pursuant to and in accordance with that certain Sixth Amended and Restated Voting Agreement, dated as of May 15, 2019, by and among Talkspace, the Investors and the Key Holders (as such terms are defined therein). Each of the Requisite Talkspace Stockholders acknowledged and agreed to be bound by the transfers restrictions on its lock-up shares during the period of 180 days after the Closing Date, in each case, subject to limited exceptions as set forth in the proposed bylaws of Talkspace, Inc., effective prior to the First Effective Time and the closing of the PIPE Investment.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Sponsor Support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the execution of the Merger Agreement, we, the sponsor, Douglas Braunstein, Douglas Bergeron, Jonathan Dobres, Robert Greifeld, Amy Schulman and Thelma Duggin (the “Insiders”) and Talkspace entered into the Sponsor Support Agreement (the “Sponsor Support Agreement”). Pursuant to the terms of the Sponsor Support Agreement, the Insiders agreed to, among other things, vote to adopt and approve the Merger Agreement and the Transactions, in each case, subject to the terms and conditions of the Sponsor Support Agreement. Each of the Insiders also agreed to certain transfers restrictions on their lock-up shares during the period of 180 days after the Closing Date, in each case, subject to limited exceptions as contemplated thereby.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Agreements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connection with the execution of the Merger Agreement, we entered into subscription agreements with the investors participating in the PIPE Investment (the “PIPE Investors”) (collectively, the “Subscription Agreements”), pursuant to which the PIPE Investors agreed to purchase, in the aggregate, 30,000,000 shares of Talkspace, Inc. common stock at a purchase price of $10.00 per share for an aggregate commitment of $300,000,000 (the “PIPE Investment”). The closings under the Subscription Agreements will occur substantially concurrently with the Closing, subject to, among other things, the satisfaction of each condition precedent to the Closing set forth in the Merger Agreement, all representations and warranties of the Company contained in the Subscription Agreements being true and correct in all material respects at and as of the Closing Date, satisfaction, performance and compliance by the Company and each PIPE Investor in all material respects with the covenants, agreements and conditions contained therein, and no amendment or modification of, or waiver with respect to the Company’s obligation to effect the Closing that would reasonably be expected to materially, adversely and disproportionately, as compared to other PIPE Investors, affect the economic benefits of each PIPE Investor without having received such PIPE Investor’s prior written consent. Additionally, pursuant to the Subscription Agreements, the PIPE Investors agreed to waive any claims that they may have at the Closing or in the future as a result of, or arising out of, the Subscription Agreements against the Company with respect to the trust account.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HEC Forward Purchase Agreement</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connection with the execution of the Merger Agreement, we entered into an amendment to our forward purchase agreement, dated June 8, 2020, between the Company and HEC Master Fund LP (“HEC Fund”). Pursuant to the First Amendment to the HEC Forward Purchase Agreement, dated January 12, 2021, between the Company and HEC Fund (the “HEC Forward Purchase Agreement”), HEC Fund agreed to purchase 2,500,000 forward purchase units (the “Forward Purchase Units”), for $10.00 per unit, or in exchange for an aggregate purchase price of $25,000,000, in a private placement that will close concurrently with the Closing. HEC Fund also agreed to backstop up to $25,000,000 of redemptions by our stockholders. Each Forward Purchase Unit consists of one share of Talkspace, Inc. common stock and one-half of one warrant to purchase one share of Talkspace, Inc. common stock.</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Talkspace, Inc. 2021 Incentive Reward Plan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January 11, 2021, our Board of Directors adopted, subject to stockholder approval, Talkspace, Inc.’s 2021 Incentive Award Plan for the purpose of providing a means through which to enhance the ability to attract, retain and motivate persons who make (or are expected to make) important contributions to Talkspace, Inc. by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providing these individuals with equity ownership opportunities and/or equity-linked compensatory opportunities. Our Board of Directors believes that equity awards are necessary to remain competitive and are essential to recruiting and retaining the highly qualified employees.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Talkspace, Inc. Employee Stock Purchase Plan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January 11, 2021, our Board of Directors adopted, subject to stockholder approval, the Employee Stock Purchase Plan (“ESPP”) for the purpose of providing a means through which to provide employees of Talkspace and its participating subsidiaries with the opportunity to purchase Talkspace, Inc. common stock at a discount through accumulated payroll deductions during successive offering periods. Our Board of Directors believes that the ESPP enhances employees’ sense of participation in performance, aligns their interests with those of stockholders, and is a necessary and powerful incentive and retention tool that benefits stockholders.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Information Regarding Our Proposed Initial Business Combination</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have filed a registration statement on Form S-4 with the SEC, which includes a preliminary proxy statement/prospectus, and we will file other documents regarding the Transactions. A definitive proxy statement/prospectus will also be sent to our stockholders and Talkspace’s stockholders, seeking any required stockholder approvals. We urge stockholders to carefully read the entire registration statement and proxy statement/prospectus and any other relevant documents filed with the SEC, including any amendments or supplements to these documents, because they contain important information about such transactions, including detailed descriptions of the Transactions and a discussion of historical information and risks relating to the Transactions. The documents filed by us with the SEC may be obtained free of charge at the SEC’s website at www.sec.gov.</w:t>
      </w:r>
    </w:p>
    <w:p>
      <w:pPr>
        <w:spacing w:after="0" w:line="16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Other than as specifically discussed, this report does not reflect that we have entered into the Merger Agreement regarding the Proposed Business Combination or the other agreements described above.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Our units, Class A common stock and warrants are registered under the Exchange Act and have reporting obligations, including the requirement that we file annual, quarterly and current reports with the SEC. The SEC’s internet site (http://www.sec.gov) contains such reports, proxy and information statements and other information regarding issuers that file electronically with the SEC. In accordance with the requirements of the Exchange Act, this Annual Report on Form 10-K contains financial statements audited and reported on by our independent registered public accountants.</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Jumpstart Our Business Startups Act of 2012 (the “JOBS Act”). As such, we are eligible to and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6"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 We intend to continue to take advantage of the benefits of this extended transition period.</w:t>
      </w:r>
    </w:p>
    <w:p>
      <w:pPr>
        <w:spacing w:after="0" w:line="16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30th or (2) the date on which we have issued more than $1.0 billion in non-convertible debt securities during the prior three-year period.</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currently maintain our principal executive offices at 570 Lexington Avenue, 35th Floor, New York, NY 10022 and maintain other offices as provided to us by our officers. The cost for this space is included in the $10,000 per-month aggregate fee an affiliate of our sponsor charges us for general secretarial and administrative services pursuant to an administrative services agreement between us and such affiliate of our sponsor. We believe, based on rents and fees for similar services in the relevant areas, that the fee charged by such affiliate of our sponsor is at least as favorable as we could have obtained from an unaffiliated person. We consider our current office space, combined with the other office space otherwise available to our executive officers, adequate for our current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currently have three executive officers. These individuals are not obligated to devote any specific number of hours to the Company’s matters and intend to devote only as much time as they deem necessary to its affairs. We do not intend to have any full-time employees prior to the consummation of a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On February 10, 2021, two purported shareholders of the Company filed actions against us and the members of our Board of Directors relating to the Mergers. On March 10, 2021, our Board of Directors received a shareholder demand letter against us and members of our Board of Directors. In each case, the shareholders allege a variety of disclosure deficiencies in our preliminary proxy statement/prospectus filed in connection with the Transactions and seek disclosures of additional information. The alleged omissions generally relate to (i) certain financial projections; (ii) certain valuation analyses performed by the Company; and (iii) alleged conflicts of interest. Plaintiffs seek to enjoin the forthcoming shareholder vote on the Mergers unless and until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disclose the allegedly omitted material information summarized above. The plaintiffs also seek damages and attorneys’ fees.</w:t>
      </w:r>
    </w:p>
    <w:p>
      <w:pPr>
        <w:spacing w:after="0" w:line="22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 cannot predict the outcome of the lawsuits or demand letter or any others that might be filed subsequent to the date of the filing of this Annual Report on Form 10-K, nor can the Company predict the amount of time and expense that will be required to resolve the lawsuits and demand letter. The Company believes that the lawsuits and demand letter are without merit and intends to vigorously defend against them.</w:t>
      </w:r>
    </w:p>
    <w:p>
      <w:pPr>
        <w:spacing w:after="0" w:line="2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Annual Report on Form 10-K, the prospectus associated with our Initial Public Offering and the registration statement relating to our Proposed Business Combination,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We have filed a registration statement on Form S-4 with the SEC, which includes a preliminary proxy statement and a prospectus, and we will file other documents regarding the Transactions. A definitive proxy statement/prospectus will also be sent to our stockholders and Talkspace’s stockholders, seeking any required stockholder approvals. We urge stockholders to carefully read the entire registration statement and proxy statement/prospectus and any other relevant documents filed with the SEC, including any amendments or supplements to these documents, because they contain important information about such transactions, including detailed descriptions of the Transactions and a discussion of historical information and risks relating to the Transactions. The documents filed by us with the SEC may be obtained free of charge at the SEC’s website at www.sec.gov. Other than as specifically indicated, the risk factors discussed herein do not reflect our entry into the Merger Agreement with respect to the Proposed Business Combination.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 is subject to numerous risks and uncertainties. These risks include, but are not limited to, risks associated with:</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being a newly incorporated company with no operating history and no revenues;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including our Proposed Business Combination with Talkspace, and risks arising from the uncertainty resulting from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public stockholders’ ability exercise redemption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requirement that we complete our initial business combination within a certain time frame;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Nasdaq may delist our security from trading on its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being declared an investment company under the Investment Company Act of 1940 (the “Investment Company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complying with changing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 and the performance of such target business or businesses;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pool of prospective target businesses available to us and the ability of our officers and directors to generate a number of potential business combination opportunities;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additional Class A common stock in connection with a business combination that may dilute the interest of our existing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incentives to our sponsor, officers and directors to complete a business combination to avoid losing their entire investment in us if our initial business combination is not completed;</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additional financing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amend the terms of our warrants in a manner that may be adverse to 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redeem unexpired warrants prior to their exercise;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in our amended and restated certificate of incorporation and Delaware law that may have the effect of inhibiting a takeover of us and discouraging lawsuits against our directors and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Search for, and Consummation of or Inability to Consummate, an Initial Business Combination</w:t>
      </w:r>
    </w:p>
    <w:p>
      <w:pPr>
        <w:spacing w:after="0" w:line="121"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Our stockholders may not be afforded an opportunity to vote on our proposed initial business combination, which means we may complete our initial business combination even though a majority of our stockholders do not support such a combination.</w:t>
      </w:r>
    </w:p>
    <w:p>
      <w:pPr>
        <w:spacing w:after="0" w:line="3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may choose not to hold a stockholder vote to approve our initial business combination if the business combination would not require stockholder approval under applicable law or stock exchange listing requirements. Except for as required by applicable law or stock exchange requirements,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common stock do not approve of the business combination we complete.</w:t>
      </w:r>
    </w:p>
    <w:p>
      <w:pPr>
        <w:spacing w:after="0" w:line="1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may be limited to the exercise of your right to redeem your shares from us for cash.</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Until we enter into an agreement with respect to an initial business combination, you will not be provided with an opportunity to evaluate the specific merits or risks of such initial business combination. Since our Board of Directors may complete a business combination without seeking stockholder approval, the holders of shares of our Class A common stock sold as part of the units in the Initial Public Offering (“public shares”) may not have the right or opportunity to vote on the business combination, unless we seek such stockholder vote. Accordingly, our public stockholders’ only opportunity to affect the investment decision regarding our initial business combination may be limited to exercising their redemption rights within the period of time (which will be at least 20 business days) set forth in our tender offer documents mailed to our public stockholders in which we describe our initial business combination.</w:t>
      </w:r>
    </w:p>
    <w:p>
      <w:pPr>
        <w:spacing w:after="0" w:line="1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founders and management team have agreed to vote in favor of such initial business combination, regardless of how our public stockholders vote.</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Following the completion of our Initial Public Offering, our founders own 20% of our outstanding common stock. Our founders and management team also may from time to time purchase Class A common stock on the open market prior to our initial business combination. Our amended and restated certificate of incorporation (our “certificate of incorporation”) provides that, if we seek stockholder approval of an initial business combination, such initial business combination will be approved if we receive the affirmative vote of a majority of the shares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voted at such meeting, including the founder shares. As a result, assuming the affirmative vote of our founder shares, we would need 15,525,001, or 37.5%, of the 41,400,000 currently outstanding public shares to be voted in favor of an initial business combination in order to have our initial business combination approved (assuming all outstanding shares are voted). Accordingly, if we seek stockholder approval of our initial business combination, the agreement by our founders and management team to vote in favor of our initial business combination will increase the likelihood that we will receive the requisite stockholder approval for such initial business combination.</w:t>
      </w:r>
    </w:p>
    <w:p>
      <w:pPr>
        <w:spacing w:after="0" w:line="188" w:lineRule="exact"/>
        <w:rPr>
          <w:sz w:val="20"/>
          <w:szCs w:val="20"/>
          <w:color w:val="auto"/>
        </w:rPr>
      </w:pPr>
    </w:p>
    <w:p>
      <w:pPr>
        <w:ind w:left="120" w:right="840"/>
        <w:spacing w:after="0" w:line="308" w:lineRule="auto"/>
        <w:rPr>
          <w:sz w:val="20"/>
          <w:szCs w:val="20"/>
          <w:color w:val="auto"/>
        </w:rPr>
      </w:pPr>
      <w:r>
        <w:rPr>
          <w:rFonts w:ascii="Arial" w:cs="Arial" w:eastAsia="Arial" w:hAnsi="Arial"/>
          <w:sz w:val="17"/>
          <w:szCs w:val="17"/>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3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6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In addition, the amount of the deferred underwriting commissions payable to the underwriters of our Initial Public Offering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79" w:lineRule="exact"/>
        <w:rPr>
          <w:sz w:val="20"/>
          <w:szCs w:val="20"/>
          <w:color w:val="auto"/>
        </w:rPr>
      </w:pPr>
    </w:p>
    <w:p>
      <w:pPr>
        <w:ind w:left="120" w:right="140"/>
        <w:spacing w:after="0" w:line="375" w:lineRule="auto"/>
        <w:rPr>
          <w:sz w:val="20"/>
          <w:szCs w:val="20"/>
          <w:color w:val="auto"/>
        </w:rPr>
      </w:pPr>
      <w:r>
        <w:rPr>
          <w:rFonts w:ascii="Arial" w:cs="Arial" w:eastAsia="Arial" w:hAnsi="Arial"/>
          <w:sz w:val="15"/>
          <w:szCs w:val="15"/>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connection with your exercise of redemption rights until we liquidate or you are able to sell your shares in the open market.</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24 months from the closing date of our Initial Public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6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date of our Initial Public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92"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COVID-19 outbreak has resulted in, and a significant outbreak of other infectious diseases could also result in, a global health crisis that could adversely affect economies and financial markets worldwide, and specifically the business of any potential target business with which we consummate a business combination if we are unable to complete the Proposed Business Combination.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if we are unable to complete the Proposed Business Combination will depend on future developments, which are highly uncertain and cannot be predicted, including new information which may emerge concerning the severity of COVID-19 and the actions to contain COVID-19 or treat its impact, among others, including the efficacy and adoption of recently developed vaccines with respect to COVID-19.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8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or third-party financing being unavailable on terms acceptable to us or at all.</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64"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24 months of the closing date of our Initial Public Offering, in which case we would cease all operations except for the purpose of winding up and we would redeem our public shares and liquidate.</w:t>
      </w:r>
    </w:p>
    <w:p>
      <w:pPr>
        <w:spacing w:after="0" w:line="1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not be able to find a suitable target business and complete our initial business combination within 24 months after the closing date of our Initial Public Offering. Our ability to complete our initial business combination may be negatively impacted by general market conditions, volatility in the capital and debt markets and the other risks described herein.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8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founders, directors, executive officers, advisors and their affiliates may elect to purchase shares or public warrants from public stockholders, which may influence a vote on a proposed business combination and reduce the public “float” of our Class A common stock.</w:t>
      </w:r>
    </w:p>
    <w:p>
      <w:pPr>
        <w:spacing w:after="0" w:line="7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founders, directors, executive officers, advisors or their affiliates may purchase shares or public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the event that our sponsor, founders, directors, executive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We expect any</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such purchases will be reported pursuant to Section 13 and Section 16 of the Exchange Act to the extent such purchasers are subject to such reporting requirements.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stockholders seeking to exercise their redemption rights, whether they are record holders or hold their shares in “street name,” to, at the holder’s option, either deliver their stock certificates to our transfer 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w:t>
      </w:r>
    </w:p>
    <w:p>
      <w:pPr>
        <w:spacing w:after="0" w:line="168"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Our public stockholders do not have any rights or interests in funds from the trust account, except under certain limited circumstances. Therefore, to liquidate their investment, shareholders may be forced to sell their public shares or warrants, potentially at a loss.</w:t>
      </w:r>
    </w:p>
    <w:p>
      <w:pPr>
        <w:spacing w:after="0" w:line="1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certificate of incorporation to modify the substance or timing of our obligation to redeem 100% of our public shares if we do not complete our initial business combination within 24 months from the closing date of our Initial Public Offering or with respect to any other material provisions relating to stockholders’ rights or pre-initial business combination activity and (iii) the redemption of our public shares if we do not complete an initial business combination within 24 months from the closing date of our Initial Public Offering, subject to applicable law and as further described herein. In addition, if we do not complete an initial business combination within 24 months from the closing date of our Initial Public Offering, Delaware law may require that we submit a plan of dissolution to our then-existing stockholders for approval prior to the distribution of the proceeds held in our trust account. In that case, public stockholders may be forced to wait beyond 24 months from the closing date of our Initial Public Offering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their investment, public stockholders or warrantholders may be forced to sell their public shares or warrants, potentially at a loss.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If the net proceeds of our Initial Public Offering that are not being held in the trust account are insufficient to allow us to operate for at least the 24 months after the closing date of our Initial Public Offering, it could limit the amount available to fund our search for a target business or businesses and complete our initial business combination, and we would depend on loans from our sponsor or management team to fund our search and to complete our initial business combination.</w:t>
      </w:r>
    </w:p>
    <w:p>
      <w:pPr>
        <w:spacing w:after="0" w:line="7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Of the net proceeds from our Initial Public Offering, approximately $1,178,000 is available to us as of December 31, 2020 outside the trust account to fund our working capital requirements. We believe that, as of December 31, 2020, the funds available to us outside of the trust account are sufficient to allow us to operate for at least the 24 months following the closing date of our initial public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we are required to seek additional capital, we would need to borrow funds from our sponsor, management team or other third parties to operate or may be forced to liquidate. None of our sponsor, members of our management team 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$1.00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do not complete our initial business combination because we do not have sufficient funds available to us, we will be forced to cease operations and liquidate the trust account. Consequently, our public stockholders may only receive an estimated $10.00 per share, or possibly less, with respect to a redemption of their public shares, and our warrants will expire worthless.</w:t>
      </w:r>
    </w:p>
    <w:p>
      <w:pPr>
        <w:spacing w:after="0" w:line="185"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4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The underwriters of our Initial Public Offering did not execute agreements with us waiving such claims to the monies held in the trust account.</w:t>
      </w:r>
    </w:p>
    <w:p>
      <w:pPr>
        <w:spacing w:after="0" w:line="18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do not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public share initially held in the trust account, due to claims of such creditors. Pursuant to the letter agreement which is filed as an exhibit to this Annual Report on Form 10-K,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our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redemption of your public shares. None of our officers or directors will indemnify us for claims by third parties including, without limitation, claims by vendors and prospective target businesses.</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78"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funds held in the trust account could bear a negative rate of interest, which could reduce the aggregate value of the assets held in the trust account such that the per share redemption amount received by public stockholders may be less than your anticipated per share redemption amount.</w:t>
      </w:r>
    </w:p>
    <w:p>
      <w:pPr>
        <w:spacing w:after="0" w:line="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While short-term U.S. government treasury bills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certificate of incorporation, our public stockholders are entitled to receive their pro-rata share of the proceeds held in the trust account, plus any interest income not released to us, net of taxes payable. Negative interest rates could impact the per share redemption amount that may be received by public stockholders.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92"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23"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88" w:lineRule="exact"/>
        <w:rPr>
          <w:sz w:val="20"/>
          <w:szCs w:val="20"/>
          <w:color w:val="auto"/>
        </w:rPr>
      </w:pPr>
    </w:p>
    <w:p>
      <w:pPr>
        <w:ind w:left="120" w:right="600"/>
        <w:spacing w:after="0" w:line="375"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 that we are not currently subject to.</w:t>
      </w:r>
    </w:p>
    <w:p>
      <w:pPr>
        <w:spacing w:after="0" w:line="24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plan is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do not believe that our current or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our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Our securities are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stockholder vote to amend our certificate of incorporation to modify the substance or timing of our obligation to redeem 100% of our public shares if we do not complete our initial business combination within 24 months from the closing of our Initial Public Offering; and (iii) absent an initial business combination within 24 months from the closing of our Initial Public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17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Because we are neither limited to evaluating a target business in a particular industry sector nor have we selected any specific target businesses with which to pursue our initial business combination, holders of our securities will be unable to ascertain the merits or risks of any particular target business’s operations.</w:t>
      </w:r>
    </w:p>
    <w:p>
      <w:pPr>
        <w:spacing w:after="0" w:line="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Our efforts to identify a prospective initial business combination target are not limited to a particular industry, sector or geographic region. While we may pursue an initial business combination opportunity in any industry or sector, we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including financial services. Our certificate of incorporation prohibits us from effectuating a business combination with another blank check company or similar company with nominal operations. Until we select or approach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holders of our securities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holders of our securities that an investment in our securities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72"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b w:val="1"/>
          <w:bCs w:val="1"/>
          <w:i w:val="1"/>
          <w:iCs w:val="1"/>
          <w:color w:val="auto"/>
        </w:rPr>
        <w:t>In evaluating a prospective target business for our initial business combination, our management will rely on the availability of all the funds from the sale of the Forward Purchase Units to be used as part of the consideration to the sellers in the initial business combination. If the sale of the Forward Purchase Units fails to close, we may lack sufficient funds to consummate our initial business combination.</w:t>
      </w:r>
    </w:p>
    <w:p>
      <w:pPr>
        <w:spacing w:after="0" w:line="4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connection with the execution of the Merger Agreement, we entered into an amendment to our forward purchase agreement, dated June 8, 2020, between the Company and HEC Fund. Pursuant to the First Amendment to the HEC Forward Purchase Agreement, HEC Fund agreed to purchase 2,500,000 Forward Purchase Units, for $10.00 per unit, or in exchange for an aggregate purchase price of $25,000,000, in a private placement that will close concurrently with the Closing. HEC Fund also agreed to backstop up to $25,000,000 of redemptions by our stockholders. The proceeds from the sale of these Forward Purchase Units, together with the backstop commitments and amounts available to us from the trust account (after giving effect to any redemptions of public shares) and any other equity or debt financing obtained 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fewer than 5,000,000 Forward Purchase Units may be purchased.</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HEC Fund’s obligation to purchase the Forward Purchase Units will be subject to fulfillment of customary closing conditions, including that our initial business combination must be consummated substantially concurrently with the purchase of the Forward Purchase Units. If the sale of the Forward Purchase Units does not close for any reason, including by reason of the failure to fund the purchase price, for example, we may lack sufficient funds to consummate our initial business combination.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seek business combination opportunities in industries or sectors that may be outside of our management’s areas of expertise.</w:t>
      </w:r>
    </w:p>
    <w:p>
      <w:pPr>
        <w:spacing w:after="0" w:line="12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holders of our securities that we will adequately ascertain or assess all of the significant risk factors. We also cannot assure investors that an investment in our securities will not ultimately prove to be less favorable than a direct investment, if an opportunity were available, in a business combination candidate.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intense competition and difficulties in obtaining and retaining key personnel.</w:t>
      </w:r>
    </w:p>
    <w:p>
      <w:pPr>
        <w:spacing w:after="0" w:line="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we decide to obtain stockholder approval for business or other legal reasons, it may be more difficult for us to attain stockholder approval of our initial business combination if the target business does not meet our general criteria and guidelines.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185" w:lineRule="exact"/>
        <w:rPr>
          <w:sz w:val="20"/>
          <w:szCs w:val="20"/>
          <w:color w:val="auto"/>
        </w:rPr>
      </w:pPr>
    </w:p>
    <w:p>
      <w:pPr>
        <w:ind w:left="120" w:right="600"/>
        <w:spacing w:after="0" w:line="375"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accounting or investment banking firm, and consequently, you may have no assurance from an independent source that the price we are paying for the business is fair to our stockholders from a financial point of view.</w:t>
      </w:r>
    </w:p>
    <w:p>
      <w:pPr>
        <w:spacing w:after="0" w:line="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accounting firm or independent investment banking firm which is a member of FINRA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188"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b w:val="1"/>
          <w:bCs w:val="1"/>
          <w:i w:val="1"/>
          <w:i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certificate of incorporation. Any such issuances would dilute the interest of our stockholders and likely present other risks.</w:t>
      </w:r>
    </w:p>
    <w:p>
      <w:pPr>
        <w:spacing w:after="0" w:line="8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Our certificate of incorporation authorizes the issuance of up to 380,000,000 shares of Class A common stock, par value $0.0001 per share, 20,000,000 shares of Class B common stock, par value $0.0001 per share,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and 1,000,000 shares of preferred stock, par value $0.0001 per share. At December 31, 2020, there were 338,600,000 and 9,650,000 authorized but unissued shares of Class A common stock and Class B common stock, respectively, available for issuance. Class B common stock is automatically convertible into Class A common stock concurrently with or immediately following the consummation of our initial business combination, initially at a one-for-one ratio but subject to adjustment as set forth herein and in our certificate of incorporation. At December 31, 2020, there were no shares of preferred stock issued and outstanding.</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to redeem the warrants or upon conversion of the Class B common stock at a ratio greater than one-to-one at the time of our initial business combination as a result of the anti-dilution provisions as set forth therein. However, our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 (b) to approve an amendment to our certificate of incorporation to (x) extend the time we have to consummate a business combination beyond 24 months from the closing of our Initial Public Offering or</w:t>
      </w:r>
    </w:p>
    <w:p>
      <w:pPr>
        <w:spacing w:after="0" w:line="2" w:lineRule="exact"/>
        <w:rPr>
          <w:sz w:val="20"/>
          <w:szCs w:val="20"/>
          <w:color w:val="auto"/>
        </w:rPr>
      </w:pPr>
    </w:p>
    <w:p>
      <w:pPr>
        <w:ind w:left="120" w:right="240" w:hanging="4"/>
        <w:spacing w:after="0" w:line="290" w:lineRule="auto"/>
        <w:tabs>
          <w:tab w:leader="none" w:pos="375" w:val="left"/>
        </w:tabs>
        <w:numPr>
          <w:ilvl w:val="0"/>
          <w:numId w:val="9"/>
        </w:numPr>
        <w:rPr>
          <w:rFonts w:ascii="Arial" w:cs="Arial" w:eastAsia="Arial" w:hAnsi="Arial"/>
          <w:sz w:val="17"/>
          <w:szCs w:val="17"/>
          <w:color w:val="auto"/>
        </w:rPr>
      </w:pPr>
      <w:r>
        <w:rPr>
          <w:rFonts w:ascii="Arial" w:cs="Arial" w:eastAsia="Arial" w:hAnsi="Arial"/>
          <w:sz w:val="17"/>
          <w:szCs w:val="17"/>
          <w:color w:val="auto"/>
        </w:rPr>
        <w:t>amend the foregoing provisions. These provisions of our certificate of incorporation, like all provisions of our certificate of incorporation, may be amended with a stockholder vote. The issuance of additional shares of common stock or shares of preferred stock:</w:t>
      </w:r>
    </w:p>
    <w:p>
      <w:pPr>
        <w:spacing w:after="0" w:line="66" w:lineRule="exact"/>
        <w:rPr>
          <w:rFonts w:ascii="Arial" w:cs="Arial" w:eastAsia="Arial" w:hAnsi="Arial"/>
          <w:sz w:val="17"/>
          <w:szCs w:val="17"/>
          <w:color w:val="auto"/>
        </w:rPr>
      </w:pPr>
    </w:p>
    <w:p>
      <w:pPr>
        <w:ind w:left="1080" w:hanging="42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existing investors;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Unlike some other similarly structured special purpose acquisition companies, our founders will receive additional shares of Class A common stock if we issue certain shares to consummate an initial business combination.</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the forward purchase shares but not the forward purchase warrants),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This is different than some other similarly structured special purpose acquisition companies in which the founders are only issued an aggregate of 20% of the total number of shares to be outstanding prior to an initial business combination.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7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178"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b w:val="1"/>
          <w:bCs w:val="1"/>
          <w:i w:val="1"/>
          <w:iCs w:val="1"/>
          <w:color w:val="auto"/>
        </w:rPr>
        <w:t>We may only be able to complete one business combination with the proceeds of our Initial Public Offering, the sale of the Private Placement Warrants and the sale of the Forward Purchase Units, which will cause us to be solely dependent on a single business which may have a limited number of products or services. This lack of diversification may negatively impact our operations and profitability.</w:t>
      </w:r>
    </w:p>
    <w:p>
      <w:pPr>
        <w:spacing w:after="0" w:line="4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net proceeds from our Initial Public Offering and the private placement of warrants provided us with $414,000,000 that we may use to complete our initial business combination (after taking into account deferred underwriting commissions being held in the trust account). The proceeds from the sale of the Forward Purchase Units will provide us an additional $50,000,000. 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74"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ind w:left="120" w:right="160"/>
        <w:spacing w:after="0" w:line="375"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4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7"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6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any shares in connection with such initial business combination, all shares of Class A common stock submitted for redemption will be returned to the holders thereof, and we instead may search for an alternate business combination.</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certificate of incorporation or governing instruments in a manner that will make it easier for us to complete our initial business combination that our stockholders may not support.</w:t>
      </w:r>
    </w:p>
    <w:p>
      <w:pPr>
        <w:spacing w:after="0" w:line="7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certificate of incorporation requires us to provide our public stockholders with the opportunity to redeem their public shares for cash if we propose an amendment to our certificate of incorporation to modify the substance or timing of our obligation to redeem 100% of our public shares if we do not complete an initial business combination within 24 months of the closing date of our Initial Public Offering or with respect to any other material provisions relating to stockholders’ rights or pre-initial business combination activity. We cannot assure you that we will not seek to amend our charter or governing instruments or extend the time to consummate an initial business combination in order to effectuate our initial business combination.</w:t>
      </w:r>
    </w:p>
    <w:p>
      <w:pPr>
        <w:spacing w:after="0" w:line="168" w:lineRule="exact"/>
        <w:rPr>
          <w:sz w:val="20"/>
          <w:szCs w:val="20"/>
          <w:color w:val="auto"/>
        </w:rPr>
      </w:pPr>
    </w:p>
    <w:p>
      <w:pPr>
        <w:ind w:left="120" w:right="20"/>
        <w:spacing w:after="0" w:line="327" w:lineRule="auto"/>
        <w:rPr>
          <w:sz w:val="20"/>
          <w:szCs w:val="20"/>
          <w:color w:val="auto"/>
        </w:rPr>
      </w:pPr>
      <w:r>
        <w:rPr>
          <w:rFonts w:ascii="Arial" w:cs="Arial" w:eastAsia="Arial" w:hAnsi="Arial"/>
          <w:sz w:val="15"/>
          <w:szCs w:val="15"/>
          <w:b w:val="1"/>
          <w:bCs w:val="1"/>
          <w:i w:val="1"/>
          <w:iCs w:val="1"/>
          <w:color w:val="auto"/>
        </w:rPr>
        <w:t>The provisions of our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certificate of incorporation to facilitate the completion of an initial business combination that some of our stockholders may not support.</w:t>
      </w:r>
    </w:p>
    <w:p>
      <w:pPr>
        <w:spacing w:after="0" w:line="3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certificate of incorporation provides that any of its provisions related to pre-business combination activity (including the requirement to deposit proceeds of our Initial Public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certificate of incorporation may be amended by holders of a majority of our outstanding common stock entitled to vote thereon, subject to applicable provisions of the Delaware General Corporation Law (“DGCL”) or applicable stock exchange rules. Our founders, who collectively beneficially own 20% of our common stock, may participate in any vote to amend our certificate of incorporation and/or trust agreement and will have the discretion to vote in any manner they choose. As a result, we may be able to amend the provisions of our certificate of incorporation which govern our pre-business combination behavior more easily than some other special purpose acquisition companies, and this may increase our ability to complete a business combination with which our stockholders do not agree. Our stockholders may pursue remedies against us for any breach of our certificate of incorporation.</w:t>
      </w:r>
    </w:p>
    <w:p>
      <w:pPr>
        <w:spacing w:after="0" w:line="17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sponsor, executive officers, directors and director nominees have agreed, pursuant to written agreements with us, that they will not propose any amendment to our certificate of incorporation to modify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substance or timing of our obligation to redeem 100% of our public shares if we do not complete our initial business combination within 24 months from the closing date of our Initial Public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(net of permitted withdrawals),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agreements entered into in connection with our Initial Public Offering may be amended without stockholder approval.</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Each of the agreements entered into in connection with our Initial Public Offering to which we are a party, other than the warrant agreement and the investment management trust agreement, may be amended without stockholder approval. Such agreements include the letter agreement among us and our founders, sponsor, officers and directors; the registration rights agreement among us and our founders; the Private Placement Warrants purchase agreement between us and our sponsor; and the administrative services agreement among us, our sponsor and an affiliate of our sponsor. These agreements contain various provisions that our public stockholders might deem to be material. For example, our letter agreement contains certain lock-up provisions with respect to the founder shares, Private Placement Warrants and other securities held by our founders,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founders selling their securities earlier than they would otherwise be permitted, which may have an adverse effect on the price of our securities.</w:t>
      </w:r>
    </w:p>
    <w:p>
      <w:pPr>
        <w:spacing w:after="0" w:line="17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7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Although we believe that the net proceeds from our Initial Public Offering and the sale of the Private Placement Warrants and the forward purchase securities will be sufficient to allow us to complete our initial business combination, we cannot ascertain the capital requirements for any particular transaction. If the net proceeds from our Initial Public Offering and the sale of the Private Placement Warrants and the forward purchase securities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cannot assure you that such financing will be available on acceptable terms, if at all. The current economic environment has made it especially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do not complete our initial business combination, our public stockholders may only receive their pro rata portion of the funds in the trust account that are available for distribution to public 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located outside of the United States, we would be subject to a variety of additional risks that may adversely affect us.</w:t>
      </w:r>
    </w:p>
    <w:p>
      <w:pPr>
        <w:spacing w:after="0" w:line="6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Securities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the funds in our trust account distributed to our public stockholders upon the redemption of our public shares in the event we do not complete our initial business combination within 24 months from the closing date of our Initial Public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24th month from the closing date of our Initial Public Offering in the event we do not complete our initial business combination and, therefore, we do not intend to comply with the foregoing procedures.</w:t>
      </w:r>
    </w:p>
    <w:p>
      <w:pPr>
        <w:spacing w:after="0" w:line="18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the funds in our trust account distributed to our public stockholders upon the redemption of our public shares in the event we do not complete our initial business combination within 24 months from the closing date of our Initial Public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6"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You will not be permitted to exercise your warrants unless we register and qualify the underlying Class A common stock or certain exemptions are available.</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issuance of the Class A common stock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common stock included in the units.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not registering the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84"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our shares of Class A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7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84"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Holders of warrants may only be able to exercise their public warrants on a “cashless basis” under certain circumstances, and if they do so, they will receive fewer shares of Class A common stock from such exercise than if they were to exercise such warrants for cash.</w:t>
      </w:r>
    </w:p>
    <w:p>
      <w:pPr>
        <w:spacing w:after="0" w:line="3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warrant agreement provides that in the following circumstances holders of warrants who seek to exercise their warrants will not be permitted to do so for cash and will, instead, be required to do so on a cashless basis in accordance with Section 3(a)(9) of the Securities Act: (i) if the shares of Class A common stock issuable upon exercise of the warrants are not registered under the Securities Act in accordance with the terms of the warrant agreement; (ii) if we have so elected and the shares of Class A common stock is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shares of Class A common stock (as defined in the next sentence) over the exercise price of the warrants by (y) the fair market value. The “fair market value” is the average reported closing price of the shares of Class A common stock for the 10 trading days ending on the third trading day prior to the date on which the notice of exercise is received by the warrant agent or on which the notice of redemption is sent to the holders of warrants, as applicable. As a result, warrant holders would receive fewer shares of Class A common stock from such exercise than if they were to exercise such warrants for cash.</w:t>
      </w:r>
    </w:p>
    <w:p>
      <w:pPr>
        <w:spacing w:after="0" w:line="16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average global market capitalization and a minimum number of holders of our securities. Additionally, in connection with our initial business combination, we will be required to demonstrate compliance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 million. We cannot assure you that we will be able to meet those initial listing requirements at that time.</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Class A common stock and warrants are currently listed on Nasdaq, our units, Class A common stock and warrants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our securities are not be entitled to protections normally afforded to investors of many other blank check companies.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we have net tangible assets in excess of $5,000,000 and timely filed a Current Report on Form 8-K after the closing date of our Initial Public Offering,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we will have a longer period of time to complete our initial business combination than do companies subject to Rule 419. Moreover, if we became subject to Rule 419, that rule would prohibit the release of any interest earned on funds held in the trust account to us unless and until the funds in the trust account were released to us in connection with our completion of an initial business combination.</w:t>
      </w:r>
    </w:p>
    <w:p>
      <w:pPr>
        <w:spacing w:after="0" w:line="16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76"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certificate of incorporation provides that a public stockholder, together with any affiliate of such stockholder or any other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person with whom such stockholder is acting in concert or as a “group” (as defined under Section 13 of the Exchange Act), will be restricted from seeking redemption rights with respect to more than an aggregate of 20% of the shares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92" w:lineRule="exact"/>
        <w:rPr>
          <w:sz w:val="20"/>
          <w:szCs w:val="20"/>
          <w:color w:val="auto"/>
        </w:rPr>
      </w:pPr>
    </w:p>
    <w:p>
      <w:pPr>
        <w:ind w:left="120" w:right="100"/>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do not complete our initial business combination, our public stockholders may receive only their pro rata portion of the funds in the trust account that are available for distribution to public stockholders, and our warrants will expire worthless.</w:t>
      </w:r>
    </w:p>
    <w:p>
      <w:pPr>
        <w:spacing w:after="0" w:line="23"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do not complete our initial business combination, our public stockholders may receive only their pro rata portion of the funds in the trust account that are available for distribution to public stockholders, and our warrants will expire worthless.</w:t>
      </w:r>
    </w:p>
    <w:p>
      <w:pPr>
        <w:spacing w:after="0" w:line="17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Although we do not intend to issue any notes or other debt securities, or to otherwise incur outstanding debt,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93" w:lineRule="exact"/>
        <w:rPr>
          <w:sz w:val="20"/>
          <w:szCs w:val="20"/>
          <w:color w:val="auto"/>
        </w:rPr>
      </w:pPr>
    </w:p>
    <w:p>
      <w:pPr>
        <w:ind w:left="1080" w:right="5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2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founders control a substantial interest in us and thus may exert a substantial influence on actions requiring a stockholder vote, potentially in a manner that you do not support.</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founders own 20% of our issued and outstanding common stock. Accordingly, they may exert a substantial influence on actions requiring a stockholder vote, potentially in a manner that you do not support, including amendments to our certificate of incorporation. If our founders purchase any additional Class A common stock in the market or in privately negotiated transactions, this would increase their control. Neither our founders nor, to our knowledge, any of our officers or directors, have any current intention to purchase additional securities, other than as disclosed in this Annual Report on Form 10-K.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 of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founders, because of their ownership position, will have considerable influence regarding the outcome. Accordingly, our founders will continue to exert control at least until the completion of our initial business combination. The forward purchase shares will not be issued until completion of our initial business combination, and, accordingly, will not be included in any stockholder vote until such time.</w:t>
      </w:r>
    </w:p>
    <w:p>
      <w:pPr>
        <w:spacing w:after="0" w:line="18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79"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the prospectus related to our Initial Public Offering, (ii) adjusting the provisions relating to cash dividends on shares of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15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capitalizations, reorganizations, recapitalizations and the like) for any 20 trading days within a 30-trading day period ending on the third trading day prior to proper notice of such redemption provided that on the date we give notice of redemption. We will not redeem the warrants unless an effective registration statement under the Securities Act covering the shares of Class A common stock issuable upon exercise of the warrants is effective and a current prospectus relating to those shares of Class A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holders of the warrants to (i) exercise their warrants and pay the exercise price therefor at a time when it may be disadvantageous for them to do so, (ii) sell their warrants at the then-current market price when they might otherwise wish to hold their warrants or (iii) accept the nominal redemption price which, at the time the outstanding warrants are called for redemption, is likely to be substantially less than the market value of their warrants. None of the Private Placement Warrants will be redeemable by us for cash so long as they are held by their initial purchasers or their permitted transferees.</w:t>
      </w:r>
    </w:p>
    <w:p>
      <w:pPr>
        <w:spacing w:after="0" w:line="18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warrants may have an adverse effect on the market price of our shares of Class A common stock and make it more difficult to effectuate our initial business combination.</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connection with our Initial Public Offering, we issued warrants to purchase 20,700,000 Class A common shares and an aggregate of 10,280,000 Private Placement Warrants, each exercisable to purchase one share of Class A common stock at $11.50 per share, subject to adjustments. In addition, if our sponsor or an affiliate of our sponsor or certain of our officers and directors makes any working capital loans, such lender may convert those loans into up to an additional 1,500,000 Private Placement Warrants, at the price of $1.00 per warrant. To the extent we issue common stock to effectuate a business transaction, the potential for the issuance of a substantial number of additional shares of Class A common stock upon exercise of these warrants could make us a less attractive acquisition vehicle to a target business. Such warrants, when exercised, will increase the number of issued and outstanding shares of Class A common stock and reduce the value of the Class A common stock issued to complete the business transaction. Therefore, our warrants may make it more difficult to effectuate a business transaction or increase the cost of acquiring the target business.</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6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may be unable to provide such financial statements in time for us to disclose such statements in accordance with federal proxy rules and complete our initial business combination within the prescribed time frame.</w:t>
      </w:r>
    </w:p>
    <w:p>
      <w:pPr>
        <w:spacing w:after="0" w:line="170"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Delaware law may inhibit a takeover of us, which could limit the price investors might be willing to pay in the future for our shares of Class A common stock and could entrench management.</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The grant of registration rights to our founders and holders of our Private Placement Warrants and forward purchase securities may make it more difficult to complete our initial business combination, and the future exercise of such rights may adversely affect the market price of our shares of Class A common stock.</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Pursuant to the registration rights agreement which was entered into in connection with the closing of our Initial Public Offering and is filed as exhibit to this Annual Report on Form 10-K, our founders and their permitted transferees can demand that we register the shares of Class A common stock into which founder shares are convertible, holders of our Private Placement Warrants and their permitted transferees can demand that we register the Private Placement Warrants and the Class A common stock issuable upon exercise of the Private Placement Warrants, holders of our forward purchase securities and their permitted transferees can demand that we register the forward purchase shares and the forward purchase warrants (and the underlying Class A common stock) and holders of warrants that may be issued upon conversion of working capital loans may demand that we register such warrants or the Class A common stock issuable upon conversion of such warrants. The registration rights will be exercisable with respect to the founder shares and the Private Placement Warrants and the Class A common stock issuable upon exercise of such Private Placement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Class A common stock that is expected when the shares of common stock owned by our founders, holders of our Private Placement Warrants, holders of our working capital loans or holders of our forward purchase securities or their respective permitted transferees are registered.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Management Team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upon our executive officers and directors and their loss could adversely affect our ability to operate.</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78"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We may engage our sponsor or an affiliate of our sponsor as an advisor or otherwise with respect to our business combinations and certain other transactions. Any fee in connection with such engagement may be conditioned upon the completion of such transactions. This financial interest in the completion of such transactions may influence the advice such entity provides.</w:t>
      </w:r>
    </w:p>
    <w:p>
      <w:pPr>
        <w:spacing w:after="0" w:line="5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We may engage our sponsor or an affiliate of our sponsor as an advisor or otherwise in connection with our initial business combination and certain other transactions and pay such entity a fee in an amount that constitutes a market standard for comparable transactions. Pursuant to any such engagement, such entity may earn its fee upon closing of the initial business combination. The payment of such fee would likely be conditioned upon the completion of the initial business combination. Therefore, such entities may have additional financial interests in the completion of the initial business combination. These financial interests may influence the advice such entity provides us, which advice would contribute to our decision on whether to pursue a business combination with any particular target.</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6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63"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88"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5"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49" w:lineRule="exact"/>
        <w:rPr>
          <w:sz w:val="20"/>
          <w:szCs w:val="20"/>
          <w:color w:val="auto"/>
        </w:rPr>
      </w:pPr>
    </w:p>
    <w:p>
      <w:pPr>
        <w:jc w:val="both"/>
        <w:ind w:left="120" w:right="80"/>
        <w:spacing w:after="0" w:line="375" w:lineRule="auto"/>
        <w:rPr>
          <w:sz w:val="20"/>
          <w:szCs w:val="20"/>
          <w:color w:val="auto"/>
        </w:rPr>
      </w:pPr>
      <w:r>
        <w:rPr>
          <w:rFonts w:ascii="Arial" w:cs="Arial" w:eastAsia="Arial" w:hAnsi="Arial"/>
          <w:sz w:val="15"/>
          <w:szCs w:val="15"/>
          <w:b w:val="1"/>
          <w:bCs w:val="1"/>
          <w:i w:val="1"/>
          <w:i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Our executive officers and directors are not required to, and do not, commit their full time to our affairs, which may result in a conflict of interest in allocating their time between our operations and our search for a business combination and their other businesses. We currently do not and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“Item 10. Directors, Executive Officers and Corporate Governance” of this Annual Report on Form 10-K.</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security holders and their respective affiliates may have competitive pecuniary interests that conflict with our interests.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or we may acquire a target business through an affiliated joint acquisition with one or more affiliates of Hudson Executive Capital and/or one or more investors in Hudson Executive Capital or one of its affiliates.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9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92"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Since our sponsor, executive officers and directors will lose their entire investment in us if our initial business combination is not completed (other than with respect to public shares they may acquire during or after our Initial Public Offering), a conflict of interest may arise in determining whether a particular business combination target is appropriate for our initial business combination.</w:t>
      </w:r>
    </w:p>
    <w:p>
      <w:pPr>
        <w:spacing w:after="0" w:line="57"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On February 14, 2020, our sponsor purchased an aggregate of 8,625,000 founder shares in exchange for a capital contribution of $25,000, or approximately $0.0029 per share. On June 8, 2020, we effected a 1:1.2 stock split of our Class B Common Stock, resulting in an aggregate of</w:t>
      </w:r>
    </w:p>
    <w:p>
      <w:pPr>
        <w:ind w:left="120"/>
        <w:spacing w:after="0" w:line="267" w:lineRule="auto"/>
        <w:rPr>
          <w:sz w:val="20"/>
          <w:szCs w:val="20"/>
          <w:color w:val="auto"/>
        </w:rPr>
      </w:pPr>
      <w:r>
        <w:rPr>
          <w:rFonts w:ascii="Arial" w:cs="Arial" w:eastAsia="Arial" w:hAnsi="Arial"/>
          <w:sz w:val="17"/>
          <w:szCs w:val="17"/>
          <w:color w:val="auto"/>
        </w:rPr>
        <w:t>10,350,000 founder shares outstanding of which 10,300,000 were held by our sponsor.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our Initial Public Offering would be a maximum of 41,400,000 units, and therefore that such founder shares would represent 20% of the outstanding shares after our Initial Public Offering. As a result of the underwriter’s election to fully exercise their over-allotment option, 1,350,000 founder shares are no longer subject to forfeiture and our sponsor maintained its holding of 10,300,000 founder shares. The founder shares will be worthless if we do not complete an initial business combination. In addition, our sponsor purchased an aggregate of 10,280,000 Private Placement Warrants, each exercisable for one share of Class A common stock at $11.50 per share, subject to adjustments, for an aggregate purchase price of $10,280,000, or $1.00 per warrant,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from the closing date of our Initial Public Offering nears, which is the deadline for our completion of an initial business combination.</w:t>
      </w:r>
    </w:p>
    <w:p>
      <w:pPr>
        <w:spacing w:after="0" w:line="18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6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recent months, 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generally increased and the terms of such policies have generally become less favorable. These trends may continue into the future.</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Related to Legal Proceedings and Potential Conflicts of Interest</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Legal proceedings in connection with the Proposed Business Combination, the outcomes of which are uncertain, could delay or prevent the completion of the Proposed Business Combination.</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connection with the Proposed Business Combination, certain of our stockholders have filed lawsuits and other stockholders have threatened to file lawsuits alleging breaches of fiduciary duty and violations of the disclosure requirements of the Exchange Act. We intend to defend the matters vigorously. These cases are in the early stages and we are unable to reasonably determine the outcome or estimate any potential losses, and, as such, have not recorded a loss contingency.</w:t>
      </w:r>
    </w:p>
    <w:p>
      <w:pPr>
        <w:spacing w:after="0" w:line="18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Additional lawsuits may be filed against us or our directors and officers in connection with the Proposed Business Combination. Defending such additional lawsuits could require us to incur significant costs and draw the attention of our management team away from the Proposed Business Combination. Further, the defense or settlement of any lawsuit or claim that remains unresolved at the time the Proposed Business Combination is consummated may adversely affect the post-combination company’s business, financial condition, results of operations and cash flows. Such legal proceedings could delay or prevent the business combination from becoming effective within the agreed upon timeframe.</w:t>
      </w:r>
    </w:p>
    <w:p>
      <w:pPr>
        <w:spacing w:after="0" w:line="176"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Our sponsor and directors and officers and their respective affiliates are also not prohibited from sponsoring, investing or otherwise becoming involved with, any other blank check companies, including in connection with their initial business combinations, prior to us completing our initial business combination. Mr. Braunstein and Mr. Bergeron have formed and are actively engaged in Hudson Executive Investment Corp. II (“HEIC II”), a special purpose acquisition company, which completed its initial public offering in January 2021, and Hudson Executive Investment Corp. III (“HEIC III”), a special purpose acquisition company, which completed its initial public offering in February 2021. Additionally, certain of our other officers and directors serve as officers and directors of HEIC II and HEIC III and owe fiduciary duties under applicable law to HEIC II and HEIC III. Accordingly, they may have conflicts of interest in determining to which entity a particular business opportunity should be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presented. In addition, certain of our founders, officers and directors presently have, and any of them in the future may have additional, fiduciary and contractual duties to other entities, including without limitation, HEIC II, HEIC III, investment funds, accounts and co-investment vehicles. Accordingly, subject to their fiduciary duties under applicable law, if any of our officers or directors becomes aware of an acquisition opportunity which is suitable for an entity to which they have then current fiduciary or contractual obligations, they will need to honor their fiduciary or contractual obligations to present such acquisition opportunity to such entity, and only present it to us if such entity rejects the opportunity. These conflicts may not be resolved in our favor and a potential target business may be presented to another entity prior to its presentation to us. Our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For a complete discussion of our executive officers’ and directors’ business affiliations and the potential conflicts of interest that you should be aware of, please see “Item 10. Directors, Executive Officers and Corporate Governance” of this Annual Report on Form 10-K.</w:t>
      </w:r>
    </w:p>
    <w:p>
      <w:pPr>
        <w:spacing w:after="0" w:line="17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6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affiliated with our sponsor, executive officers, directors or existing holders. Our directors also serve as officers and board members for other entities, including, without limitation, those described under “Item 10. Directors, Executive Officers and Corporate Governance” in this Annual Report on Form 10-K. Such entities, including HEIC II and HEIC III,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which is a member of FINRA or an independent accounting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9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Moreover, we may pursue an affiliated joint acquisition opportunity with one or more affiliates of Hudson Executive Capital and/or one or more investors in Hudson Executive Capital or one of its affiliates. Any such parties may co-invest with us in the target business at the time of our initial business combination, or we could raise additional proceeds to complete the business combination by issuing to such parties a class of equity or equity-linked securities. Accordingly, such persons or entities may have a conflict between their interests and ours.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are a blank check company with no operating history and no revenues, and you have a limited basis on which to evaluate our ability to achieve our business objective.</w:t>
      </w:r>
    </w:p>
    <w:p>
      <w:pPr>
        <w:spacing w:after="0" w:line="6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are a blank check company established under the laws of the State of Delaware with no operating results and minimal operating history. Because we lack a substantial operating history, you have a limited basis upon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which to evaluate our ability to achieve our business objective of completing our initial business combination. We may not be able to complete a business combination. If we fail to complete our initial business combination, we will never generate any operating revenues.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Past performance by our management team and their affiliates may not be indicative of future performance of an investment in us.</w:t>
      </w:r>
    </w:p>
    <w:p>
      <w:pPr>
        <w:spacing w:after="0" w:line="1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 or businesses associated with them as indicative of our future performance of an investment in us or the returns we will, or is likely to, generate going forward.</w:t>
      </w:r>
    </w:p>
    <w:p>
      <w:pPr>
        <w:spacing w:after="0" w:line="18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4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completed fiscal year and the market value of our common stock held by non-affiliates exceeds $700 million as of the prior June 30th. To the extent we take advantage of such reduced disclosure obligations, it may also make comparison of our financial statements with other public companies difficult or impossible.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Provisions in our certificate of incorporation and Delaware law may have the effect of discouraging lawsuits against our directors and officers.</w:t>
      </w:r>
    </w:p>
    <w:p>
      <w:pPr>
        <w:spacing w:after="0" w:line="14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certificate of incorporation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w:t>
      </w:r>
    </w:p>
    <w:p>
      <w:pPr>
        <w:spacing w:after="0" w:line="1" w:lineRule="exact"/>
        <w:rPr>
          <w:sz w:val="20"/>
          <w:szCs w:val="20"/>
          <w:color w:val="auto"/>
        </w:rPr>
      </w:pPr>
    </w:p>
    <w:p>
      <w:pPr>
        <w:ind w:left="120" w:hanging="4"/>
        <w:spacing w:after="0" w:line="270" w:lineRule="auto"/>
        <w:tabs>
          <w:tab w:leader="none" w:pos="4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action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78"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Notwithstanding the foregoing, our certificate of incorporation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1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339"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currently maintain our principal executive offices at 570 Lexington Avenue, 35th Floor, New York, NY 10022 and maintain other offices as provided to us by our officers. The cost for this space is included in the $10,000 per-month aggregate fee an affiliate of our sponsor charges us for general secretarial and administrative services pursuant to an administrative services agreement between us and such affiliate of our sponsor. We believe, based on rents and fees for similar services in the relevant areas, that the fee charged by such affiliate of our sponsor is at least as favorable as we could have obtained from an unaffiliated person. We consider our current office space, combined with the other office space otherwise available to our executive officers, adequate for our current operations.</w:t>
      </w:r>
    </w:p>
    <w:p>
      <w:pPr>
        <w:spacing w:after="0" w:line="337"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On February 10, 2021, two purported shareholders of the Company filed actions against us and the members of our Board of Directors relating to the Mergers. On March 10, 2021, our Board of Directors received a shareholder demand letter against us and members of our Board of Directors. In each case, the shareholders allege a variety of disclosure deficiencies in our preliminary proxy statement/prospectus filed in connection with the Transactions and seek disclosures of additional information. The alleged omissions generally relate to (i) certain financial projections; (ii) certain valuation analyses performed by the Company; and (iii) alleged conflicts of interest. Plaintiffs seek to enjoin the forthcoming shareholder vote on the Mergers unless and until we disclose the allegedly omitted material information summarized above. The plaintiffs also seek damages and attorneys’ fees.</w:t>
      </w:r>
    </w:p>
    <w:p>
      <w:pPr>
        <w:spacing w:after="0" w:line="19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 cannot predict the outcome of the lawsuits or demand letter or any others that might be filed subsequent to the date of the filing of this Annual Report on Form 10-K, nor can the Company predict the amount of time and expense that will be required to resolve the lawsuits and demand letter. The Company believes that the lawsuits and demand letter are without merit and intends to vigorously defend against them.</w:t>
      </w:r>
    </w:p>
    <w:p>
      <w:pPr>
        <w:spacing w:after="0" w:line="2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right="11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120" w:right="100" w:firstLine="440"/>
        <w:spacing w:after="0" w:line="263" w:lineRule="auto"/>
        <w:rPr>
          <w:sz w:val="20"/>
          <w:szCs w:val="20"/>
          <w:color w:val="auto"/>
        </w:rPr>
      </w:pPr>
      <w:r>
        <w:rPr>
          <w:rFonts w:ascii="Arial" w:cs="Arial" w:eastAsia="Arial" w:hAnsi="Arial"/>
          <w:sz w:val="18"/>
          <w:szCs w:val="18"/>
          <w:color w:val="auto"/>
        </w:rPr>
        <w:t>Our units began trading on Nasdaq under the symbol “HECCU” on June 9, 2020. On July 28, 2020, we announced that holders of our units could elect to separately trade the Class A common stock and warrants included in the units. On July 30, 2020, our Class A common stock and warrants became available for separate trading on Nasdaq under the symbols “HECC” and “HECCW”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At March 23, 2021, there was 1 holder of record of our units, 1 holder of record of our separately traded Class A common stock, 3 holders of record of our Class B common stock, and 1 holder of record of our separately traded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have not paid any cash dividends on our Class A common stock to date and do not intend to pay cash dividends prior to the completion of our initial business combination. The payment of cash dividends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In addition, our Board of Directors is not currently contemplating and does not anticipate declaring stock dividends in the foreseeable future. Further, if we incur any indebtedness in connection with our initial business combination, our ability to declare dividends may be limited by restrictive covenants we may agree to in connection therewith.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following table summarizes selected historical financial data and should be read in conjunction with our audited financial statements and the notes related thereto which are included in “Item 8. Financial Statements and Supplementary Data” of this Annual Report on Form 10-K.</w:t>
      </w:r>
    </w:p>
    <w:p>
      <w:pPr>
        <w:spacing w:after="0" w:line="15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For the Period from</w:t>
            </w:r>
          </w:p>
        </w:tc>
      </w:tr>
      <w:tr>
        <w:trPr>
          <w:trHeight w:val="148"/>
        </w:trPr>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February 6, 2020</w:t>
            </w:r>
          </w:p>
        </w:tc>
      </w:tr>
      <w:tr>
        <w:trPr>
          <w:trHeight w:val="148"/>
        </w:trPr>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(inception) through</w:t>
            </w:r>
          </w:p>
        </w:tc>
      </w:tr>
      <w:tr>
        <w:trPr>
          <w:trHeight w:val="171"/>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(1,776,306)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(1,558,095)</w:t>
            </w: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loss per share, Class B non-redeemable common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stock</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(0.15)</w:t>
            </w:r>
          </w:p>
        </w:tc>
      </w:tr>
      <w:tr>
        <w:trPr>
          <w:trHeight w:val="369"/>
        </w:trPr>
        <w:tc>
          <w:tcPr>
            <w:tcW w:w="5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As of</w:t>
            </w:r>
          </w:p>
        </w:tc>
      </w:tr>
      <w:tr>
        <w:trPr>
          <w:trHeight w:val="171"/>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5"/>
              </w:rPr>
              <w:t>December 31, 2020</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Cash</w:t>
            </w:r>
          </w:p>
        </w:tc>
        <w:tc>
          <w:tcPr>
            <w:tcW w:w="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1,178,377</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414,228,281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415,525,183</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39,439,372</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5,000,003</w:t>
            </w:r>
          </w:p>
        </w:tc>
      </w:tr>
    </w:tbl>
    <w:p>
      <w:pPr>
        <w:spacing w:after="0" w:line="33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that involve risks and uncertainties.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filed a registration statement on Form S-4 with the SEC, which includes the preliminary proxy statement/prospectus, and we will file other documents regarding the Transactions. A definitive proxy statement/prospectus will also be sent to our stockholders and Talkspace’s stockholders, seeking any required stockholder approvals. We urge stockholders to carefully read the entire registration statement and proxy statement/prospectus and any other relevant documents filed with the SEC, including any amendments or supplements to</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60"/>
          </w:cols>
          <w:pgMar w:left="32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these documents, because they contain important information about the proposed transactions, including detailed descriptions of the Transactions and a discussion of historical information and risks relating to the Transactions. The documents filed by us with the SEC may be obtained free of charge at the SEC’s website at www.sec.gov.</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are a blank check company incorporated on February 6, 2020 as a Delaware corporation and formed for the purpose of effecting a merger, capital stock exchange, asset acquisition, stock purchase, reorganization or similar business combination with one or more target businesses. We intend to effectuate our initial business combination using cash from the proceeds of our Initial Public Offering, the sale of the Private Placement Warrants that occurred simultaneously with the completion of our Initial Public Offering and the sale of the Forward Purchase Units, the sale of shares in a private placement to certain investors (including the PIPE Investment), shares issued to the owners of the target, debt issued to bank or other lenders or the owners of the target, or a combination of the foregoing.</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12, 2021, we entered into the Merger Agreement.</w:t>
      </w:r>
    </w:p>
    <w:p>
      <w:pPr>
        <w:spacing w:after="0" w:line="22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Pursuant to the Merger Agreement, the parties thereto will enter into the Proposed Business Combination by which, (i) First Merger Sub will merge with and into the Company with the Company being the surviving corporation in the First Merger and (ii) Second Merger Sub will merge with and into the surviving corporation with Second Merger Sub being the surviving entity in the Second Merger.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terms of the Merger Agreement, at the effective time of the Merger:</w:t>
      </w:r>
    </w:p>
    <w:p>
      <w:pPr>
        <w:spacing w:after="0" w:line="131" w:lineRule="exact"/>
        <w:rPr>
          <w:sz w:val="20"/>
          <w:szCs w:val="20"/>
          <w:color w:val="auto"/>
        </w:rPr>
      </w:pPr>
    </w:p>
    <w:p>
      <w:pPr>
        <w:ind w:left="1080" w:hanging="532"/>
        <w:spacing w:after="0" w:line="29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shares of common stock and preferred stock of Talkspace and all vested options exercisable for common stock of Talkspace, in each case, outstanding immediately prior to the effective time of the First Merger, will be cancelled in exchange for the right to receive, at the election of the holders thereof, a number of shares of our common stock or a combination of shares of our common stock and cash, in each case, as adjusted pursuant to the Merger Agreement, which in the aggregate with the options to acquire common stock of Talkspace to be assumed by us in exchange for options to acquire our common stock, will be equal to the Closing Merger Consideration;</w:t>
      </w:r>
    </w:p>
    <w:p>
      <w:pPr>
        <w:spacing w:after="0" w:line="66" w:lineRule="exact"/>
        <w:rPr>
          <w:rFonts w:ascii="Arial" w:cs="Arial" w:eastAsia="Arial" w:hAnsi="Arial"/>
          <w:sz w:val="16"/>
          <w:szCs w:val="16"/>
          <w:color w:val="auto"/>
        </w:rPr>
      </w:pPr>
    </w:p>
    <w:p>
      <w:pPr>
        <w:ind w:left="1080" w:hanging="532"/>
        <w:spacing w:after="0" w:line="25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Cash Consideration that may be paid to pre-closing holders of Talkspace’s stock and vested options pursuant to the foregoing is equal to (i) the amount of cash held by us in our trust account (after reduction for the aggregate amount of cash payable in respect of any HEC stockholder redemptions), plus (ii) the amounts received by us upon consummation of the PIPE Investment and the transactions contemplated under the HEC Forward Purchase Agreement, (iii) $250,000,000, minus (iv) the transaction expenses of the parties to the Merger Agreement;</w:t>
      </w:r>
    </w:p>
    <w:p>
      <w:pPr>
        <w:spacing w:after="0" w:line="93"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number of shares of our common stock that may be issued to pre-closing holders of the Talkspace’s stock and options, including our common stock underlying any assumed options, pursuant to the foregoing is equal to a number determined dividing (a) (i) the Closing Merger Consideration minus (ii) the Closing Cash Consideration, minus (iii) the Sponsor Share Amount, minus (iv) the transaction expenses of the parties to the Merger Agreement, by (b) $10.00.</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Additionally, on January 12, 2021, concurrently with the execution of the Merger Agreement, we entered into the Subscription Agreements with the PIPE Investors, pursuant to, and on the terms and subject to the conditions of which, the PIPE Investors have collectively subscribed for 30,000,000 shares of our common stock</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for an aggregate purchase price equal to $300 million. The PIPE Investment will be consummated substantially concurrently with the Closing. The Subscription Agreements will terminate with no further force and effect upon the earliest to occur of: (i) the termination of the Merger Agreement in accordance with its terms, (ii) the mutual written agreement of the parties to such Subscription Agreement, (iii) the failure to satisfy any of the closing conditions set forth in such Subscription Agreements by the closing date, or (iv) the failure to close within seven months from the date of signing.</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parties to the Merger Agreement have made customary representations, warranties and covenants, including, among others, with respect to the conduct of the businesses of Talkspace and HEC during the period between execution of the Merger Agreement and the consummation of the Proposed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We have neither engaged in any operations nor generated any revenues to date. Our only activities from inception to December 31, 2020 were organizational activities, those necessary to prepare for the Initial Public Offering, described below, and, following the Initial Public Offering, identifying a target company for a business combination and completing activities related to the Merger Agreement. We do not expect to generate any operating revenues until after the completion of an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6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For the period from February 6, 2020 (inception) through December 31, 2020, we had a net loss of $1,558,095, which consists of operating costs of $1,776,306 and a provision for income taxes of $10,070, offset by interest income on marketable securities held in the trust account of $228,281.</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June 11, 2020, we consummated the Initial Public Offering of 41,400,000 units, which included the full exercise by the underwriters of the over-allotment option to purchase an additional 5,400,000 units, at $10.00 per unit, generating gross proceeds of $414,000,000. Simultaneously with the closing of the Initial Public Offering, we consummated the sale of 10,280,000 Private Placement Warrants to our sponsor at a price of $1.00 per warrant, generating gross proceeds of $10,280,000.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Initial Public Offering, the exercise of the over-allotment option and the sale of the Private Placement Warrants, a total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$414,000,000 was placed in the trust account. We incurred $23,353,182 in transaction costs, including $8,280,000 of underwriting fees, $14,490,000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underwriting fees and $583,182 of other offering costs.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period from February 6, 2020 (inception) through December 31, 2020, cash used in operating activities was $261,316. Net loss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$1,558,095 was affected by interest earned on marketable securities held in the trust account of $228,281, formation costs paid by our sponsor of $2,125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changes in operating assets and liabilities.</w:t>
      </w:r>
    </w:p>
    <w:p>
      <w:pPr>
        <w:spacing w:after="0" w:line="21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As of December 31, 2020, we had cash and marketable securities held in the trust account of $414,228,281.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December 31, 2020, we did not withdraw any interest income from the trust account.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As of December 31, 2020, we had $1,178,377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an initial business combination, we would repay such loaned amounts. In the event that an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have until June 11, 2022 to consummate an initial business combination. It is uncertain that we will be able to consummate an initial business combination by this time. If an initial business combination is not consummated by this date, we may require additional capital or there may be a mandatory liquidation and subsequent dissolution. If we are unable to raise additional capital, we may be required to take additional measures to conserve liquidity, which could include, but not necessarily be limited to, suspending the pursuit of a business combination. We cannot provide assurance that new financing will be available to us on commercially acceptable terms, if at all. Management has determined that the liquidity condition, should an initial business combination not occur, raises substantial doubt about our ability to continue as a going concern. No adjustments have been made to the carrying amounts of assets or liabilities should we be unable to continue as a going concern.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secretarial and administrative services to us. We began incurring these fees on June 8, 2020 and will continue to incur these fees monthly until the earlier of the completion of our initial business combination and our liquidation.</w:t>
      </w:r>
    </w:p>
    <w:p>
      <w:pPr>
        <w:spacing w:after="0" w:line="187"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The underwriters are entitled to a deferred fee of $0.35 per unit, or $14,490,000 in the aggregate. The deferred fee will be forfeited by the underwriters in the event that the Company fails to complete an initial business combination, subject to the terms of the underwriting agreement.</w:t>
      </w:r>
    </w:p>
    <w:p>
      <w:pPr>
        <w:spacing w:after="0" w:line="12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addition, we entered into a forward purchase agreement with HEC Fund pursuant to which HEC Fund committed to purchase from us up to 5,000,000 Forward Purchase Units, for $10.00 per unit, or an aggregate amount of up to $50,000,000, in a private placement that will close concurrently with the closing of an initial business combination. The proceeds from the sale of these Forward Purchase Units, together with the amounts available to us from the trust account (after giving effect to any redemptions of public shares) and any other equity or debt financing obtained by us in connection with the initial business combination, will be used to satisfy the cash requirements of the initial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Fund may purchase less than 5,000,000 Forward Purchase Units. In addition, HEC Fund’s commitment under the forward purchase agreement will be subject to approval, prior to us entering into a definitive agreement for an initial business combination, of its investment committee. Pursuant to the terms of the forward purchase agreement, HEC Fund will have the option to assign its commitment to one of its affiliates and up to $2,500,000 to members of our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Fund or its permitted assignees and transferees.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account for our Class A common stock subject to possible redemption in accordance with the guidance in Accounting Standards Codification (“ASC”) Topic 480 “Distinguishing Liabilities from Equity.” Shares of Class A common stock subject to mandatory redemption (if any)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shares of Class A common stock subject to possible redemption are presented as temporary equity, outside of the stockholders’ equity section of our balance sheet.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Income (Loss) per Common Share</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As of December 31, 2020, we were not subject to any market or interest rate risk. The net proceeds received into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information appears following Item 15 of this Report and is included herein by reference.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Annual Report on Form 10-K,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procedures also is based partly on certain assumptions about the likelihood of future events, and there can be no assurance that any design will succeed in achieving its stated goals under all potential future conditions.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9"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directors and executive officers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6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6"/>
                <w:szCs w:val="16"/>
                <w:color w:val="auto"/>
              </w:rPr>
            </w:pPr>
          </w:p>
        </w:tc>
        <w:tc>
          <w:tcPr>
            <w:tcW w:w="6600" w:type="dxa"/>
            <w:vAlign w:val="bottom"/>
          </w:tcPr>
          <w:p>
            <w:pPr>
              <w:ind w:left="3140"/>
              <w:spacing w:after="0"/>
              <w:rPr>
                <w:sz w:val="20"/>
                <w:szCs w:val="20"/>
                <w:color w:val="auto"/>
              </w:rPr>
            </w:pPr>
            <w:r>
              <w:rPr>
                <w:rFonts w:ascii="Arial" w:cs="Arial" w:eastAsia="Arial" w:hAnsi="Arial"/>
                <w:sz w:val="14"/>
                <w:szCs w:val="14"/>
                <w:b w:val="1"/>
                <w:bCs w:val="1"/>
                <w:color w:val="auto"/>
              </w:rPr>
              <w:t>Title</w:t>
            </w: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Douglas L. Braunstein</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President, Chairman of the Board of Directors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Douglas G. Bergeron</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Dobres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Amy Schulman</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Independent Director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Thelma Duggin</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and executive officers are as follows:</w:t>
      </w:r>
    </w:p>
    <w:p>
      <w:pPr>
        <w:spacing w:after="0" w:line="113"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Douglas L. Braunstein </w:t>
      </w:r>
      <w:r>
        <w:rPr>
          <w:rFonts w:ascii="Arial" w:cs="Arial" w:eastAsia="Arial" w:hAnsi="Arial"/>
          <w:sz w:val="16"/>
          <w:szCs w:val="16"/>
          <w:color w:val="auto"/>
        </w:rPr>
        <w:t>is our President and Chairman of the Board of Directors. Mr. Braunstein currently serves as the President and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Board of Directors of HEIC II and HEIC III, each of which is a blank check company whose sponsor is an affiliate of Hudson Executive Capital. Additionally, Mr. Braunstein is the Founder and a Managing Partner of Hudson Executive Capital, which is a member of our sponsor and is our affiliate. Prior to founding Hudson Executive Capital, Douglas L. Braunstein was the Chief Financial Officer of JPMorgan Chase &amp; Co., or JPMorgan Chase, from 2010 to 2012 and its Vice Chairman from 2013 to 2015. In the role of Chief Financial Officer, Mr. Braunstein led the firm’s global financial operations and navigated the evolving legislative and regulatory landscape in the immediate post-financial crisis environment and served on the firm’s Operating Committee. Prior to his role as Chief Financial Officer of JP Morgan Chase, Mr. Braunstein served in several other leadership roles during his approximately twenty-year career at JPMorgan Chase, including Head of Investment Banking in the Americas, responsible for investment banking and corporate finance in the U.S., Canada and Latin America, Head of Global M&amp;A and Global Industry Coverage and Head of Healthcare Investment Banking, as well as serving on the Investment Bank Management Committee for over ten years.</w:t>
      </w:r>
    </w:p>
    <w:p>
      <w:pPr>
        <w:spacing w:after="0" w:line="16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color w:val="auto"/>
        </w:rPr>
        <w:t xml:space="preserve">Douglas G. Bergeron </w:t>
      </w:r>
      <w:r>
        <w:rPr>
          <w:rFonts w:ascii="Arial" w:cs="Arial" w:eastAsia="Arial" w:hAnsi="Arial"/>
          <w:sz w:val="16"/>
          <w:szCs w:val="16"/>
          <w:color w:val="auto"/>
        </w:rPr>
        <w:t>is our Chief Executive Officer and a Director. Mr. Bergeron currently serves as the Chief Executive Officer and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HEIC II and HEIC III, each of which is a blank check company whose sponsor is an affiliate of Hudson Executive Capital. Additionally, Mr. Bergeron is a Managing Partner of Hudson Executive Capital. Prior to joining Hudson Executive Capital, Douglas G. Bergeron founded DGB Investments, a diversified holding company of technology investments, in 2013. Mr. Bergeron’s expertise in the financial services sector, FinTech in particular, and the technology industry spans over 35 years, including 12 years as the Chief Executive Officer of Verifone Systems, Inc., a provider of technology for electronic payment transactions and value-added services at the point-of-sale. In 2001, Mr. Bergeron led the acquisition of Verifone, in partnership with the private equity firm The Gores Group, from Hewlett Packard for $50 million and was named Verifone’s Chief Executive Officer. The following year, Mr. Bergeron partnered with GTCR, another private equity firm, to acquire Verifone from The Gores Group, and continued as Chief Executive Officer of Verifone. Prior to leading Verifone, Mr. Bergeron held several senior roles at SunGard Data Systems and ultimately became Chief Executive Officer of SunGard Brokerage Systems Group and President of SunGard Futures Systems, which provided software and services to a variety of trading institutions, banks, futures brokerages, derivatives exchanges and clearing and settlement services providers.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Jonathan Dobres </w:t>
      </w:r>
      <w:r>
        <w:rPr>
          <w:rFonts w:ascii="Arial" w:cs="Arial" w:eastAsia="Arial" w:hAnsi="Arial"/>
          <w:sz w:val="16"/>
          <w:szCs w:val="16"/>
          <w:color w:val="auto"/>
        </w:rPr>
        <w:t>has been our Chief Financial Officer since February 2020. Mr. Dobres currently serves as the Chief Financial Officer of HEIC</w:t>
      </w:r>
    </w:p>
    <w:p>
      <w:pPr>
        <w:spacing w:after="0" w:line="50" w:lineRule="exact"/>
        <w:rPr>
          <w:sz w:val="20"/>
          <w:szCs w:val="20"/>
          <w:color w:val="auto"/>
        </w:rPr>
      </w:pPr>
    </w:p>
    <w:p>
      <w:pPr>
        <w:ind w:left="120" w:right="200" w:hanging="4"/>
        <w:spacing w:after="0" w:line="253" w:lineRule="auto"/>
        <w:tabs>
          <w:tab w:leader="none" w:pos="2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and HEIC III, each of which is a blank check company whose sponsor is an affiliate of Hudson Executive Capital. Additionally, Mr. Dobres is currently an investment professional at Hudson Executive Capital. Prior to joining Hudson Executive Capital, Mr. Dobres was a Managing Director of Flexis Capital LLC, a private equity firm concentrating on middle market investments. Additionally, Mr. Dobres has been a Vice President at P. Schoenfeld Asset Management, a multi-strategy hedge fund from April 2008 to</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June 2009 and a Vice President in the Technology, Media &amp; Telecommunications Investment Banking group at Bear, Stearns &amp; Co. from August 2005 to April 2008. From August 2002 to August 2005, Mr. Dobres was an attorney in the financial services group at Sullivan &amp; Cromwell LLP. He received his B.B.A. from Emory University in 1999 and his J.D. from Georgetown University Law Center in 2002.</w:t>
      </w:r>
    </w:p>
    <w:p>
      <w:pPr>
        <w:spacing w:after="0" w:line="18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Robert Greifeld </w:t>
      </w:r>
      <w:r>
        <w:rPr>
          <w:rFonts w:ascii="Arial" w:cs="Arial" w:eastAsia="Arial" w:hAnsi="Arial"/>
          <w:sz w:val="18"/>
          <w:szCs w:val="18"/>
          <w:color w:val="auto"/>
        </w:rPr>
        <w:t>is a director. Mr. Greifeld is currently the Chairman of Virtu Financial, a leading financial technology and trading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Partner and Co-Founder at Cornerstone Investment Capital, a financial technology investment firm, and a Board Member at Capital Rock and Financeware. Mr. Greifeld previously served as Chairman of the Board of Directors of Nasdaq from January 2017 until May 2017 and as a Chief Executive Officer of Nasdaq from 2003 to 2016. During his tenure, he quadrupled revenue and increased market value over 20 times. Prior to joining Nasdaq, Mr. Greifeld was an Executive Vice President with SunGard Data Systems and a District Manager for Unisys. Mr. Greifeld founded and chairs the USA Track &amp; Field Foundation, which supports emerging athletes and inner-city youth athletics. Mr. Greifeld is a member of the NYU Stern Board of Overseers and a CNBC Contributor. Mr. Greifeld holds a Masters in Business from New York University, Stern School of Business, and a B.A. in English from Iona College.</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Amy Schulman </w:t>
      </w:r>
      <w:r>
        <w:rPr>
          <w:rFonts w:ascii="Arial" w:cs="Arial" w:eastAsia="Arial" w:hAnsi="Arial"/>
          <w:sz w:val="16"/>
          <w:szCs w:val="16"/>
          <w:color w:val="auto"/>
        </w:rPr>
        <w:t>is a director. Ms. Schulman has been a managing partner at Polaris Partners, a healthcare and technology focused investment fund</w:t>
      </w:r>
      <w:r>
        <w:rPr>
          <w:rFonts w:ascii="Arial" w:cs="Arial" w:eastAsia="Arial" w:hAnsi="Arial"/>
          <w:sz w:val="16"/>
          <w:szCs w:val="16"/>
          <w:b w:val="1"/>
          <w:bCs w:val="1"/>
          <w:color w:val="auto"/>
        </w:rPr>
        <w:t xml:space="preserve"> </w:t>
      </w:r>
      <w:r>
        <w:rPr>
          <w:rFonts w:ascii="Arial" w:cs="Arial" w:eastAsia="Arial" w:hAnsi="Arial"/>
          <w:sz w:val="16"/>
          <w:szCs w:val="16"/>
          <w:color w:val="auto"/>
        </w:rPr>
        <w:t>where she focuses on investments in healthcare companies, since August 2014. She also manages the LS Polaris Innovation Fund, which was formed in 2017 to accelerate the commercial and therapeutic potential of early-stage academic research. In addition, Ms. Schulman currently serves as a director of Cyclerion Therapeutics (Nasdaq: CYCN), Alnylam Pharmaceuticals (Nasdaq: ALNY), Dewpoint Therapeutics, Kallyope, Volastra, Fractyl Laboratories, Glympse Bio, Candesant, Cardurion, Thirty Madison and ByHeart. She currently serves as the executive chair of SQZ Biotech, as well as Lyndra Therapeutics, where she was co-founder and the company’s initial CEO. When she joined Polaris, she assumed the role of CEO of Arsia Therapeutics, a Polaris-backed company later acquired by Eagle Pharmaceuticals. Prior to joining Polaris, Ms. Schulman was the general counsel of Pfizer, president of Pfizer Nutrition. Ms. Schulman is currently a Senior Lecturer at Harvard Business School and has previously served as a director of Ironwood Pharmaceuticals, Quentis Therapeutics, Suono Bio, BIND Therapeutics, Inc., Blue Buffalo Pet Products, Inc. and Olivo Laboratories. She is a Phi Beta Kappa graduate of Wesleyan University and earned her J.D. from Yale Law School in 1989.</w:t>
      </w:r>
    </w:p>
    <w:p>
      <w:pPr>
        <w:spacing w:after="0" w:line="16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b w:val="1"/>
          <w:bCs w:val="1"/>
          <w:color w:val="auto"/>
        </w:rPr>
        <w:t xml:space="preserve">Thelma Duggin </w:t>
      </w:r>
      <w:r>
        <w:rPr>
          <w:rFonts w:ascii="Arial" w:cs="Arial" w:eastAsia="Arial" w:hAnsi="Arial"/>
          <w:sz w:val="16"/>
          <w:szCs w:val="16"/>
          <w:color w:val="auto"/>
        </w:rPr>
        <w:t>is a director. Ms. Duggin has been the President of the AnBryce Foundation, which provides long-term academic and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enrichment programs to underserved youth, since May 2010. Prior to her role with the AnBryce Foundation, Ms. Duggin served as a Senior Vice President for the public sector line of business at UnitedHealth Group (NYSE: UNH) from 2002 to 2010. She spent more than 15 years with AmeriChoice, before they were acquired by UnitedHealth Group, in various senior management positions including CEO of its largest health plans, AmeriChoice of New York and AmeriChoice of New Jersey. Ms. Duggin is a Trustee of the Aspen Institute and a member of the Woodrow Wilson International Center for Scholars Board of Trustees. Ms. Duggin is also secretary and board member of Somatus, a kidney disease care provider company. Ms. Duggin has been a Resident Fellow at the John F. Kennedy School of Government at Harvard University and the General Management Program at Harvard Business School. She received her B.S. from Edgewood College and an honorary doctorate from Morris Brown College.</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Board of Directors consists of five members and is divided into three classes with only one class of directors being elected in each year, and with each class (except for those directors appointed prior to our first annual meeting of shareholders) serving a three-year term. The term of office of the first class of directors, consisting of Ms. Schulman and Mr. Greifeld, will expire at our first annual meeting of shareholders. The term of office of the second class of directors, consisting of Mr. Braunstein and Ms. Duggin, will expire at the second annual meeting of shareholders. The term of office of the third class of directors, consisting of Mr. Bergeron, will expire at the third annual meeting of shareholders. We may not hold an annual meeting of stockholders until after we consummate our initial business combination.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any other special rights applicable to our stockholders, any vacancies on the Board of Directors may be filled by the affirmative vote of a majority of the directors present and voting at the meeting of the Board of Directors that includes any directors representing the sponsor then on the Board of Directors, or by a majority of the holders of our founder shares.</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The Board of Directors is authorized to appoint persons to the offices set forth in our bylaws as it deems appropriate. Our bylaws provide that our officers may consist of a Chief Executive Officer, a President, a Chief Financial Officer, Vice Presidents, a Secretary, Assistant Secretaries, a Treasurer, Assistant Treasurers and such other offices as may be determined by our Board of Directors.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21"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None of our executive officers or directors have received any cash compensation for services rendered to us. Commencing on the date that our securities were first listed on Nasdaq through the earlier of consummation of our initial business combination and our liquidation, we pay an affiliate of our sponsor $10,000 per month for office space and secretarial and administrative services provided to members of our management team. In addition, our sponsor, executive officers and directors, or any of their respective affiliates are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to our sponsor, executive officers or directors, or our or their affiliates. Any such payments prior to an initial business combination will be made from (i) funds held outside the trust account or (ii) interest earned on the trust account and released to us to pay our taxes. Other than quarterly audit committee review of such reimbursements, we do not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w:t>
      </w:r>
    </w:p>
    <w:p>
      <w:pPr>
        <w:spacing w:after="0" w:line="16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Board of Directors has two standing committees: an audit committee and a compensation committee. Both our audit committee and our compensation committee are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operates under a charter that was approved by our Board of Directors and has the composition and responsibilities described below. The charter of each committee is available on our website.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120" w:right="460" w:firstLine="440"/>
        <w:spacing w:after="0" w:line="311" w:lineRule="auto"/>
        <w:rPr>
          <w:sz w:val="20"/>
          <w:szCs w:val="20"/>
          <w:color w:val="auto"/>
        </w:rPr>
      </w:pPr>
      <w:r>
        <w:rPr>
          <w:rFonts w:ascii="Arial" w:cs="Arial" w:eastAsia="Arial" w:hAnsi="Arial"/>
          <w:sz w:val="16"/>
          <w:szCs w:val="16"/>
          <w:color w:val="auto"/>
        </w:rPr>
        <w:t>The members of our audit committee are Mr. Braunstein, Ms. Duggin and Ms. Schulman, and Mr. Braunstein serves as the chair of the audit committee. Each member of the audit committee is financially literate and our Board of Directors has determined that each member qualifies as an “audit committee financial expert” as defined in applicable SEC rules and has accounting or related financial management expertise.</w:t>
      </w:r>
    </w:p>
    <w:p>
      <w:pPr>
        <w:spacing w:after="0" w:line="14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the Nasdaq listing standards and applicable SEC rules, we are required to have three members of the audit committee, all of whom must be independent, subject to the exception described below. Ms. Duggin and Ms. Schulman are independent. Because we listed our securities on Nasdaq in connection with our Initial Public Offering, we have until June 8, 2021, one year from the effective date of the registration statement related to our Initial Public Offering, to have our audit committee be comprised solely of independent members. We intend to identify one additional independent director to serve on the audit committee prior to June 8, 2021, at which time Mr. Braunstein will resign from the committee. We expect such additional director to enter into a letter agreement substantially similar to the letter agreement that was signed by our directors in connection with our Initial Public Offering.</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adopted an audit committee charter, which details the purpose and principal functions of the audit committee, including:</w:t>
      </w:r>
    </w:p>
    <w:p>
      <w:pPr>
        <w:spacing w:after="0" w:line="131" w:lineRule="exact"/>
        <w:rPr>
          <w:sz w:val="20"/>
          <w:szCs w:val="20"/>
          <w:color w:val="auto"/>
        </w:rPr>
      </w:pPr>
    </w:p>
    <w:p>
      <w:pPr>
        <w:ind w:left="1080" w:right="1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the independent auditor, including retention, assessment of independence, evaluation of quality and performance and oversight of the work of the independent auditor;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financial statements and other financial disclosures;</w:t>
      </w:r>
    </w:p>
    <w:p>
      <w:pPr>
        <w:spacing w:after="0" w:line="130"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(i) the quality and integrity of the financial statements, (ii) before the issuance of the audit report, the financial statements and related notes and (iii) “Item 7. Management’s Discussion and Analysis of Financial Condition and Results of Operations” proposed to be included in the Company’s Annual Reports on Form 10-K, and annually preparing an audit committee report for inclusion where necessary in the proxy statement/prospectus relating to the annual meeting of stockholders and/or annual report of the Company;</w:t>
      </w:r>
    </w:p>
    <w:p>
      <w:pPr>
        <w:spacing w:after="0" w:line="93"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quarterly financial statements and related notes and the “Management’s Discussion and Analysis of Financial Condition and Results of Operations” proposed to be included in the Company’s Quarterly Reports on Form 10-Q;</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and, prior to issuance, reviewing and approving the Company’s earnings releases, including the financial information, use of any “pro forma” or “adjusted” non-GAAP information, and earnings guidance (if such is provided) to be disclosed in such releases; and reviewing on a quarterly basis all payments made to the sponsor, officers or directors, or to the Company’s or their affiliates;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oversight of management’s design and maintenance of the Company’s internal control over financial reporting and disclosure controls and procedures;</w:t>
      </w:r>
    </w:p>
    <w:p>
      <w:pPr>
        <w:spacing w:after="0" w:line="75"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certifications and any related disclosures made by the Company’s Chief Executive Officer and Chief Financial Officer in the Company’s periodic reports about the results of their evaluation of the effectiveness of disclosure controls and procedures and any significant deficiencies or material weaknesses in the design or operation of internal control over financial reporting, and any fraud involving management or other employees who have a significant role in the Company’s internal control over financial reporting, prior to the filing of the Company’s Annual Reports on Form 10-K and Quarterly Reports on Form 10-Q;</w:t>
      </w:r>
    </w:p>
    <w:p>
      <w:pPr>
        <w:spacing w:after="0" w:line="97"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with the independent auditor the responsibilities, budget, staffing, effectiveness and performance of the internal audit function, if any, including the structure, qualification and activities of the internal audit function and the scope of internal audit responsibilities in relation to the independent auditor’s duties;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clear policies regarding the hiring of employees and former employees of the Company’s independent auditor;</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discussing with management, the head of the internal audit function, if any, and the independent auditor any significant risks or exposures and the Company’s policies and processes with respect to risk assessment, and assessing the steps management has taken to monitor and control such risks, except with respect to those risks for which oversight has been assigned to other committees of the Board or has been retained by the Board;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the Company’s annual disclosures concerning the role of the Board in the risk oversight of the Company;</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assessing with the chairman, co-chairman or co-executive chairman of the Board or outside counsel, as appropriate, legal and regulatory matters that may have a material impact on the Company’s financial statements;</w:t>
      </w:r>
    </w:p>
    <w:p>
      <w:pPr>
        <w:spacing w:after="0" w:line="75" w:lineRule="exact"/>
        <w:rPr>
          <w:rFonts w:ascii="Arial" w:cs="Arial" w:eastAsia="Arial" w:hAnsi="Arial"/>
          <w:sz w:val="18"/>
          <w:szCs w:val="18"/>
          <w:color w:val="auto"/>
        </w:rPr>
      </w:pPr>
    </w:p>
    <w:p>
      <w:pPr>
        <w:jc w:val="both"/>
        <w:ind w:left="1080" w:right="16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and recommending for Board approval the code of business conduct and ethics and any other appropriate compliance policies, and reviewing requests for waivers under the code of business conduct and ethics sought with respect to any executive officer or director;</w:t>
      </w:r>
    </w:p>
    <w:p>
      <w:pPr>
        <w:spacing w:after="0" w:line="29" w:lineRule="exact"/>
        <w:rPr>
          <w:rFonts w:ascii="Arial" w:cs="Arial" w:eastAsia="Arial" w:hAnsi="Arial"/>
          <w:sz w:val="16"/>
          <w:szCs w:val="16"/>
          <w:color w:val="auto"/>
        </w:rPr>
      </w:pPr>
    </w:p>
    <w:p>
      <w:pPr>
        <w:ind w:left="1080" w:right="40" w:hanging="424"/>
        <w:spacing w:after="0" w:line="31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annually with the chairman, co- chairman or co-executive chairman of the Board or outside counsel, as appropriate, the scope, implementation and effectiveness of the ethics and compliance program, and any significant deviations by officers and employees from the code of business conduct and ethics or other compliance policies, and other matters pertaining to the integrity of management;</w:t>
      </w:r>
    </w:p>
    <w:p>
      <w:pPr>
        <w:spacing w:after="0" w:line="54"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“whistleblowing” procedures for (i) the receipt, retention and treatment of complaints received by the Company regarding accounting, internal accounting controls or auditing matters and (ii) the confidential, anonymous submission by the Company’s employees of concerns regarding questionable accounting or auditing matters;</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the Company’s decision to enter into swaps and other derivative transactions that are exempt from exchange-execution and clearance requirements under “end-user exception” regulations, and reviewing and discussing with management applicable Company policies governing the Company’s use of swaps subject to the “end-user exception”;</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if appropriate, approving or ratifying any related person transactions and other significant conflicts of interest, in each case in accordance with the Company’s code of business conduct and ethics and related party transactions policy;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an annual self-evaluation of the performance of the committee, including its effectiveness and compliance with its charter, and recommending to the Board such amendments of its charter as the committee deems appropriate;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reporting regularly to the Board on committee findings and recommendations and any other matters the committee deems appropriate or the Board requests, and maintaining minutes or other records of committee meetings and activities.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The members of our compensation committee are Mr. Greifeld and Ms. Schulman and Mr. Greifeld serves as chairman of the compensation committee. Under the Nasdaq listing standards and applicable SEC rules, we are required to have a compensation committee comprised entirely of independent directors. Ms. Schulman and Mr. Greifeld are independent.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adopted a compensation committee charter, which details the principal functions of the compensation committee, including:</w:t>
      </w:r>
    </w:p>
    <w:p>
      <w:pPr>
        <w:spacing w:after="0" w:line="142"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establishing and reviewing the objectives of the Company’s management compensation programs and its basic compensation policies;</w:t>
      </w:r>
    </w:p>
    <w:p>
      <w:pPr>
        <w:spacing w:after="0" w:line="153"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the Chief Executive Officer and other executive officers, including annual and long-term performance goals and objectives;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subject to such further action of the Board as the Board shall determine, any employment, compensation, benefit or severance agreement with any executive officer;</w:t>
      </w:r>
    </w:p>
    <w:p>
      <w:pPr>
        <w:spacing w:after="0" w:line="75"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evaluating at least annually the performance of the Chief Executive Officer and other executive officers against corporate goals and objectives, including the annual performance objectives and, based on this evaluation, determining and approving, subject to such further action of the Board as the Board shall determine, the compensation (including any awards under any equity-based compensation or non-equity-based incentive compensation plan of the Company and any material perquisites) for the executive officers based on this evaluation;</w:t>
      </w:r>
    </w:p>
    <w:p>
      <w:pPr>
        <w:spacing w:after="0" w:line="93"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determining and approving the compensation level (including any awards under any equity-based compensation or non-equity-based incentive compensation plan of the Company and any material perquisites) for other members of senior management of the Company as the committee or the Board may from time to time determine to be appropriate;</w:t>
      </w:r>
    </w:p>
    <w:p>
      <w:pPr>
        <w:spacing w:after="0" w:line="89" w:lineRule="exact"/>
        <w:rPr>
          <w:rFonts w:ascii="Arial" w:cs="Arial" w:eastAsia="Arial" w:hAnsi="Arial"/>
          <w:sz w:val="18"/>
          <w:szCs w:val="18"/>
          <w:color w:val="auto"/>
        </w:rPr>
      </w:pPr>
    </w:p>
    <w:p>
      <w:pPr>
        <w:jc w:val="both"/>
        <w:ind w:left="1080" w:right="30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reviewing at least annually the compensation of other employees as the committee determines to be appropriate (including any awards under any equity-based compensation or non-equity-based incentive compensation plan of the Company and any material perquisites);</w:t>
      </w:r>
    </w:p>
    <w:p>
      <w:pPr>
        <w:spacing w:after="0" w:line="29" w:lineRule="exact"/>
        <w:rPr>
          <w:rFonts w:ascii="Arial" w:cs="Arial" w:eastAsia="Arial" w:hAnsi="Arial"/>
          <w:sz w:val="16"/>
          <w:szCs w:val="16"/>
          <w:color w:val="auto"/>
        </w:rPr>
      </w:pPr>
    </w:p>
    <w:p>
      <w:pPr>
        <w:ind w:left="1080" w:right="160" w:hanging="424"/>
        <w:spacing w:after="0" w:line="31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reviewing on a periodic basis the Company’s management compensation programs, including any management incentive compensation plans as well as plans and policies pertaining to perquisites, to determine whether they are appropriate, properly coordinated and achieve their intended purpose(s), and recommending to the Board any appropriate modifications or new plans, programs or policies;</w:t>
      </w:r>
    </w:p>
    <w:p>
      <w:pPr>
        <w:spacing w:after="0" w:line="54" w:lineRule="exact"/>
        <w:rPr>
          <w:rFonts w:ascii="Arial" w:cs="Arial" w:eastAsia="Arial" w:hAnsi="Arial"/>
          <w:sz w:val="16"/>
          <w:szCs w:val="16"/>
          <w:color w:val="auto"/>
        </w:rPr>
      </w:pPr>
    </w:p>
    <w:p>
      <w:pPr>
        <w:ind w:left="1080" w:right="34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the adoption of any equity-based compensation plan for employees of, or consultants to, the Company and any modification of any such plan, and reviewing at least annually the awards made pursuant to such plans;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administering the Company’s equity-based compensation plans for employees of and consultants to the Company as provided by the terms of such plans, including authorizing all awards made pursuant to such plans;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the adoption of any employee retirement plan, and other material employee benefit plan, and any material modification of any such plan;</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at least annually (i) the Company’s compensation policies and practices for executives, management employees and employees generally to assess whether such policies and practices could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40"/>
        <w:spacing w:after="0" w:line="342" w:lineRule="auto"/>
        <w:rPr>
          <w:sz w:val="20"/>
          <w:szCs w:val="20"/>
          <w:color w:val="auto"/>
        </w:rPr>
      </w:pPr>
      <w:r>
        <w:rPr>
          <w:rFonts w:ascii="Arial" w:cs="Arial" w:eastAsia="Arial" w:hAnsi="Arial"/>
          <w:sz w:val="16"/>
          <w:szCs w:val="16"/>
          <w:color w:val="auto"/>
        </w:rPr>
        <w:t>lead to excessive risk taking behavior and (ii) the manner in which any risks arising out of the Company’s compensation policies and practices are monitored and mitigated and adjustments necessary to address changes in the Company’s risk profile;</w:t>
      </w:r>
    </w:p>
    <w:p>
      <w:pPr>
        <w:spacing w:after="0" w:line="29" w:lineRule="exact"/>
        <w:rPr>
          <w:sz w:val="20"/>
          <w:szCs w:val="20"/>
          <w:color w:val="auto"/>
        </w:rPr>
      </w:pPr>
    </w:p>
    <w:p>
      <w:pPr>
        <w:ind w:left="1080" w:right="40" w:hanging="424"/>
        <w:spacing w:after="0" w:line="275"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respect to any compensation consultant who has been engaged to make determinations or recommendations on the amount or form of executive or director compensation: (i) annually, or from time to time as the committee deems appropriate, assessing whether the work of any such compensation consultant (whether retained by the compensation committee or management) has raised any conflicts of interest; and (ii) reviewing the engagement and the nature of any additional services provided by such compensation consultant to the committee or to management, as well as all remuneration provided to such consultant;</w:t>
      </w:r>
    </w:p>
    <w:p>
      <w:pPr>
        <w:spacing w:after="0" w:line="81" w:lineRule="exact"/>
        <w:rPr>
          <w:rFonts w:ascii="Arial" w:cs="Arial" w:eastAsia="Arial" w:hAnsi="Arial"/>
          <w:sz w:val="17"/>
          <w:szCs w:val="17"/>
          <w:color w:val="auto"/>
        </w:rPr>
      </w:pPr>
    </w:p>
    <w:p>
      <w:pPr>
        <w:ind w:left="1080" w:right="220" w:hanging="424"/>
        <w:spacing w:after="0" w:line="31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annually, or from time to time as the committee deems appropriate and, prior to retention of any advisers to the committee, assessing the independence of compensation consultants, legal and other advisers to the committee, taking into consideration all relevant factors the committee deems appropriate to such adviser’s independence, including factors specified in the listing standards of Nasdaq;</w:t>
      </w:r>
    </w:p>
    <w:p>
      <w:pPr>
        <w:spacing w:after="0" w:line="54" w:lineRule="exact"/>
        <w:rPr>
          <w:rFonts w:ascii="Arial" w:cs="Arial" w:eastAsia="Arial" w:hAnsi="Arial"/>
          <w:sz w:val="16"/>
          <w:szCs w:val="16"/>
          <w:color w:val="auto"/>
        </w:rPr>
      </w:pPr>
    </w:p>
    <w:p>
      <w:pPr>
        <w:ind w:left="1080" w:right="80" w:hanging="424"/>
        <w:spacing w:after="0" w:line="25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disclosure required by SEC regulations and determining whether to recommend to the Board, as part of a report of the committee to the Board, that such disclosure be included in the Company’s Annual Report on Form 10-K and any proxy statement/prospectus for the election of directors; as part of this review, the committee shall consider the results of the most recent stockholder advisory vote on executive compensation (“say-on-pay” vote) required by Section 14A of the Exchange Act;</w:t>
      </w:r>
    </w:p>
    <w:p>
      <w:pPr>
        <w:spacing w:after="0" w:line="93"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every six years or more frequently as appropriate, recommending to the Board the frequency with which the Company will conduct a say-on- pay vote;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reviewing the form and amount of director compensation at least annually, and making recommendations thereon to the Board;</w:t>
      </w:r>
    </w:p>
    <w:p>
      <w:pPr>
        <w:spacing w:after="0" w:line="142"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and monitoring other compensation related policies and practices of the Company, including: (i) the Company’s stock ownership guidelines for directors and executive officers; (ii) compliance by management with rules regarding equity-based compensation plans for employees and consultants pursuant to the terms of such plans, and the guidelines for issuance of awards as the Board or committee may establish; and (iii) the Company’s recoupment policy and procedures;</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stockholder communications relating to executive compensation and reviewing and making recommendations with respect to stockholder proposals related to compensation matters;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conducting an annual self-evaluation of the performance of the committee, including its effectiveness and compliance with its charter, and recommending to the Board such amendments of its charter as the committee deems appropriate;</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reporting regularly to the Board on committee findings and recommendations and any other matters the committee deems appropriate or the Board requests, and maintaining minutes or other records of committee meetings and activities;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and after the completion of the Company’s initial business combination, in consultation with the Chief Executive Officer, annually reporting to the Board on succession planning, which shall include emergency Chief Executive Officer succession, Chief Executive Officer succession in the ordinary course and succession for other members of senior management, working with the entire Board to evaluate potential successors to the Chief Executive Officer;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undertaking such other responsibilities or tasks as the Board may delegate or assign to the committee from time to time.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compensation committee charter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spacing w:after="0" w:line="184"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participate in the consideration and recommendation of director nominees are Mr. Greifeld, Ms. Schulman and Ms. Duggin. In accordance with Rule 5605(e)(1)(A) of the Nasdaq rules, all such directors are independent. As there is no standing nominating committee, we do not have a nominating committee charter in place.</w:t>
      </w:r>
    </w:p>
    <w:p>
      <w:pPr>
        <w:spacing w:after="0" w:line="195"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49"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our Board of Directors considers educational background, diversity of professional experience, knowledge of our business, integrity, professional reputation, independence, wisdom, and the ability to represent the best interests of our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adopted a code of ethics applicable to our directors, officers and employees. We have previously filed a copy of our form of code of ethics and our audit committee charter as exhibits to the registration statement in connection with our Initial Public Offering. You can review these documents by accessing our public filings at the SEC’s website at www.sec.gov. In addition, a copy of the code of ethics will be provided without charge upon request from us. We intend to disclose any amendments to or waivers of certain provisions of our code of ethics by posting such information on our website rather than by filing a Current Report on Form 8-K.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30" w:lineRule="exact"/>
        <w:rPr>
          <w:rFonts w:ascii="Arial" w:cs="Arial" w:eastAsia="Arial" w:hAnsi="Arial"/>
          <w:sz w:val="18"/>
          <w:szCs w:val="18"/>
          <w:color w:val="auto"/>
        </w:rPr>
      </w:pPr>
    </w:p>
    <w:p>
      <w:pPr>
        <w:jc w:val="center"/>
        <w:ind w:left="5540" w:right="660" w:hanging="4884"/>
        <w:spacing w:after="0" w:line="449" w:lineRule="auto"/>
        <w:tabs>
          <w:tab w:leader="none" w:pos="10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 58</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These entities, including HEIC II and HEIC III, may compete with us for acquisition opportunities.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Notwithstanding the foregoing, we may pursue an affiliated joint acquisition opportunity with one or more affiliates of Hudson Executive Capital and/or one or more investors in Hudson Executive Capital or one of its affiliates, to which an officer or director has a fiduciary or contractual obligation. Any such entity may co-invest with us in the target business at the time of our initial business combination, or we could raise additional proceeds to complete the acquisition by issuing to such entity a class of equity or equity-linked securities. Our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In addition, our sponsor and our officers and directors may sponsor or form, or become an officer or director of, other special purpose acquisition companies similar to ours or pursue other business or investment ventures. In particular, affiliates of our sponsor currently sponsor other blank check companies: HEIC II and HEIC III. Mr. Braunstein, our President and Chairman of our Board of Directors, Mr. Bergeron, our Chief Executive Officer and a director and Mr. Dobres, our Chief Financial Officer, each serve in the same capacities for each of the foregoing companies. In addition,</w:t>
      </w:r>
    </w:p>
    <w:p>
      <w:pPr>
        <w:spacing w:after="0" w:line="1"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Ms. Schulman, our director, also serves as a director of HEIC II. HEIC II or HEIC III and any other special purpose acquisition companies that our sponsor, officers or directors may sponsor or form may present additional conflicts of interest in pursuing an acquisition target in the event that the Proposed Business Combination is not consumated. However, we do not believe that any potential conflicts with HEIC II and HEIC III would materially affect our ability to complete an initial business combination. While we expect that the determination of whether to present a particular business opportunity to us or to another blank check company affiliated with our sponsor will be made based on the amount of capital needed to consummate such business opportunity and the size of the relevant blank check company and, if applicable, the focus of the relevant blank check company, such determination will be made by our sponsor and our directors and officers in their sole discretion, subject to their applicable fiduciary duties.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a table summarizing the entities to which our executive officers and directors currently have fiduciary duties or contractual obligations: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2540" w:type="dxa"/>
            <w:vAlign w:val="bottom"/>
          </w:tcPr>
          <w:p>
            <w:pPr>
              <w:ind w:left="10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6"/>
                <w:szCs w:val="16"/>
                <w:color w:val="auto"/>
              </w:rPr>
            </w:pPr>
          </w:p>
        </w:tc>
        <w:tc>
          <w:tcPr>
            <w:tcW w:w="2520" w:type="dxa"/>
            <w:vAlign w:val="bottom"/>
          </w:tcPr>
          <w:p>
            <w:pPr>
              <w:ind w:left="720"/>
              <w:spacing w:after="0"/>
              <w:rPr>
                <w:sz w:val="20"/>
                <w:szCs w:val="20"/>
                <w:color w:val="auto"/>
              </w:rPr>
            </w:pPr>
            <w:r>
              <w:rPr>
                <w:rFonts w:ascii="Arial" w:cs="Arial" w:eastAsia="Arial" w:hAnsi="Arial"/>
                <w:sz w:val="14"/>
                <w:szCs w:val="14"/>
                <w:b w:val="1"/>
                <w:bCs w:val="1"/>
                <w:color w:val="auto"/>
              </w:rPr>
              <w:t>Entity’s Business</w:t>
            </w:r>
          </w:p>
        </w:tc>
        <w:tc>
          <w:tcPr>
            <w:tcW w:w="140" w:type="dxa"/>
            <w:vAlign w:val="bottom"/>
          </w:tcPr>
          <w:p>
            <w:pPr>
              <w:spacing w:after="0"/>
              <w:rPr>
                <w:sz w:val="16"/>
                <w:szCs w:val="16"/>
                <w:color w:val="auto"/>
              </w:rPr>
            </w:pPr>
          </w:p>
        </w:tc>
        <w:tc>
          <w:tcPr>
            <w:tcW w:w="2320" w:type="dxa"/>
            <w:vAlign w:val="bottom"/>
          </w:tcPr>
          <w:p>
            <w:pPr>
              <w:ind w:left="840"/>
              <w:spacing w:after="0"/>
              <w:rPr>
                <w:sz w:val="20"/>
                <w:szCs w:val="20"/>
                <w:color w:val="auto"/>
              </w:rPr>
            </w:pPr>
            <w:r>
              <w:rPr>
                <w:rFonts w:ascii="Arial" w:cs="Arial" w:eastAsia="Arial" w:hAnsi="Arial"/>
                <w:sz w:val="14"/>
                <w:szCs w:val="14"/>
                <w:b w:val="1"/>
                <w:bCs w:val="1"/>
                <w:color w:val="auto"/>
              </w:rPr>
              <w:t>Affiliation</w:t>
            </w: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Douglas</w:t>
            </w:r>
          </w:p>
        </w:tc>
        <w:tc>
          <w:tcPr>
            <w:tcW w:w="2640" w:type="dxa"/>
            <w:vAlign w:val="bottom"/>
          </w:tcPr>
          <w:p>
            <w:pPr>
              <w:spacing w:after="0" w:line="189" w:lineRule="exact"/>
              <w:rPr>
                <w:sz w:val="20"/>
                <w:szCs w:val="20"/>
                <w:color w:val="auto"/>
              </w:rPr>
            </w:pPr>
            <w:r>
              <w:rPr>
                <w:rFonts w:ascii="Arial" w:cs="Arial" w:eastAsia="Arial" w:hAnsi="Arial"/>
                <w:sz w:val="18"/>
                <w:szCs w:val="18"/>
                <w:color w:val="auto"/>
              </w:rPr>
              <w:t>G. Bergeron</w:t>
            </w:r>
          </w:p>
        </w:tc>
        <w:tc>
          <w:tcPr>
            <w:tcW w:w="25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Hudson Executive Capital LP</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Investment Manager</w:t>
            </w:r>
          </w:p>
        </w:tc>
        <w:tc>
          <w:tcPr>
            <w:tcW w:w="140" w:type="dxa"/>
            <w:vAlign w:val="bottom"/>
          </w:tcPr>
          <w:p>
            <w:pPr>
              <w:spacing w:after="0"/>
              <w:rPr>
                <w:sz w:val="16"/>
                <w:szCs w:val="16"/>
                <w:color w:val="auto"/>
              </w:rPr>
            </w:pPr>
          </w:p>
        </w:tc>
        <w:tc>
          <w:tcPr>
            <w:tcW w:w="2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Managing Partner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HEC Management GP LLC</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 Manager</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Managing Partner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DGB Investments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Diversified holding 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Founder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USA Technologies, Inc.</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Automated retail</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United Language Group</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Language translation/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interpretation</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Pipeworks Studios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Video game developer</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Renters Warehouse</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Property management/</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65"/>
        </w:trPr>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40" w:type="dxa"/>
            <w:vAlign w:val="bottom"/>
          </w:tcPr>
          <w:p>
            <w:pPr>
              <w:ind w:left="21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2540" w:type="dxa"/>
            <w:vAlign w:val="bottom"/>
          </w:tcPr>
          <w:p>
            <w:pPr>
              <w:ind w:left="10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5"/>
                <w:szCs w:val="15"/>
                <w:color w:val="auto"/>
              </w:rPr>
            </w:pPr>
          </w:p>
        </w:tc>
        <w:tc>
          <w:tcPr>
            <w:tcW w:w="2520" w:type="dxa"/>
            <w:vAlign w:val="bottom"/>
          </w:tcPr>
          <w:p>
            <w:pPr>
              <w:ind w:left="720"/>
              <w:spacing w:after="0"/>
              <w:rPr>
                <w:sz w:val="20"/>
                <w:szCs w:val="20"/>
                <w:color w:val="auto"/>
              </w:rPr>
            </w:pPr>
            <w:r>
              <w:rPr>
                <w:rFonts w:ascii="Arial" w:cs="Arial" w:eastAsia="Arial" w:hAnsi="Arial"/>
                <w:sz w:val="14"/>
                <w:szCs w:val="14"/>
                <w:b w:val="1"/>
                <w:bCs w:val="1"/>
                <w:color w:val="auto"/>
              </w:rPr>
              <w:t>Entity’s Business</w:t>
            </w:r>
          </w:p>
        </w:tc>
        <w:tc>
          <w:tcPr>
            <w:tcW w:w="140" w:type="dxa"/>
            <w:vAlign w:val="bottom"/>
          </w:tcPr>
          <w:p>
            <w:pPr>
              <w:spacing w:after="0"/>
              <w:rPr>
                <w:sz w:val="15"/>
                <w:szCs w:val="15"/>
                <w:color w:val="auto"/>
              </w:rPr>
            </w:pPr>
          </w:p>
        </w:tc>
        <w:tc>
          <w:tcPr>
            <w:tcW w:w="2320" w:type="dxa"/>
            <w:vAlign w:val="bottom"/>
          </w:tcPr>
          <w:p>
            <w:pPr>
              <w:ind w:left="840"/>
              <w:spacing w:after="0"/>
              <w:rPr>
                <w:sz w:val="20"/>
                <w:szCs w:val="20"/>
                <w:color w:val="auto"/>
              </w:rPr>
            </w:pPr>
            <w:r>
              <w:rPr>
                <w:rFonts w:ascii="Arial" w:cs="Arial" w:eastAsia="Arial" w:hAnsi="Arial"/>
                <w:sz w:val="14"/>
                <w:szCs w:val="14"/>
                <w:b w:val="1"/>
                <w:bCs w:val="1"/>
                <w:color w:val="auto"/>
              </w:rPr>
              <w:t>Affiliation</w:t>
            </w:r>
          </w:p>
        </w:tc>
      </w:tr>
      <w:tr>
        <w:trPr>
          <w:trHeight w:val="202"/>
        </w:trPr>
        <w:tc>
          <w:tcPr>
            <w:tcW w:w="640" w:type="dxa"/>
            <w:vAlign w:val="bottom"/>
            <w:tcBorders>
              <w:top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25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HEIC II</w:t>
            </w:r>
          </w:p>
        </w:tc>
        <w:tc>
          <w:tcPr>
            <w:tcW w:w="220" w:type="dxa"/>
            <w:vAlign w:val="bottom"/>
          </w:tcPr>
          <w:p>
            <w:pPr>
              <w:spacing w:after="0"/>
              <w:rPr>
                <w:sz w:val="17"/>
                <w:szCs w:val="17"/>
                <w:color w:val="auto"/>
              </w:rPr>
            </w:pPr>
          </w:p>
        </w:tc>
        <w:tc>
          <w:tcPr>
            <w:tcW w:w="2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Blank check company</w:t>
            </w:r>
          </w:p>
        </w:tc>
        <w:tc>
          <w:tcPr>
            <w:tcW w:w="140" w:type="dxa"/>
            <w:vAlign w:val="bottom"/>
          </w:tcPr>
          <w:p>
            <w:pPr>
              <w:spacing w:after="0"/>
              <w:rPr>
                <w:sz w:val="17"/>
                <w:szCs w:val="17"/>
                <w:color w:val="auto"/>
              </w:rPr>
            </w:pPr>
          </w:p>
        </w:tc>
        <w:tc>
          <w:tcPr>
            <w:tcW w:w="2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HEIC III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Blank check 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Douglas L. Braunstein</w:t>
            </w:r>
          </w:p>
        </w:tc>
        <w:tc>
          <w:tcPr>
            <w:tcW w:w="2540" w:type="dxa"/>
            <w:vAlign w:val="bottom"/>
          </w:tcPr>
          <w:p>
            <w:pPr>
              <w:ind w:left="20"/>
              <w:spacing w:after="0"/>
              <w:rPr>
                <w:sz w:val="20"/>
                <w:szCs w:val="20"/>
                <w:color w:val="auto"/>
              </w:rPr>
            </w:pPr>
            <w:r>
              <w:rPr>
                <w:rFonts w:ascii="Arial" w:cs="Arial" w:eastAsia="Arial" w:hAnsi="Arial"/>
                <w:sz w:val="18"/>
                <w:szCs w:val="18"/>
                <w:color w:val="auto"/>
              </w:rPr>
              <w:t>Hudson Executive Capital LP</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 Manager</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Managing Partner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HEC Management GP LLC</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 Manager</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Managing Partner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USA Technologies, Inc.</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Automated retail</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Cardtronics plc.</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Automated consumer</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financial services</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HEIC 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Blank check 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President, Chairman and</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HEIC III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Blank check 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President, Chairman and</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Jonathan Dobres</w:t>
            </w:r>
          </w:p>
        </w:tc>
        <w:tc>
          <w:tcPr>
            <w:tcW w:w="2540" w:type="dxa"/>
            <w:vAlign w:val="bottom"/>
          </w:tcPr>
          <w:p>
            <w:pPr>
              <w:ind w:left="20"/>
              <w:spacing w:after="0"/>
              <w:rPr>
                <w:sz w:val="20"/>
                <w:szCs w:val="20"/>
                <w:color w:val="auto"/>
              </w:rPr>
            </w:pPr>
            <w:r>
              <w:rPr>
                <w:rFonts w:ascii="Arial" w:cs="Arial" w:eastAsia="Arial" w:hAnsi="Arial"/>
                <w:sz w:val="18"/>
                <w:szCs w:val="18"/>
                <w:color w:val="auto"/>
              </w:rPr>
              <w:t>Hudson Executive Capital LP</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 Manager</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Investment Professional</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HEIC 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Blank check 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HEIC III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Blank check 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324"/>
        </w:trPr>
        <w:tc>
          <w:tcPr>
            <w:tcW w:w="3280" w:type="dxa"/>
            <w:vAlign w:val="bottom"/>
            <w:gridSpan w:val="2"/>
          </w:tcPr>
          <w:p>
            <w:pPr>
              <w:spacing w:after="0"/>
              <w:rPr>
                <w:sz w:val="20"/>
                <w:szCs w:val="20"/>
                <w:color w:val="auto"/>
              </w:rPr>
            </w:pPr>
            <w:r>
              <w:rPr>
                <w:rFonts w:ascii="Arial" w:cs="Arial" w:eastAsia="Arial" w:hAnsi="Arial"/>
                <w:sz w:val="18"/>
                <w:szCs w:val="18"/>
                <w:color w:val="auto"/>
              </w:rPr>
              <w:t>Thelma Duggin</w:t>
            </w:r>
          </w:p>
        </w:tc>
        <w:tc>
          <w:tcPr>
            <w:tcW w:w="2540" w:type="dxa"/>
            <w:vAlign w:val="bottom"/>
          </w:tcPr>
          <w:p>
            <w:pPr>
              <w:ind w:left="20"/>
              <w:spacing w:after="0"/>
              <w:rPr>
                <w:sz w:val="20"/>
                <w:szCs w:val="20"/>
                <w:color w:val="auto"/>
              </w:rPr>
            </w:pPr>
            <w:r>
              <w:rPr>
                <w:rFonts w:ascii="Arial" w:cs="Arial" w:eastAsia="Arial" w:hAnsi="Arial"/>
                <w:sz w:val="18"/>
                <w:szCs w:val="18"/>
                <w:color w:val="auto"/>
              </w:rPr>
              <w:t>AnBryce Foundation</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Philanthropy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President</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2540" w:type="dxa"/>
            <w:vAlign w:val="bottom"/>
          </w:tcPr>
          <w:p>
            <w:pPr>
              <w:ind w:left="20"/>
              <w:spacing w:after="0"/>
              <w:rPr>
                <w:sz w:val="20"/>
                <w:szCs w:val="20"/>
                <w:color w:val="auto"/>
              </w:rPr>
            </w:pPr>
            <w:r>
              <w:rPr>
                <w:rFonts w:ascii="Arial" w:cs="Arial" w:eastAsia="Arial" w:hAnsi="Arial"/>
                <w:sz w:val="18"/>
                <w:szCs w:val="18"/>
                <w:color w:val="auto"/>
              </w:rPr>
              <w:t>Virtu Financial</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Financial Services</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Chairman</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8"/>
              </w:rPr>
              <w:t>Cornerstone Investment Capital</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Finance Technology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Managing Partner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Capital Rock</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Financial Services</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Financeware</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Wealth Management</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Amy Schulman</w:t>
            </w:r>
          </w:p>
        </w:tc>
        <w:tc>
          <w:tcPr>
            <w:tcW w:w="2540" w:type="dxa"/>
            <w:vAlign w:val="bottom"/>
          </w:tcPr>
          <w:p>
            <w:pPr>
              <w:ind w:left="20"/>
              <w:spacing w:after="0"/>
              <w:rPr>
                <w:sz w:val="20"/>
                <w:szCs w:val="20"/>
                <w:color w:val="auto"/>
              </w:rPr>
            </w:pPr>
            <w:r>
              <w:rPr>
                <w:rFonts w:ascii="Arial" w:cs="Arial" w:eastAsia="Arial" w:hAnsi="Arial"/>
                <w:sz w:val="18"/>
                <w:szCs w:val="18"/>
                <w:color w:val="auto"/>
              </w:rPr>
              <w:t>HEIC II</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Blank check company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SQZ Biotech</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Executive Chair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Lyndra Therapeutics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Executive Chair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Polaris Partners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Investment Manager</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Managing Partner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Cyclerion Therapeutics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Biopharmaceuticals</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Alnylam Pharmaceuticals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Therapeutics</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Dewpoint Therapeutics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Therapeutics</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Kallyope</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Volastra</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Fractyl Laboratories</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Glympse Bio</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Candesant</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Cardurion</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Thirty Madison</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Healthcare</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ByHeart</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Infant Nutrition</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w:t>
      </w:r>
    </w:p>
    <w:p>
      <w:pPr>
        <w:spacing w:after="0" w:line="131" w:lineRule="exact"/>
        <w:rPr>
          <w:sz w:val="20"/>
          <w:szCs w:val="20"/>
          <w:color w:val="auto"/>
        </w:rPr>
      </w:pPr>
    </w:p>
    <w:p>
      <w:pPr>
        <w:jc w:val="both"/>
        <w:ind w:left="1080" w:right="160" w:hanging="424"/>
        <w:spacing w:after="0" w:line="31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directors and officers may become aware of investment and business opportunities that may be appropriate for presentation to us as well as the other entities with which they are affiliated, including HEIC II and HEIC III. Our management may have conflicts of interest in determining to which entity a particular business opportunity should be presented.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5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93" w:lineRule="exact"/>
        <w:rPr>
          <w:rFonts w:ascii="Arial" w:cs="Arial" w:eastAsia="Arial" w:hAnsi="Arial"/>
          <w:sz w:val="18"/>
          <w:szCs w:val="18"/>
          <w:color w:val="auto"/>
        </w:rPr>
      </w:pPr>
    </w:p>
    <w:p>
      <w:pPr>
        <w:ind w:left="1080" w:hanging="424"/>
        <w:spacing w:after="0" w:line="285"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founders purchased founder shares prior to the date of our Initial Public Offering and purchased Private Placement Warrants in a transaction that closed simultaneously with the closing of our Initial Public Offering. Our founders have entered into agreements with us, pursuant to which they have agreed to waive their redemption rights with respect to their founder shares and any public shares they hold in connection with the completion of our initial business combination. The other members of our management team have entered into agreements similar to the ones entered into by our founders with respect to any public shares acquired by them in or after our Initial Public Offering. Additionally, our founders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Warrants will expire worthless. Furthermore, our founders have agreed not to transfer, assign or sell any of their founder shares until the earlier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such lockup. Subject to certain limited exceptions, the Private Placement Warrants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76" w:lineRule="exact"/>
        <w:rPr>
          <w:rFonts w:ascii="Arial" w:cs="Arial" w:eastAsia="Arial" w:hAnsi="Arial"/>
          <w:sz w:val="16"/>
          <w:szCs w:val="16"/>
          <w:color w:val="auto"/>
        </w:rPr>
      </w:pPr>
    </w:p>
    <w:p>
      <w:pPr>
        <w:ind w:left="1080" w:right="30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such proposed business combination.</w:t>
      </w:r>
    </w:p>
    <w:p>
      <w:pPr>
        <w:spacing w:after="0" w:line="18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which is a member of FINRA or an independent accounting firm, that such initial business combination is fair to our Company from a financial point of view. We are not required to obtain such an opinion in any other context. We pay an affiliate of our sponsor $10,000 per month for office space and secretarial and administrative services provided to members of our management team.</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 is not assured that any of the above mentioned conflicts will be resolved in our favor.</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founders have agreed to vote their founder shares, and they and the other members of our management team have agreed to vote any founder shares they hold and any shares purchased during or after our Initial Public Offering in favor of our initial business combination.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certificate of incorporation provides that our officers and directors will be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entered into agreements with our officers and directors to provide contractual indemnification in addition to the indemnification provided for in our certificate of incorporation. Our bylaws also permit us to secure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acquired in our Initial Public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8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7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None of our executive officers or directors have received any cash compensation for services rendered to us. We pay an affiliate of our sponsor $10,000 per month for office space and secretarial and administrative services provided to members of our management team. In addition, our sponsor, executive officers and directors, or any of their respective affiliates are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to our sponsor, executive officers or directors, or our or their affiliates. Any such payments prior to an initial business combination will be made from (i) funds held outside the trust account or (ii) interest earned on the trust account and released to us to pay our taxes. Other than quarterly audit committee review of such reimbursements, we do not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w:t>
      </w:r>
    </w:p>
    <w:p>
      <w:pPr>
        <w:spacing w:after="0" w:line="166"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7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339"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the date of this Annual Report on Form 10-K by:</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2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Outstanding Common Stock</w:t>
            </w: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Shares</w:t>
            </w:r>
          </w:p>
        </w:tc>
        <w:tc>
          <w:tcPr>
            <w:tcW w:w="74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Before Initial</w:t>
            </w:r>
          </w:p>
        </w:tc>
        <w:tc>
          <w:tcPr>
            <w:tcW w:w="1080" w:type="dxa"/>
            <w:vAlign w:val="bottom"/>
            <w:tcBorders>
              <w:top w:val="single" w:sz="8" w:color="auto"/>
            </w:tcBorders>
            <w:gridSpan w:val="2"/>
          </w:tcPr>
          <w:p>
            <w:pPr>
              <w:jc w:val="center"/>
              <w:ind w:left="216"/>
              <w:spacing w:after="0" w:line="119" w:lineRule="exact"/>
              <w:rPr>
                <w:sz w:val="20"/>
                <w:szCs w:val="20"/>
                <w:color w:val="auto"/>
              </w:rPr>
            </w:pPr>
            <w:r>
              <w:rPr>
                <w:rFonts w:ascii="Arial" w:cs="Arial" w:eastAsia="Arial" w:hAnsi="Arial"/>
                <w:sz w:val="13"/>
                <w:szCs w:val="13"/>
                <w:b w:val="1"/>
                <w:bCs w:val="1"/>
                <w:color w:val="auto"/>
              </w:rPr>
              <w:t>After Initial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Public</w:t>
            </w:r>
          </w:p>
        </w:tc>
        <w:tc>
          <w:tcPr>
            <w:tcW w:w="3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Public</w:t>
            </w:r>
          </w:p>
        </w:tc>
        <w:tc>
          <w:tcPr>
            <w:tcW w:w="0" w:type="dxa"/>
            <w:vAlign w:val="bottom"/>
          </w:tcPr>
          <w:p>
            <w:pPr>
              <w:spacing w:after="0"/>
              <w:rPr>
                <w:sz w:val="1"/>
                <w:szCs w:val="1"/>
                <w:color w:val="auto"/>
              </w:rPr>
            </w:pPr>
          </w:p>
        </w:tc>
      </w:tr>
      <w:tr>
        <w:trPr>
          <w:trHeight w:val="171"/>
        </w:trPr>
        <w:tc>
          <w:tcPr>
            <w:tcW w:w="506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Owned(2)</w:t>
            </w:r>
          </w:p>
        </w:tc>
        <w:tc>
          <w:tcPr>
            <w:tcW w:w="7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HEC Sponsor LLC (our sponsor)(3)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10,300,000</w:t>
            </w:r>
          </w:p>
        </w:tc>
        <w:tc>
          <w:tcPr>
            <w:tcW w:w="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Douglas L. Braunstein(3)</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Douglas G. Bergeron(3)</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Jonathan Dobres</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Thelma Duggin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Robert Greifeld</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Amy Schulman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rPr>
              <w:t>All officers, directors and director nominees as a group (five</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individuals)</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771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6"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is 570 Lexington Avenue, 35th Floor, New York, NY 10022.</w:t>
      </w:r>
    </w:p>
    <w:p>
      <w:pPr>
        <w:spacing w:after="0" w:line="9"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common stock. Such shares will automatically convert into Class A common stock concurrently with or immediately following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640"/>
        <w:spacing w:after="0" w:line="255" w:lineRule="auto"/>
        <w:rPr>
          <w:sz w:val="20"/>
          <w:szCs w:val="20"/>
          <w:color w:val="auto"/>
        </w:rPr>
      </w:pPr>
      <w:r>
        <w:rPr>
          <w:rFonts w:ascii="Arial" w:cs="Arial" w:eastAsia="Arial" w:hAnsi="Arial"/>
          <w:sz w:val="18"/>
          <w:szCs w:val="18"/>
          <w:color w:val="auto"/>
        </w:rPr>
        <w:t>consummation of our initial business combination on a one-for-one basis, subject to adjustment. Excludes Class A common stock issuable pursuant to the HEC Forward Purchase Agreement, as such shares will only be issued concurrently with the closing of our initial business combination.</w:t>
      </w:r>
    </w:p>
    <w:p>
      <w:pPr>
        <w:spacing w:after="0" w:line="3" w:lineRule="exact"/>
        <w:rPr>
          <w:sz w:val="20"/>
          <w:szCs w:val="20"/>
          <w:color w:val="auto"/>
        </w:rPr>
      </w:pPr>
    </w:p>
    <w:p>
      <w:pPr>
        <w:ind w:left="540" w:right="40" w:hanging="424"/>
        <w:spacing w:after="0" w:line="292"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sponsor is the record holder of the shares reported herein. HEC Fund and Messrs. Braunstein and Bergeron are among the members of the sponsor and share voting and investment discretion with respect to the common stock held of record by the sponsor. Each of the Messrs. Braunstein and Bergeron disclaims any beneficial ownership of the securities held by the sponsor other than to the extent of any pecuniary interest he may have therein, directly or indirectly. Certain other members of our management team and Hudson Executive Capital’s network are also among members of the sponsor and may be entitled to distributions of founder shares and Private Placement Warrants held by the sponsor.</w:t>
      </w:r>
    </w:p>
    <w:p>
      <w:pPr>
        <w:spacing w:after="0" w:line="162"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Our founders beneficially own 20% of our issued and outstanding common stock. Because of this ownership block, our founders may be able to effectively influence the outcome of all other matters requiring approval by our stockholders, including certain amendments to our certificate of incorporation and approval of significant corporate transactions including our initial business combination.</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sponsor purchased an aggregate of 10,280,000 Private Placement Warrants, at a price of $1.00 per warrant, or $10,280,000 in the aggregate, in a private placement that occurred simultaneously with the closing of Initial Public Offering. Each private placement warrant entitles the holder to purchase one share of Class A common stock at $11.50 per share, subject to adjustment. A portion of the purchase price of the Private Placement Warrants was added to the proceeds from our Initial Public Offering to be held in the trust account such that $414,000,000 was held in the trust account at the closing of our Initial Public Offering. If we do not complete our initial business combination within 24 months from the closing date of our Initial Public Offering, the Private Placement Warrants will expire worthless. The Private Placement Warrants will not be redeemable by us for cash so long as they are held by their initial purchasers or their permitted transferees. The initial purchasers of the Private Placement Warrants, or their permitted transferees, have the option to exercise the Private Placement Warrants on a cashless basis. If the Private Placement Warrants are held by holders other than their initial purchasers or their permitted transferees, the Private Placement Warrants will be redeemable by us and exercisable by the holders on the same basis as the warrants included in the units sold in our Initial Public Offering. Otherwise, the Private Placement Warrants have terms and provisions that are identical to those of the warrants sold as part of the units in our Initial Public Offering.</w:t>
      </w:r>
    </w:p>
    <w:p>
      <w:pPr>
        <w:spacing w:after="0" w:line="17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in connection with the execution of the Merger Agreement, we entered into the HEC Forward Purchase Agreement with HEC Fund. Pursuant to the HEC Forward Purchase Agreement, HEC Fund agreed to purchase 2,500,000 Forward Purchase Units (each Forward Purchase Unit consisting of one forward purchase share and one forward purchase warrant), for $10.00 per unit, or an aggregate amount of $25,000,000, in a private placement that will close concurrently with the closing of the Proposed Business Combination. HEC Fund also agreed to backstop up to $25,000,000 of redemptions by our stockholders. The forward purchase shares will be identical to the shares of Class A common stock included in the units sold in our Initial Public Offering, except that they will be subject to transfer restrictions and will be provided registration rights. The forward purchase warrants will have the same terms as the Private Placement Warrants issued to the sponsor in connection with our Initial Public Offering so long as they are held by HEC Fund or its permitted assignees and transferees.</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sponsor and our executive officers and directors are deemed to be our “promoters” as such term is defined under the federal securities laws. See “Item 13. Certain Relationships and Related Transactions, and Director Independence” below for additional information regarding our relationships with our promoters.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In February 2020, our sponsor purchased an aggregate of 8,625,000 shares of our Class B common stock for an aggregate purchase price of $25,000, or approximately $0.0029 per share. On June 8, 2020, we effected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1:1.2 stock split of our Class B common stock, resulting in an aggregate of 10,350,000 founder shares issued and outstanding, of which 10,300,000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founder shares are held by our sponsor and 50,000 founder shares are held by our directors. The number of founder shares issued was based 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expectation that the founder shares would represent 20% of the outstanding shares of common stock upon completion of our Initial Public Offering.</w:t>
      </w:r>
    </w:p>
    <w:p>
      <w:pPr>
        <w:spacing w:after="0" w:line="23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sponsor also purchased an aggregate of 10,280,000 Private Placement Warrants for a purchase price of $1.00 per warrant in a private placement that occurred simultaneously with the closing of our Initial Public Offering. As such, our sponsor‘s interest in our Initial Public Offering was valued at $10,280,000, based on the number of Private Placement Warrants purchased. Each Private Placement Warrants entitles the holder thereof to purchase one share of our Class A common stock at a price of $11.50 per share, subject to adjustment.</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sponsor loaned us an aggregate of $300,000 to cover expenses related to our Initial Public Offering pursuant to a promissory note (the “Promissory Note”). The Promissory Note was non-interest bearing, unsecured and payable on the earlier of December 31, 2020 or the consummation of the Initial Public Offering. The outstanding balance under the Promissory Note was repaid on June 12, 2020.</w:t>
      </w:r>
    </w:p>
    <w:p>
      <w:pPr>
        <w:spacing w:after="0" w:line="18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entered into a forward purchase agreement with HEC Fund pursuant to which HEC Fund had committed to purchase from us up to 5,000,000 Forward Purchase Units, consisting of one share of our post-business combination entity‘s common stock and one-half of one warrant to purchase one share of our post-business combination entity’s common stock for $10.00 per unit, or an aggregate amount of up to $50,000,000, in a private placement that will close concurrently with the closing of a business combination. In connection with the execution of the Merger Agreement, we entered into the HEC Forward Purchase Agreement between us and HEC Fund, which amended the forward purchase agreement entered into in connection with our Initial Public Offering. Pursuant to the HEC Forward Purchase Agreement HEC Fund agreed to purchase 2,500,000 Forward Purchase Units, for $10.00 per unit, for an aggregate purchase price of $25,000,000, in a private placement that will close concurrently with the closing of the Proposed Business Combination. HEC Fund also agreed to backstop up to $25,000,000 of redemptions by our stockholders.</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Each of the insiders has an indirect economic interest in the founder shares and private placement warrants purchased by our sponsor as a result of his or her membership interest in our sponsor. In addition, Douglas Braunstein and Douglas Bergeron may be deemed to have an indirect economic interest in the founder shares and private placement warrants purchased by our sponsor as a result of HEC Fund, having membership interests in our sponsor, and their respective affiliation with such entities.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entered into an administrative services agreement pursuant to which we pay an affiliate of our sponsor a total of $10,000 per month for office space and administrative and support services. Upon completion of our initial business combination or our liquidation, we will cease paying these monthly fees.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addition, 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an initial business combination, we would repay such loaned amounts. In the event that an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sponsor, officers and directors or any of their respective affiliates will be reimbursed for any out-of-pocket expenses incurred in connection with activities on our behalf such as paying for office space, secretarial and administrative services, identifying potential target businesses and performing due diligence on suitable business combinations. Our audit committee reviews on a quarterly basis all payments that were made by us to our sponsor, officers, directors or its or any of their respective affiliates and determines which expenses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and the amount of expenses that will be reimbursed. There is no cap or ceiling on the reimbursement of out-of-pocket expenses incurred by such persons in connection with activities on our behalf.</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After our initial business combination, members of our management team who remain with us, if any,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officer and director compensation.</w:t>
      </w:r>
    </w:p>
    <w:p>
      <w:pPr>
        <w:spacing w:after="0" w:line="16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connection with the execution of the Merger Agreement, we, the insiders and Talkspace entered into the Sponsor Support Agreement pursuant to which the insiders agreed to, among other things, vote to adopt and approve the Merger Agreement and the Transactions, in each case, subject to the terms and conditions of the Sponsor Support Agreement.</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Concurrently with the closing of our Initial Public Offering, we entered into a registration rights agreement pursuant to which the holders of the founder shares, the Private Placement Warrants, the forward purchase warrants purchased in connection with our Initial Public Offering and warrants that may be issued upon conversion of any working capital loans (and any Class A common stock issuable upon the exercise of such Private Placement Warrants, forward purchase warrants and warrants issued upon conversion of any such working capital loans and upon conversion of the founder shares) are entitled to registration rights, requiring us to register such securities for resale (in the case of the founder shares, only after conversion to shares of Class A common stock). The holders of these securities are entitled to make up to three demands, excluding short form registration demands, that we register such securities. In addition, the holders will have certain “piggy-back” registration rights with respect to registration statements filed subsequent to the completion of a business combination. We will bear the expenses incurred in connection with the filing of any such registration statements.</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At the closing of the Proposed Business Combination, we, our sponsor, Talkspace’s independent directors, certain former stockholders of Talkspace and certain other parties thereto will enter into an Amended and Restated Registration Rights Agreement, pursuant to which we will agree to register for resale, pursuant to Rule 415 under the Securities Act, certain shares of Talkspace, Inc. common stock and other equity securities of the Company that are held by the parties thereto from time to time.</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additional information regarding transactions entered into in connection with the Proposed Business Combination, see “Item 1—Business— Recent Developments.”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Policy</w:t>
      </w:r>
    </w:p>
    <w:p>
      <w:pPr>
        <w:spacing w:after="0" w:line="121"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We had not yet adopted a formal policy for the review, approval or ratification of related party transactions as of the completion of our Initial Public Offering. Accordingly, the transactions discussed above were not reviewed, approved or ratified in accordance with any such policy.</w:t>
      </w:r>
    </w:p>
    <w:p>
      <w:pPr>
        <w:spacing w:after="0" w:line="12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have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rules of the Nasdaq require that a majority of our Board of Directors be independent within one year of our Initial Public Offering. An “independent director” is defined generally as a person other than an executive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officer or employee of the Company or its subsidiaries or any other individual having a relationship, which in the opinion of the Board of Directors, would interfere with the director’s exercise of independent judgment in carrying out the responsibilities of a director. Our Board of Directors has determined that each of Mr. Greifeld, Ms. Schulman and Ms. Duggin is an independent director under applicable SEC and Nasdaq rules. Our independent directors will have regularly scheduled meetings at which only independent directors are present.</w:t>
      </w:r>
    </w:p>
    <w:p>
      <w:pPr>
        <w:spacing w:after="0" w:line="31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For the period from February 6, 2020 (inception) through December 31, 2020, fees for our independent registered public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firm were approximately $119,500, for the services Withum performed in connection with our Initial Public Offering and the audit of our December 31, 2020 financial statements included in this Annual Report on Form 10-K.</w:t>
      </w:r>
    </w:p>
    <w:p>
      <w:pPr>
        <w:spacing w:after="0" w:line="184"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For the period from February 6, 2020 (inception) through December 31, 2020, our independent registered public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firm did not render assurance and related services related to the performance of the audit or review of financial statements.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For the period from February 6, 2020 (inception) through December 31, 2020, our independent registered public accounting firm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render services to us for tax compliance, tax advice and tax planning.</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For the period from February 6, 2020 (inception) through December 31, 2020, there were no fees billed for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our independent registered public accounting firm other than those set forth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Policy</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are filed as part of this Form 10-K:</w:t>
      </w:r>
    </w:p>
    <w:p>
      <w:pPr>
        <w:spacing w:after="0" w:line="13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220" w:type="dxa"/>
            <w:vAlign w:val="bottom"/>
            <w:gridSpan w:val="7"/>
            <w:vMerge w:val="restart"/>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Report of Independent Registered Public Accounting Firm</w:t>
              </w:r>
            </w:hyperlink>
          </w:p>
        </w:tc>
        <w:tc>
          <w:tcPr>
            <w:tcW w:w="6420" w:type="dxa"/>
            <w:vAlign w:val="bottom"/>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7"/>
            <w:vMerge w:val="continue"/>
          </w:tcPr>
          <w:p>
            <w:pPr>
              <w:spacing w:after="0"/>
              <w:rPr>
                <w:sz w:val="13"/>
                <w:szCs w:val="13"/>
                <w:color w:val="auto"/>
              </w:rPr>
            </w:pPr>
          </w:p>
        </w:tc>
        <w:tc>
          <w:tcPr>
            <w:tcW w:w="6420" w:type="dxa"/>
            <w:vAlign w:val="bottom"/>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4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Balance Sheet</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Statement of Operations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1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Statement of Changes in Stockholders’ Equity</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3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Statement of Cash Flows</w:t>
              </w:r>
            </w:hyperlink>
          </w:p>
        </w:tc>
        <w:tc>
          <w:tcPr>
            <w:tcW w:w="732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18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Notes to Financial Statements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tcPr>
          <w:p>
            <w:pPr>
              <w:ind w:left="420"/>
              <w:spacing w:after="0"/>
              <w:rPr>
                <w:sz w:val="20"/>
                <w:szCs w:val="20"/>
                <w:color w:val="auto"/>
              </w:rPr>
            </w:pPr>
            <w:r>
              <w:rPr>
                <w:rFonts w:ascii="Arial" w:cs="Arial" w:eastAsia="Arial" w:hAnsi="Arial"/>
                <w:sz w:val="18"/>
                <w:szCs w:val="18"/>
                <w:color w:val="auto"/>
              </w:rPr>
              <w:t>(2)</w:t>
            </w:r>
          </w:p>
        </w:tc>
        <w:tc>
          <w:tcPr>
            <w:tcW w:w="9900" w:type="dxa"/>
            <w:vAlign w:val="bottom"/>
            <w:gridSpan w:val="7"/>
          </w:tcPr>
          <w:p>
            <w:pPr>
              <w:ind w:left="220"/>
              <w:spacing w:after="0"/>
              <w:rPr>
                <w:sz w:val="20"/>
                <w:szCs w:val="20"/>
                <w:color w:val="auto"/>
              </w:rPr>
            </w:pPr>
            <w:r>
              <w:rPr>
                <w:rFonts w:ascii="Arial" w:cs="Arial" w:eastAsia="Arial" w:hAnsi="Arial"/>
                <w:sz w:val="18"/>
                <w:szCs w:val="18"/>
                <w:color w:val="auto"/>
              </w:rPr>
              <w:t>Financial Statement Schedules: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900" w:type="dxa"/>
            <w:vAlign w:val="bottom"/>
            <w:gridSpan w:val="7"/>
          </w:tcPr>
          <w:p>
            <w:pPr>
              <w:ind w:left="12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ind w:left="420"/>
              <w:spacing w:after="0"/>
              <w:rPr>
                <w:sz w:val="20"/>
                <w:szCs w:val="20"/>
                <w:color w:val="auto"/>
              </w:rPr>
            </w:pPr>
            <w:r>
              <w:rPr>
                <w:rFonts w:ascii="Arial" w:cs="Arial" w:eastAsia="Arial" w:hAnsi="Arial"/>
                <w:sz w:val="18"/>
                <w:szCs w:val="18"/>
                <w:color w:val="auto"/>
              </w:rPr>
              <w:t>(3)</w:t>
            </w:r>
          </w:p>
        </w:tc>
        <w:tc>
          <w:tcPr>
            <w:tcW w:w="9900" w:type="dxa"/>
            <w:vAlign w:val="bottom"/>
            <w:gridSpan w:val="7"/>
          </w:tcPr>
          <w:p>
            <w:pPr>
              <w:ind w:left="220"/>
              <w:spacing w:after="0"/>
              <w:rPr>
                <w:sz w:val="20"/>
                <w:szCs w:val="20"/>
                <w:color w:val="auto"/>
              </w:rPr>
            </w:pPr>
            <w:r>
              <w:rPr>
                <w:rFonts w:ascii="Arial" w:cs="Arial" w:eastAsia="Arial" w:hAnsi="Arial"/>
                <w:sz w:val="18"/>
                <w:szCs w:val="18"/>
                <w:color w:val="auto"/>
              </w:rPr>
              <w:t>Exhibits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Exhibit</w:t>
            </w: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gridSpan w:val="12"/>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Number</w:t>
            </w: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 w:type="dxa"/>
            <w:vAlign w:val="bottom"/>
          </w:tcPr>
          <w:p>
            <w:pPr>
              <w:spacing w:after="0"/>
              <w:rPr>
                <w:sz w:val="22"/>
                <w:szCs w:val="22"/>
                <w:color w:val="auto"/>
              </w:rPr>
            </w:pPr>
          </w:p>
        </w:tc>
        <w:tc>
          <w:tcPr>
            <w:tcW w:w="9860" w:type="dxa"/>
            <w:vAlign w:val="bottom"/>
            <w:tcBorders>
              <w:top w:val="single" w:sz="8" w:color="auto"/>
              <w:bottom w:val="single" w:sz="8" w:color="0000EE"/>
            </w:tcBorders>
            <w:gridSpan w:val="18"/>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Underwriting Agreement, dated June 8, 2020, by and among the Company and Citigroup Global Markets Inc. and J.P. Morgan Securities</w:t>
              </w:r>
            </w:hyperlink>
          </w:p>
        </w:tc>
        <w:tc>
          <w:tcPr>
            <w:tcW w:w="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LLC, as representatives of the several underwriters (incorporated by reference to Exhibit 1.1 filed with the Company’s current report on</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Form 8-K filed by the registrant on June 11, 2020).</w:t>
              </w:r>
            </w:hyperlink>
          </w:p>
        </w:tc>
        <w:tc>
          <w:tcPr>
            <w:tcW w:w="6060" w:type="dxa"/>
            <w:vAlign w:val="bottom"/>
            <w:tcBorders>
              <w:top w:val="single" w:sz="8" w:color="0000EE"/>
            </w:tcBorders>
            <w:gridSpan w:val="9"/>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4"/>
              </w:rPr>
            </w:pPr>
            <w:hyperlink r:id="rId86">
              <w:r>
                <w:rPr>
                  <w:rFonts w:ascii="Arial" w:cs="Arial" w:eastAsia="Arial" w:hAnsi="Arial"/>
                  <w:sz w:val="18"/>
                  <w:szCs w:val="18"/>
                  <w:color w:val="0000EE"/>
                  <w:w w:val="94"/>
                </w:rPr>
                <w:t>Agreement and Plan of Merger (incorporated by reference to Exhibit 2.1 filed with the Company’s current report on Form 8-K filed by</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the registrant on January 13, 2021).</w:t>
              </w:r>
            </w:hyperlink>
          </w:p>
        </w:tc>
        <w:tc>
          <w:tcPr>
            <w:tcW w:w="7140" w:type="dxa"/>
            <w:vAlign w:val="bottom"/>
            <w:tcBorders>
              <w:top w:val="single" w:sz="8" w:color="0000EE"/>
            </w:tcBorders>
            <w:gridSpan w:val="11"/>
          </w:tcPr>
          <w:p>
            <w:pPr>
              <w:spacing w:after="0"/>
              <w:rPr>
                <w:sz w:val="17"/>
                <w:szCs w:val="17"/>
                <w:color w:val="auto"/>
              </w:rPr>
            </w:pPr>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Amended and Restated Certificate of Incorporation (incorporated by reference to Exhibit 3.1 filed with the Company’s current report on</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Form 8-K filed by the registrant on June 11, 2020).</w:t>
              </w:r>
            </w:hyperlink>
          </w:p>
        </w:tc>
        <w:tc>
          <w:tcPr>
            <w:tcW w:w="6100" w:type="dxa"/>
            <w:vAlign w:val="bottom"/>
            <w:tcBorders>
              <w:top w:val="single" w:sz="8" w:color="0000EE"/>
            </w:tcBorders>
            <w:gridSpan w:val="11"/>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Form of Second Amended and Restated Certificate of Incorporation (included as </w:t>
            </w:r>
            <w:hyperlink r:id="rId88">
              <w:r>
                <w:rPr>
                  <w:rFonts w:ascii="Arial" w:cs="Arial" w:eastAsia="Arial" w:hAnsi="Arial"/>
                  <w:sz w:val="18"/>
                  <w:szCs w:val="18"/>
                  <w:color w:val="0000EE"/>
                  <w:w w:val="92"/>
                </w:rPr>
                <w:t>Annex B</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Company’s Registration Statement on</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60" w:type="dxa"/>
            <w:vAlign w:val="bottom"/>
            <w:gridSpan w:val="9"/>
          </w:tcPr>
          <w:p>
            <w:pPr>
              <w:spacing w:after="0"/>
              <w:rPr>
                <w:sz w:val="20"/>
                <w:szCs w:val="20"/>
                <w:color w:val="auto"/>
              </w:rPr>
            </w:pPr>
            <w:r>
              <w:rPr>
                <w:rFonts w:ascii="Arial" w:cs="Arial" w:eastAsia="Arial" w:hAnsi="Arial"/>
                <w:sz w:val="18"/>
                <w:szCs w:val="18"/>
                <w:color w:val="auto"/>
              </w:rPr>
              <w:t>Form S-4 filed by the registrant on February 2, 2021).</w:t>
            </w:r>
          </w:p>
        </w:tc>
        <w:tc>
          <w:tcPr>
            <w:tcW w:w="640" w:type="dxa"/>
            <w:vAlign w:val="bottom"/>
            <w:tcBorders>
              <w:top w:val="single" w:sz="8" w:color="0000EE"/>
            </w:tcBorders>
          </w:tcPr>
          <w:p>
            <w:pPr>
              <w:spacing w:after="0"/>
              <w:rPr>
                <w:sz w:val="20"/>
                <w:szCs w:val="20"/>
                <w:color w:val="auto"/>
              </w:rPr>
            </w:pPr>
          </w:p>
        </w:tc>
        <w:tc>
          <w:tcPr>
            <w:tcW w:w="342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Bylaws (incorporated by reference to Exhibit 3.3 filed with the Company’s registration statement on Form S-1 filed by the registrant on</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May 21, 2020).</w:t>
              </w:r>
            </w:hyperlink>
          </w:p>
        </w:tc>
        <w:tc>
          <w:tcPr>
            <w:tcW w:w="864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40" w:type="dxa"/>
            <w:vAlign w:val="bottom"/>
          </w:tcPr>
          <w:p>
            <w:pPr>
              <w:spacing w:after="0"/>
              <w:rPr>
                <w:sz w:val="24"/>
                <w:szCs w:val="24"/>
                <w:color w:val="auto"/>
              </w:rPr>
            </w:pPr>
          </w:p>
        </w:tc>
        <w:tc>
          <w:tcPr>
            <w:tcW w:w="9560" w:type="dxa"/>
            <w:vAlign w:val="bottom"/>
            <w:tcBorders>
              <w:bottom w:val="single" w:sz="8" w:color="0000EE"/>
            </w:tcBorders>
            <w:gridSpan w:val="13"/>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Specimen Unit Certificate (incorporated by reference to the Exhibit 4.1 filed with the Company’s registration statement on Form S-1</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filed by the registrant on May 21, 2020).</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40" w:type="dxa"/>
            <w:vAlign w:val="bottom"/>
          </w:tcPr>
          <w:p>
            <w:pPr>
              <w:spacing w:after="0"/>
              <w:rPr>
                <w:sz w:val="24"/>
                <w:szCs w:val="24"/>
                <w:color w:val="auto"/>
              </w:rPr>
            </w:pPr>
          </w:p>
        </w:tc>
        <w:tc>
          <w:tcPr>
            <w:tcW w:w="9320" w:type="dxa"/>
            <w:vAlign w:val="bottom"/>
            <w:tcBorders>
              <w:bottom w:val="single" w:sz="8" w:color="0000EE"/>
            </w:tcBorders>
            <w:gridSpan w:val="11"/>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Specimen Class A Common Stock Certificate (incorporated by reference to the Exhibit 4.2 filed with the Company’s registration</w:t>
              </w:r>
            </w:hyperlink>
          </w:p>
        </w:tc>
        <w:tc>
          <w:tcPr>
            <w:tcW w:w="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statement on Form S-1 filed by the registrant on May 21, 2020).</w:t>
              </w:r>
            </w:hyperlink>
          </w:p>
        </w:tc>
        <w:tc>
          <w:tcPr>
            <w:tcW w:w="5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Specimen Warrant Certificate (incorporated by reference to the Exhibit 4.3 filed with the Company’s registration statement on Form S-1</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filed by the registrant on May 21, 2020).</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Warrant Agreement, dated June 8, 2020, by and among the Company and Citigroup Global Markets Inc. and J.P. Morgan Securities</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5820" w:type="dxa"/>
            <w:vAlign w:val="bottom"/>
            <w:gridSpan w:val="7"/>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LLC, as representatives of the several underwriters (incorporated by reference to Exhibit 4.1 filed with the Company’s current report on</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Form 8-K filed by the registrant on June 11, 2020).</w:t>
              </w:r>
            </w:hyperlink>
          </w:p>
        </w:tc>
        <w:tc>
          <w:tcPr>
            <w:tcW w:w="6100" w:type="dxa"/>
            <w:vAlign w:val="bottom"/>
            <w:tcBorders>
              <w:top w:val="single" w:sz="8" w:color="0000EE"/>
            </w:tcBorders>
            <w:gridSpan w:val="11"/>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Description of Securities*</w:t>
              </w:r>
            </w:hyperlink>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Borders>
              <w:top w:val="single" w:sz="8" w:color="0000EE"/>
            </w:tcBorders>
            <w:gridSpan w:val="2"/>
          </w:tcPr>
          <w:p>
            <w:pPr>
              <w:spacing w:after="0"/>
              <w:rPr>
                <w:sz w:val="24"/>
                <w:szCs w:val="24"/>
                <w:color w:val="auto"/>
              </w:rPr>
            </w:pPr>
          </w:p>
        </w:tc>
        <w:tc>
          <w:tcPr>
            <w:tcW w:w="2740" w:type="dxa"/>
            <w:vAlign w:val="bottom"/>
            <w:gridSpan w:val="6"/>
          </w:tcPr>
          <w:p>
            <w:pPr>
              <w:jc w:val="right"/>
              <w:ind w:right="48"/>
              <w:spacing w:after="0"/>
              <w:rPr>
                <w:sz w:val="20"/>
                <w:szCs w:val="20"/>
                <w:color w:val="auto"/>
              </w:rPr>
            </w:pPr>
            <w:r>
              <w:rPr>
                <w:rFonts w:ascii="Arial" w:cs="Arial" w:eastAsia="Arial" w:hAnsi="Arial"/>
                <w:sz w:val="18"/>
                <w:szCs w:val="18"/>
                <w:color w:val="auto"/>
              </w:rPr>
              <w:t>68</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gridSpan w:val="21"/>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2"/>
                <w:szCs w:val="22"/>
                <w:color w:val="auto"/>
              </w:rPr>
            </w:pPr>
          </w:p>
        </w:tc>
        <w:tc>
          <w:tcPr>
            <w:tcW w:w="9520" w:type="dxa"/>
            <w:vAlign w:val="bottom"/>
            <w:tcBorders>
              <w:top w:val="single" w:sz="8" w:color="auto"/>
              <w:bottom w:val="single" w:sz="8" w:color="0000EE"/>
            </w:tcBorders>
            <w:gridSpan w:val="21"/>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Promissory Note, dated February 6, 2020, issued to HEC Sponsor LLC (incorporated by reference to the Exhibit 10.6 filed with the</w:t>
              </w:r>
            </w:hyperlink>
          </w:p>
        </w:tc>
        <w:tc>
          <w:tcPr>
            <w:tcW w:w="400" w:type="dxa"/>
            <w:vAlign w:val="bottom"/>
            <w:tcBorders>
              <w:top w:val="single" w:sz="8" w:color="auto"/>
            </w:tcBorders>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Company’s registration statement on Form S-1 filed by the registrant on May 21,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9120" w:type="dxa"/>
            <w:vAlign w:val="bottom"/>
            <w:tcBorders>
              <w:bottom w:val="single" w:sz="8" w:color="0000EE"/>
            </w:tcBorders>
            <w:gridSpan w:val="17"/>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Letter Agreement, dated June 8, 2020, by and among the Company, its executive officers, its directors and HEC Sponsor LLC</w:t>
              </w:r>
            </w:hyperlink>
          </w:p>
        </w:tc>
        <w:tc>
          <w:tcPr>
            <w:tcW w:w="8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(incorporated by reference to Exhibit 10.1 filed with the Company’s current report on Form 8-K filed by the registrant on June 11, 2020).</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9660" w:type="dxa"/>
            <w:vAlign w:val="bottom"/>
            <w:tcBorders>
              <w:bottom w:val="single" w:sz="8" w:color="0000EE"/>
            </w:tcBorders>
            <w:gridSpan w:val="22"/>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Investment Management Trust Agreement, dated June 8, 2020, by and between the Company and Continental Stock Transfer &amp; Trust</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Company, as trustee (incorporated by reference to Exhibit 10.2 filed with the Company’s current report on Form 8-K filed by the</w:t>
              </w:r>
            </w:hyperlink>
          </w:p>
        </w:tc>
        <w:tc>
          <w:tcPr>
            <w:tcW w:w="6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registrant on June 11, 2020).</w:t>
              </w:r>
            </w:hyperlink>
          </w:p>
        </w:tc>
        <w:tc>
          <w:tcPr>
            <w:tcW w:w="78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Registration Rights Agreement, dated June 8, 2020, by and among the Company, HEC Sponsor LLC and the other holders party thereto</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(incorporated by reference to Exhibit 10.3 filed with the Company’s current report on Form 8-K filed by the registrant on June 11, 2020).</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9880" w:type="dxa"/>
            <w:vAlign w:val="bottom"/>
            <w:tcBorders>
              <w:bottom w:val="single" w:sz="8" w:color="0000EE"/>
            </w:tcBorders>
            <w:gridSpan w:val="25"/>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Subscription Agreement, dated February 6, 2020, by and between the Company and HEC Sponsor LLC (incorporated by reference to the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Exhibit 10.7 filed with the Company’s registration statement on Form S-1 filed by the registrant on May 21,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Private Placement Warrants Purchase Agreement, dated June 8, 2020, by and among the Company and HEC Sponsor LLC (incorporated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by reference to Exhibit 10.4 filed with the Company’s current report on Form 8-K filed by the registrant on June 11, 2020).</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7"/>
              </w:rPr>
            </w:pPr>
            <w:hyperlink r:id="rId101">
              <w:r>
                <w:rPr>
                  <w:rFonts w:ascii="Arial" w:cs="Arial" w:eastAsia="Arial" w:hAnsi="Arial"/>
                  <w:sz w:val="18"/>
                  <w:szCs w:val="18"/>
                  <w:color w:val="0000EE"/>
                  <w:w w:val="97"/>
                </w:rPr>
                <w:t>Administrative Services Agreement, dated June 8, 2020, by and between the Company and HEC Sponsor LLC (incorporated by</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reference to Exhibit 10.5 filed with the Company’s current report on Form 8-K filed by the registrant on June 11, 2020).</w:t>
              </w:r>
            </w:hyperlink>
          </w:p>
        </w:tc>
        <w:tc>
          <w:tcPr>
            <w:tcW w:w="600" w:type="dxa"/>
            <w:vAlign w:val="bottom"/>
            <w:tcBorders>
              <w:top w:val="single" w:sz="8" w:color="0000EE"/>
            </w:tcBorders>
            <w:gridSpan w:val="3"/>
          </w:tcPr>
          <w:p>
            <w:pPr>
              <w:spacing w:after="0"/>
              <w:rPr>
                <w:sz w:val="17"/>
                <w:szCs w:val="17"/>
                <w:color w:val="auto"/>
              </w:rPr>
            </w:pP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9440" w:type="dxa"/>
            <w:vAlign w:val="bottom"/>
            <w:tcBorders>
              <w:bottom w:val="single" w:sz="8" w:color="0000EE"/>
            </w:tcBorders>
            <w:gridSpan w:val="20"/>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HEC Forward Purchase Agreement, dated June 8, 2020, by and between the Company and HEC Master Fund LP (incorporated by</w:t>
              </w:r>
            </w:hyperlink>
          </w:p>
        </w:tc>
        <w:tc>
          <w:tcPr>
            <w:tcW w:w="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reference to Exhibit 10.6 filed with the Company’s current report on Form 8-K filed by the registrant on June 11, 2020).</w:t>
              </w:r>
            </w:hyperlink>
          </w:p>
        </w:tc>
        <w:tc>
          <w:tcPr>
            <w:tcW w:w="1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680" w:type="dxa"/>
            <w:vAlign w:val="bottom"/>
          </w:tcPr>
          <w:p>
            <w:pPr>
              <w:ind w:left="8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auto"/>
                <w:w w:val="89"/>
              </w:rPr>
              <w:t>Sponsor Support Agreement, dated January 12, 2021, by and among HEC Sponsor LLC, the Company, each director of the registrant and</w:t>
            </w: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20" w:type="dxa"/>
            <w:vAlign w:val="bottom"/>
            <w:gridSpan w:val="26"/>
          </w:tcPr>
          <w:p>
            <w:pPr>
              <w:spacing w:after="0" w:line="190" w:lineRule="exact"/>
              <w:rPr>
                <w:rFonts w:ascii="Arial" w:cs="Arial" w:eastAsia="Arial" w:hAnsi="Arial"/>
                <w:sz w:val="18"/>
                <w:szCs w:val="18"/>
                <w:color w:val="auto"/>
                <w:w w:val="92"/>
              </w:rPr>
            </w:pPr>
            <w:r>
              <w:rPr>
                <w:rFonts w:ascii="Arial" w:cs="Arial" w:eastAsia="Arial" w:hAnsi="Arial"/>
                <w:sz w:val="18"/>
                <w:szCs w:val="18"/>
                <w:color w:val="auto"/>
                <w:w w:val="92"/>
              </w:rPr>
              <w:t xml:space="preserve">Groop Internet Platform, Inc. (d/b/a Talkspace) (included as </w:t>
            </w:r>
            <w:hyperlink r:id="rId103">
              <w:r>
                <w:rPr>
                  <w:rFonts w:ascii="Arial" w:cs="Arial" w:eastAsia="Arial" w:hAnsi="Arial"/>
                  <w:sz w:val="18"/>
                  <w:szCs w:val="18"/>
                  <w:color w:val="0000EE"/>
                  <w:w w:val="92"/>
                </w:rPr>
                <w:t>Annex I</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Company’s Registration Statement on Form S-4 filed by the</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registrant on February 2, 2021).</w:t>
            </w:r>
          </w:p>
        </w:tc>
        <w:tc>
          <w:tcPr>
            <w:tcW w:w="580" w:type="dxa"/>
            <w:vAlign w:val="bottom"/>
            <w:tcBorders>
              <w:top w:val="single" w:sz="8" w:color="0000EE"/>
            </w:tcBorders>
            <w:gridSpan w:val="3"/>
          </w:tcPr>
          <w:p>
            <w:pPr>
              <w:spacing w:after="0"/>
              <w:rPr>
                <w:sz w:val="20"/>
                <w:szCs w:val="20"/>
                <w:color w:val="auto"/>
              </w:rPr>
            </w:pPr>
          </w:p>
        </w:tc>
        <w:tc>
          <w:tcPr>
            <w:tcW w:w="498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4"/>
                <w:szCs w:val="24"/>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auto"/>
                <w:w w:val="91"/>
              </w:rPr>
              <w:t>Talkspace Holders Support Agreement, dated as of January 12, 2021, by and among the Company, Groop Internet Platform, Inc. (d/b/a</w:t>
            </w: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20" w:type="dxa"/>
            <w:vAlign w:val="bottom"/>
            <w:gridSpan w:val="26"/>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Talkspace) and the persons set forth on Schedule 1 thereto (included as </w:t>
            </w:r>
            <w:hyperlink r:id="rId104">
              <w:r>
                <w:rPr>
                  <w:rFonts w:ascii="Arial" w:cs="Arial" w:eastAsia="Arial" w:hAnsi="Arial"/>
                  <w:sz w:val="18"/>
                  <w:szCs w:val="18"/>
                  <w:color w:val="0000EE"/>
                  <w:w w:val="91"/>
                </w:rPr>
                <w:t>Annex E</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Company’s Registration Statement on Form S-4</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60" w:type="dxa"/>
            <w:vAlign w:val="bottom"/>
            <w:gridSpan w:val="9"/>
          </w:tcPr>
          <w:p>
            <w:pPr>
              <w:spacing w:after="0"/>
              <w:rPr>
                <w:sz w:val="20"/>
                <w:szCs w:val="20"/>
                <w:color w:val="auto"/>
              </w:rPr>
            </w:pPr>
            <w:r>
              <w:rPr>
                <w:rFonts w:ascii="Arial" w:cs="Arial" w:eastAsia="Arial" w:hAnsi="Arial"/>
                <w:sz w:val="18"/>
                <w:szCs w:val="18"/>
                <w:color w:val="auto"/>
              </w:rPr>
              <w:t>filed by the registrant on February 2, 2021).</w:t>
            </w:r>
          </w:p>
        </w:tc>
        <w:tc>
          <w:tcPr>
            <w:tcW w:w="640" w:type="dxa"/>
            <w:vAlign w:val="bottom"/>
            <w:tcBorders>
              <w:top w:val="single" w:sz="8" w:color="0000EE"/>
            </w:tcBorders>
            <w:gridSpan w:val="2"/>
          </w:tcPr>
          <w:p>
            <w:pPr>
              <w:spacing w:after="0"/>
              <w:rPr>
                <w:sz w:val="20"/>
                <w:szCs w:val="20"/>
                <w:color w:val="auto"/>
              </w:rPr>
            </w:pPr>
          </w:p>
        </w:tc>
        <w:tc>
          <w:tcPr>
            <w:tcW w:w="412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4"/>
                <w:szCs w:val="24"/>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auto"/>
                <w:w w:val="93"/>
              </w:rPr>
              <w:t>Form of Subscription Agreement, dated as of January 12, 2021, by and between the Company and the undersigned subscriber party</w:t>
            </w: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20" w:type="dxa"/>
            <w:vAlign w:val="bottom"/>
            <w:gridSpan w:val="26"/>
          </w:tcPr>
          <w:p>
            <w:pPr>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thereto (included as </w:t>
            </w:r>
            <w:hyperlink r:id="rId105">
              <w:r>
                <w:rPr>
                  <w:rFonts w:ascii="Arial" w:cs="Arial" w:eastAsia="Arial" w:hAnsi="Arial"/>
                  <w:sz w:val="18"/>
                  <w:szCs w:val="18"/>
                  <w:color w:val="0000EE"/>
                  <w:w w:val="97"/>
                </w:rPr>
                <w:t>Annex F</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Company’s Registration Statement on Form S-4 filed by the registrant on February 2, 2021).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160" w:type="dxa"/>
            <w:vAlign w:val="bottom"/>
            <w:gridSpan w:val="1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80" w:type="dxa"/>
            <w:vAlign w:val="bottom"/>
          </w:tcPr>
          <w:p>
            <w:pPr>
              <w:ind w:left="80"/>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4"/>
                <w:szCs w:val="24"/>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auto"/>
                <w:w w:val="95"/>
              </w:rPr>
              <w:t>Form of Amended and Restated Registration Rights Agreement, by and among Talkspace, Inc., HEC Sponsor LLC, certain former</w:t>
            </w: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920" w:type="dxa"/>
            <w:vAlign w:val="bottom"/>
            <w:gridSpan w:val="26"/>
          </w:tcPr>
          <w:p>
            <w:pPr>
              <w:spacing w:after="0" w:line="190" w:lineRule="exact"/>
              <w:rPr>
                <w:rFonts w:ascii="Arial" w:cs="Arial" w:eastAsia="Arial" w:hAnsi="Arial"/>
                <w:sz w:val="18"/>
                <w:szCs w:val="18"/>
                <w:color w:val="auto"/>
                <w:w w:val="90"/>
              </w:rPr>
            </w:pPr>
            <w:r>
              <w:rPr>
                <w:rFonts w:ascii="Arial" w:cs="Arial" w:eastAsia="Arial" w:hAnsi="Arial"/>
                <w:sz w:val="18"/>
                <w:szCs w:val="18"/>
                <w:color w:val="auto"/>
                <w:w w:val="90"/>
              </w:rPr>
              <w:t xml:space="preserve">stockholders of Talkspace and the other parties thereto (included as </w:t>
            </w:r>
            <w:hyperlink r:id="rId106">
              <w:r>
                <w:rPr>
                  <w:rFonts w:ascii="Arial" w:cs="Arial" w:eastAsia="Arial" w:hAnsi="Arial"/>
                  <w:sz w:val="18"/>
                  <w:szCs w:val="18"/>
                  <w:color w:val="0000EE"/>
                  <w:w w:val="90"/>
                </w:rPr>
                <w:t>Annex D</w:t>
              </w:r>
              <w:r>
                <w:rPr>
                  <w:rFonts w:ascii="Arial" w:cs="Arial" w:eastAsia="Arial" w:hAnsi="Arial"/>
                  <w:sz w:val="18"/>
                  <w:szCs w:val="18"/>
                  <w:color w:val="auto"/>
                  <w:w w:val="90"/>
                </w:rPr>
                <w:t xml:space="preserve"> </w:t>
              </w:r>
            </w:hyperlink>
            <w:r>
              <w:rPr>
                <w:rFonts w:ascii="Arial" w:cs="Arial" w:eastAsia="Arial" w:hAnsi="Arial"/>
                <w:sz w:val="18"/>
                <w:szCs w:val="18"/>
                <w:color w:val="auto"/>
                <w:w w:val="90"/>
              </w:rPr>
              <w:t>to the Company’s Registration Statement on Form S-4 filed</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80" w:type="dxa"/>
            <w:vAlign w:val="bottom"/>
            <w:gridSpan w:val="6"/>
          </w:tcPr>
          <w:p>
            <w:pPr>
              <w:spacing w:after="0"/>
              <w:rPr>
                <w:sz w:val="20"/>
                <w:szCs w:val="20"/>
                <w:color w:val="auto"/>
              </w:rPr>
            </w:pPr>
            <w:r>
              <w:rPr>
                <w:rFonts w:ascii="Arial" w:cs="Arial" w:eastAsia="Arial" w:hAnsi="Arial"/>
                <w:sz w:val="18"/>
                <w:szCs w:val="18"/>
                <w:color w:val="auto"/>
              </w:rPr>
              <w:t>by the registrant on February 2, 2021).</w:t>
            </w:r>
          </w:p>
        </w:tc>
        <w:tc>
          <w:tcPr>
            <w:tcW w:w="660" w:type="dxa"/>
            <w:vAlign w:val="bottom"/>
            <w:tcBorders>
              <w:top w:val="single" w:sz="8" w:color="0000EE"/>
            </w:tcBorders>
            <w:gridSpan w:val="4"/>
          </w:tcPr>
          <w:p>
            <w:pPr>
              <w:spacing w:after="0"/>
              <w:rPr>
                <w:sz w:val="20"/>
                <w:szCs w:val="20"/>
                <w:color w:val="auto"/>
              </w:rPr>
            </w:pPr>
          </w:p>
        </w:tc>
        <w:tc>
          <w:tcPr>
            <w:tcW w:w="438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80" w:type="dxa"/>
            <w:vAlign w:val="bottom"/>
          </w:tcPr>
          <w:p>
            <w:pPr>
              <w:ind w:left="80"/>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4"/>
                <w:szCs w:val="24"/>
                <w:color w:val="auto"/>
              </w:rPr>
            </w:pPr>
          </w:p>
        </w:tc>
        <w:tc>
          <w:tcPr>
            <w:tcW w:w="9820" w:type="dxa"/>
            <w:vAlign w:val="bottom"/>
            <w:tcBorders>
              <w:bottom w:val="single" w:sz="8" w:color="0000EE"/>
            </w:tcBorders>
            <w:gridSpan w:val="24"/>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Form of Indemnity Agreement (incorporated by reference to the Exhibit 10.5 filed with the Company’s Registration Statement on Form</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S-1 filed by the registrant on May 21,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800" w:type="dxa"/>
            <w:vAlign w:val="bottom"/>
            <w:gridSpan w:val="1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ind w:left="80"/>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24"/>
                <w:szCs w:val="24"/>
                <w:color w:val="auto"/>
              </w:rPr>
            </w:pPr>
          </w:p>
        </w:tc>
        <w:tc>
          <w:tcPr>
            <w:tcW w:w="9700" w:type="dxa"/>
            <w:vAlign w:val="bottom"/>
            <w:tcBorders>
              <w:bottom w:val="single" w:sz="8" w:color="0000EE"/>
            </w:tcBorders>
            <w:gridSpan w:val="23"/>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Amendment No. 1 to Forward Purchase Agreement between the Company and HEC Master Fund LP (incorporated by reference to the</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registrant’s Current Report on Form 8-K filed on January 13, 2021).</w:t>
              </w:r>
            </w:hyperlink>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80" w:type="dxa"/>
            <w:vAlign w:val="bottom"/>
            <w:tcBorders>
              <w:top w:val="single" w:sz="8" w:color="0000EE"/>
            </w:tcBorders>
            <w:gridSpan w:val="6"/>
          </w:tcPr>
          <w:p>
            <w:pPr>
              <w:ind w:left="4320"/>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3"/>
          </w:tcPr>
          <w:p>
            <w:pPr>
              <w:ind w:left="220"/>
              <w:spacing w:after="0"/>
              <w:rPr>
                <w:sz w:val="20"/>
                <w:szCs w:val="20"/>
                <w:color w:val="auto"/>
              </w:rPr>
            </w:pPr>
            <w:r>
              <w:rPr>
                <w:rFonts w:ascii="Arial" w:cs="Arial" w:eastAsia="Arial" w:hAnsi="Arial"/>
                <w:sz w:val="14"/>
                <w:szCs w:val="14"/>
                <w:b w:val="1"/>
                <w:bCs w:val="1"/>
                <w:color w:val="auto"/>
              </w:rPr>
              <w:t>Exhibit</w:t>
            </w:r>
          </w:p>
        </w:tc>
        <w:tc>
          <w:tcPr>
            <w:tcW w:w="1480" w:type="dxa"/>
            <w:vAlign w:val="bottom"/>
          </w:tcPr>
          <w:p>
            <w:pPr>
              <w:spacing w:after="0"/>
              <w:rPr>
                <w:sz w:val="14"/>
                <w:szCs w:val="14"/>
                <w:color w:val="auto"/>
              </w:rPr>
            </w:pPr>
          </w:p>
        </w:tc>
        <w:tc>
          <w:tcPr>
            <w:tcW w:w="8220" w:type="dxa"/>
            <w:vAlign w:val="bottom"/>
            <w:gridSpan w:val="7"/>
            <w:vMerge w:val="restart"/>
          </w:tcPr>
          <w:p>
            <w:pPr>
              <w:ind w:left="3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Number</w:t>
            </w:r>
          </w:p>
        </w:tc>
        <w:tc>
          <w:tcPr>
            <w:tcW w:w="1480" w:type="dxa"/>
            <w:vAlign w:val="bottom"/>
          </w:tcPr>
          <w:p>
            <w:pPr>
              <w:spacing w:after="0"/>
              <w:rPr>
                <w:sz w:val="14"/>
                <w:szCs w:val="14"/>
                <w:color w:val="auto"/>
              </w:rPr>
            </w:pPr>
          </w:p>
        </w:tc>
        <w:tc>
          <w:tcPr>
            <w:tcW w:w="82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20" w:type="dxa"/>
            <w:vAlign w:val="bottom"/>
            <w:tcBorders>
              <w:top w:val="single" w:sz="8" w:color="auto"/>
              <w:bottom w:val="single" w:sz="8" w:color="0000EE"/>
            </w:tcBorders>
            <w:gridSpan w:val="3"/>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Power of Attorney (incorporated by reference to the signature page hereto).*</w:t>
              </w:r>
            </w:hyperlink>
          </w:p>
        </w:tc>
        <w:tc>
          <w:tcPr>
            <w:tcW w:w="4180" w:type="dxa"/>
            <w:vAlign w:val="bottom"/>
            <w:tcBorders>
              <w:top w:val="single" w:sz="8" w:color="auto"/>
            </w:tcBorders>
            <w:gridSpan w:val="5"/>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00" w:type="dxa"/>
            <w:vAlign w:val="bottom"/>
            <w:gridSpan w:val="8"/>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adopted pursuant to Section 302 of the Sarbanes-Oxley Act of 2002.*</w:t>
              </w:r>
            </w:hyperlink>
          </w:p>
        </w:tc>
        <w:tc>
          <w:tcPr>
            <w:tcW w:w="4580" w:type="dxa"/>
            <w:vAlign w:val="bottom"/>
            <w:tcBorders>
              <w:top w:val="single" w:sz="8" w:color="0000EE"/>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adopted pursuant to Section 302 of the Sarbanes-Oxley Act of 2002.*</w:t>
              </w:r>
            </w:hyperlink>
          </w:p>
        </w:tc>
        <w:tc>
          <w:tcPr>
            <w:tcW w:w="46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10">
              <w:r>
                <w:rPr>
                  <w:rFonts w:ascii="Arial" w:cs="Arial" w:eastAsia="Arial" w:hAnsi="Arial"/>
                  <w:sz w:val="18"/>
                  <w:szCs w:val="18"/>
                  <w:color w:val="0000EE"/>
                  <w:w w:val="94"/>
                </w:rPr>
                <w:t>Oxley Act of 2002.*</w:t>
              </w:r>
            </w:hyperlink>
          </w:p>
        </w:tc>
        <w:tc>
          <w:tcPr>
            <w:tcW w:w="8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00" w:type="dxa"/>
            <w:vAlign w:val="bottom"/>
            <w:gridSpan w:val="8"/>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Oxley Act of 2002.*</w:t>
              </w:r>
            </w:hyperlink>
          </w:p>
        </w:tc>
        <w:tc>
          <w:tcPr>
            <w:tcW w:w="800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3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32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14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2"/>
          </w:tcPr>
          <w:p>
            <w:pPr>
              <w:ind w:left="4100"/>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HUDSON EXECUTIVE INVESTMENT CORP.</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March 29, 2021</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Douglas G. Bergeron</w:t>
            </w:r>
          </w:p>
        </w:tc>
      </w:tr>
      <w:tr>
        <w:trPr>
          <w:trHeight w:val="195"/>
        </w:trPr>
        <w:tc>
          <w:tcPr>
            <w:tcW w:w="6180" w:type="dxa"/>
            <w:vAlign w:val="bottom"/>
          </w:tcPr>
          <w:p>
            <w:pPr>
              <w:ind w:left="55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Douglas G. Bergeron</w:t>
            </w:r>
          </w:p>
        </w:tc>
      </w:tr>
      <w:tr>
        <w:trPr>
          <w:trHeight w:val="216"/>
        </w:trPr>
        <w:tc>
          <w:tcPr>
            <w:tcW w:w="6180" w:type="dxa"/>
            <w:vAlign w:val="bottom"/>
          </w:tcPr>
          <w:p>
            <w:pPr>
              <w:ind w:left="5540"/>
              <w:spacing w:after="0"/>
              <w:rPr>
                <w:sz w:val="20"/>
                <w:szCs w:val="20"/>
                <w:color w:val="auto"/>
              </w:rPr>
            </w:pPr>
            <w:r>
              <w:rPr>
                <w:rFonts w:ascii="Arial" w:cs="Arial" w:eastAsia="Arial" w:hAnsi="Arial"/>
                <w:sz w:val="18"/>
                <w:szCs w:val="18"/>
                <w:color w:val="auto"/>
              </w:rPr>
              <w:t>Title:</w:t>
            </w:r>
          </w:p>
        </w:tc>
        <w:tc>
          <w:tcPr>
            <w:tcW w:w="484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18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Douglas G. Bergeron and each or any one of them,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220" w:type="dxa"/>
            <w:vAlign w:val="bottom"/>
            <w:gridSpan w:val="2"/>
          </w:tcPr>
          <w:p>
            <w:pPr>
              <w:ind w:left="2360"/>
              <w:spacing w:after="0"/>
              <w:rPr>
                <w:sz w:val="20"/>
                <w:szCs w:val="20"/>
                <w:color w:val="auto"/>
              </w:rPr>
            </w:pPr>
            <w:r>
              <w:rPr>
                <w:rFonts w:ascii="Arial" w:cs="Arial" w:eastAsia="Arial" w:hAnsi="Arial"/>
                <w:sz w:val="14"/>
                <w:szCs w:val="14"/>
                <w:b w:val="1"/>
                <w:bCs w:val="1"/>
                <w:color w:val="auto"/>
              </w:rPr>
              <w:t>Title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10"/>
        </w:trPr>
        <w:tc>
          <w:tcPr>
            <w:tcW w:w="3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/s/ Douglas G. Bergeron</w:t>
            </w:r>
          </w:p>
        </w:tc>
        <w:tc>
          <w:tcPr>
            <w:tcW w:w="12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Douglas G. Bergeron</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29, 2021</w:t>
            </w:r>
          </w:p>
        </w:tc>
      </w:tr>
      <w:tr>
        <w:trPr>
          <w:trHeight w:val="31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L. Braunstein</w:t>
            </w:r>
          </w:p>
        </w:tc>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Douglas L. Braunstein</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President, Chairman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29, 2021</w:t>
            </w:r>
          </w:p>
        </w:tc>
      </w:tr>
      <w:tr>
        <w:trPr>
          <w:trHeight w:val="31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Jonathan Dobres</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spacing w:after="0"/>
              <w:rPr>
                <w:sz w:val="24"/>
                <w:szCs w:val="24"/>
                <w:color w:val="auto"/>
              </w:rPr>
            </w:pP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8"/>
              </w:rPr>
              <w:t>Jonathan Dobres</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29, 2021</w:t>
            </w:r>
          </w:p>
        </w:tc>
      </w:tr>
      <w:tr>
        <w:trPr>
          <w:trHeight w:val="31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Thelma Duggin</w:t>
            </w:r>
          </w:p>
        </w:tc>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Thelma Duggin</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29, 2021</w:t>
            </w:r>
          </w:p>
        </w:tc>
      </w:tr>
      <w:tr>
        <w:trPr>
          <w:trHeight w:val="31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Greifield</w:t>
            </w:r>
          </w:p>
        </w:tc>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Robert Greifield</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29, 2021</w:t>
            </w:r>
          </w:p>
        </w:tc>
      </w:tr>
      <w:tr>
        <w:trPr>
          <w:trHeight w:val="31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Amy Schulman</w:t>
            </w:r>
          </w:p>
        </w:tc>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Amy Schulman</w:t>
            </w:r>
          </w:p>
        </w:tc>
        <w:tc>
          <w:tcPr>
            <w:tcW w:w="1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March 29, 2021</w:t>
            </w:r>
          </w:p>
        </w:tc>
      </w:tr>
      <w:tr>
        <w:trPr>
          <w:trHeight w:val="360"/>
        </w:trPr>
        <w:tc>
          <w:tcPr>
            <w:tcW w:w="3660" w:type="dxa"/>
            <w:vAlign w:val="bottom"/>
          </w:tcPr>
          <w:p>
            <w:pPr>
              <w:spacing w:after="0"/>
              <w:rPr>
                <w:sz w:val="24"/>
                <w:szCs w:val="24"/>
                <w:color w:val="auto"/>
              </w:rPr>
            </w:pPr>
          </w:p>
        </w:tc>
        <w:tc>
          <w:tcPr>
            <w:tcW w:w="5120" w:type="dxa"/>
            <w:vAlign w:val="bottom"/>
            <w:gridSpan w:val="2"/>
          </w:tcPr>
          <w:p>
            <w:pPr>
              <w:jc w:val="right"/>
              <w:ind w:right="3092"/>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60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8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rPr>
              <w:t>HUDSON EXECUTIVE INVESTMENT CORP. AND SUBSIDIARIES</w:t>
            </w:r>
          </w:p>
        </w:tc>
        <w:tc>
          <w:tcPr>
            <w:tcW w:w="148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rPr>
              <w:t>INDEX TO FINANCIAL STATEMENTS</w:t>
            </w:r>
          </w:p>
        </w:tc>
        <w:tc>
          <w:tcPr>
            <w:tcW w:w="14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80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74">
              <w:r>
                <w:rPr>
                  <w:rFonts w:ascii="Arial" w:cs="Arial" w:eastAsia="Arial" w:hAnsi="Arial"/>
                  <w:sz w:val="18"/>
                  <w:szCs w:val="18"/>
                  <w:color w:val="0000EE"/>
                  <w:w w:val="95"/>
                </w:rPr>
                <w:t>REPORT OF INDEPENDENT REGISTERED PUBLIC ACCOUNTING FIRM</w:t>
              </w:r>
            </w:hyperlink>
          </w:p>
        </w:tc>
        <w:tc>
          <w:tcPr>
            <w:tcW w:w="3680" w:type="dxa"/>
            <w:vAlign w:val="bottom"/>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F-2</w:t>
            </w:r>
          </w:p>
        </w:tc>
      </w:tr>
      <w:tr>
        <w:trPr>
          <w:trHeight w:val="304"/>
        </w:trPr>
        <w:tc>
          <w:tcPr>
            <w:tcW w:w="120" w:type="dxa"/>
            <w:vAlign w:val="bottom"/>
          </w:tcPr>
          <w:p>
            <w:pPr>
              <w:spacing w:after="0"/>
              <w:rPr>
                <w:sz w:val="24"/>
                <w:szCs w:val="24"/>
                <w:color w:val="auto"/>
              </w:rPr>
            </w:pPr>
          </w:p>
        </w:tc>
        <w:tc>
          <w:tcPr>
            <w:tcW w:w="22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FINANCIAL STATEMENTS:</w:t>
            </w:r>
          </w:p>
        </w:tc>
        <w:tc>
          <w:tcPr>
            <w:tcW w:w="7280" w:type="dxa"/>
            <w:vAlign w:val="bottom"/>
            <w:gridSpan w:val="4"/>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Balance Sheet</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Statement of Operations</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gridSpan w:val="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Statement of Changes in Stockholders’ Equity</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tcBorders>
              <w:top w:val="single" w:sz="8" w:color="0000EE"/>
            </w:tcBorders>
            <w:gridSpan w:val="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Statement of Cash Flows</w:t>
              </w:r>
            </w:hyperlink>
          </w:p>
        </w:tc>
        <w:tc>
          <w:tcPr>
            <w:tcW w:w="5800" w:type="dxa"/>
            <w:vAlign w:val="bottom"/>
            <w:gridSpan w:val="2"/>
          </w:tcPr>
          <w:p>
            <w:pPr>
              <w:spacing w:after="0"/>
              <w:rPr>
                <w:sz w:val="24"/>
                <w:szCs w:val="24"/>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Notes to Financial Statements</w:t>
              </w:r>
            </w:hyperlink>
          </w:p>
        </w:tc>
        <w:tc>
          <w:tcPr>
            <w:tcW w:w="1480" w:type="dxa"/>
            <w:vAlign w:val="bottom"/>
          </w:tcPr>
          <w:p>
            <w:pPr>
              <w:ind w:left="1220"/>
              <w:spacing w:after="0"/>
              <w:rPr>
                <w:sz w:val="20"/>
                <w:szCs w:val="20"/>
                <w:color w:val="auto"/>
              </w:rPr>
            </w:pPr>
            <w:r>
              <w:rPr>
                <w:rFonts w:ascii="Arial" w:cs="Arial" w:eastAsia="Arial" w:hAnsi="Arial"/>
                <w:sz w:val="18"/>
                <w:szCs w:val="18"/>
                <w:color w:val="auto"/>
                <w:w w:val="88"/>
              </w:rPr>
              <w:t>F-7</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5800" w:type="dxa"/>
            <w:vAlign w:val="bottom"/>
            <w:gridSpan w:val="2"/>
          </w:tcPr>
          <w:p>
            <w:pPr>
              <w:jc w:val="center"/>
              <w:ind w:right="2160"/>
              <w:spacing w:after="0"/>
              <w:rPr>
                <w:sz w:val="20"/>
                <w:szCs w:val="20"/>
                <w:color w:val="auto"/>
              </w:rPr>
            </w:pPr>
            <w:r>
              <w:rPr>
                <w:rFonts w:ascii="Arial" w:cs="Arial" w:eastAsia="Arial" w:hAnsi="Arial"/>
                <w:sz w:val="18"/>
                <w:szCs w:val="18"/>
                <w:color w:val="auto"/>
                <w:w w:val="88"/>
              </w:rPr>
              <w:t>F-1</w:t>
            </w:r>
          </w:p>
        </w:tc>
        <w:tc>
          <w:tcPr>
            <w:tcW w:w="148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Hudson Executive Investment Corp.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have audited the accompanying balance sheet of Hudson Executive Investment Corp. (the “Company”), as of December 31, 2020, related statements of operations, changes in stockholders’ equity and cash flows for the period from February 6,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February 6, 2020 (inception) through December 31, 2020,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then the Company will cease all operations except for the purpose of liquidating. The liquidity condition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18,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rPr>
              <w:t>HUDSON EXECUTIVE INVESTMENT CORP.</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6"/>
              </w:rPr>
              <w:t>DECEMBER 31, 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1,296,902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414,228,281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415,525,183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1,631,390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1,641,460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16,131,460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Class A common stock subject to possible redemption, 39,439,372 shares at $10.00 per share redemption value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394,393,720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Class A common stock, $0.0001 par value; 380,000,000 shares authorized; 1,960,628 shares issued and outstanding (excluding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39,439,372 shares subject to possible redemption)</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Class B common stock, $0.0001 par value; 20,000,000 shares authorized; 10,350,000 shares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6,556,867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(1,558,095)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415,525,183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HUDSON EXECUTIVE INVESTMENT CORP.</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STATEMENT OF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FOR THE PERIOD FEBRUARY 6, 2020 (INCEPTION) THROUGH DECEMBER 31, 2020</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1,776,306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(1,776,306)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(1,548,025)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(1,558,095)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10,350,000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46"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1960"/>
        <w:spacing w:after="0" w:line="266" w:lineRule="auto"/>
        <w:rPr>
          <w:sz w:val="20"/>
          <w:szCs w:val="20"/>
          <w:color w:val="auto"/>
        </w:rPr>
      </w:pPr>
      <w:r>
        <w:rPr>
          <w:rFonts w:ascii="Arial" w:cs="Arial" w:eastAsia="Arial" w:hAnsi="Arial"/>
          <w:sz w:val="18"/>
          <w:szCs w:val="18"/>
          <w:b w:val="1"/>
          <w:bCs w:val="1"/>
          <w:color w:val="auto"/>
        </w:rPr>
        <w:t>HUDSON EXECUTIVE INVESTMENT CORP. STATEMENT OF CHANGES IN STOCKHOLDERS’ EQUITY FOR THE PERIOD FEBRUARY 6, 2020 (INCEPTION) THROUGH DECEMBER 31, 2020</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120" w:type="dxa"/>
            <w:vAlign w:val="bottom"/>
            <w:gridSpan w:val="2"/>
          </w:tcPr>
          <w:p>
            <w:pPr>
              <w:jc w:val="center"/>
              <w:ind w:left="535"/>
              <w:spacing w:after="0"/>
              <w:rPr>
                <w:sz w:val="20"/>
                <w:szCs w:val="20"/>
                <w:color w:val="auto"/>
              </w:rPr>
            </w:pPr>
            <w:r>
              <w:rPr>
                <w:rFonts w:ascii="Arial" w:cs="Arial" w:eastAsia="Arial" w:hAnsi="Arial"/>
                <w:sz w:val="14"/>
                <w:szCs w:val="14"/>
                <w:b w:val="1"/>
                <w:bCs w:val="1"/>
                <w:color w:val="auto"/>
                <w:w w:val="89"/>
              </w:rPr>
              <w:t>Class 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Additional</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9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10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Paid-in Capital</w:t>
            </w:r>
          </w:p>
        </w:tc>
        <w:tc>
          <w:tcPr>
            <w:tcW w:w="100" w:type="dxa"/>
            <w:vAlign w:val="bottom"/>
          </w:tcPr>
          <w:p>
            <w:pPr>
              <w:spacing w:after="0"/>
              <w:rPr>
                <w:sz w:val="12"/>
                <w:szCs w:val="12"/>
                <w:color w:val="auto"/>
              </w:rPr>
            </w:pPr>
          </w:p>
        </w:tc>
        <w:tc>
          <w:tcPr>
            <w:tcW w:w="9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February 6, 2020 (Inception)</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Issuance of Class B common stock to initial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10,350,000</w:t>
            </w:r>
          </w:p>
        </w:tc>
        <w:tc>
          <w:tcPr>
            <w:tcW w:w="100" w:type="dxa"/>
            <w:vAlign w:val="bottom"/>
          </w:tcPr>
          <w:p>
            <w:pPr>
              <w:spacing w:after="0"/>
              <w:rPr>
                <w:sz w:val="20"/>
                <w:szCs w:val="20"/>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1,035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23,965</w:t>
            </w:r>
          </w:p>
        </w:tc>
        <w:tc>
          <w:tcPr>
            <w:tcW w:w="10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41,400,000 Units, net of underwriting</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41,400,000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4,140</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390,642,678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390,646,818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Sale of 10,280,000 Private Placement Units</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10,280,000</w:t>
            </w:r>
          </w:p>
        </w:tc>
        <w:tc>
          <w:tcPr>
            <w:tcW w:w="10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10,280,000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(39,439,372)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(3,944)</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(394,389,776)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(394,393,720)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w w:val="97"/>
              </w:rPr>
              <w:t>(1,558,095)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(1,558,095)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1,960,628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196</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10,350,000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8"/>
              </w:rPr>
              <w:t>1,035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6,556,867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(1,558,095)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95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180" w:type="dxa"/>
            <w:vAlign w:val="bottom"/>
          </w:tcPr>
          <w:p>
            <w:pPr>
              <w:jc w:val="center"/>
              <w:ind w:left="250"/>
              <w:spacing w:after="0"/>
              <w:rPr>
                <w:sz w:val="20"/>
                <w:szCs w:val="20"/>
                <w:color w:val="auto"/>
              </w:rPr>
            </w:pPr>
            <w:r>
              <w:rPr>
                <w:rFonts w:ascii="Arial" w:cs="Arial" w:eastAsia="Arial" w:hAnsi="Arial"/>
                <w:sz w:val="18"/>
                <w:szCs w:val="18"/>
                <w:b w:val="1"/>
                <w:bCs w:val="1"/>
                <w:color w:val="auto"/>
              </w:rPr>
              <w:t>HUDSON EXECUTIVE INVESTMENT CORP.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18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STATEMENT OF CASH FLOWS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18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FOR THE PERIOD FEBRUARY 6, 2020 (INCEPTION) THROUGH DECEMBER 31, 2020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(1,558,095)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(228,281)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Formation costs paid by Sponsor</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ind w:left="7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1,631,390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2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(261,316)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Investment of cash into Trust Account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2"/>
              </w:rPr>
              <w:t>(414,000,000)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(414,000,000)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405,720,000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Proceeds from sale of Private Placement Units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10,280,000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Repayment of promissory note – related party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(129,706)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(430,701)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2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415,439,693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1,178,377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Cash – Beginning of period</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1,178,377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395,946,830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4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(1,553,110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 paid directly by Sponsor in consideration for the issuance of Class B common stock</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Payment of offering costs through promissory note — related party</w:t>
            </w:r>
          </w:p>
        </w:tc>
        <w:tc>
          <w:tcPr>
            <w:tcW w:w="4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14,490,000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46"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Hudson Executive Investment Corp. (the “Company”) was incorporated in Delaware on February 6, 2020. The Company was formed for the purpose of entering into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All activity for the period from February 6, 2020 (inception) through December 31, 2020 relates to the Company’s formation, its initial public offering (“Initial Public Offering”), which is described below, identifying a target company for a Business Combination, and activities in connection with the proposed acquisition of GROOP Internet Platform, Inc., a Delaware corporation (“Talkspace”) (see Note 6). The Company will not generate any operating revenues until after the completion of a Business Combination, at the earliest. The Company generates non-operating income in the form of interest income from the proceeds derived from the Initial Public Offering. The Company has selected December 31 as its fiscal year end.</w:t>
      </w:r>
    </w:p>
    <w:p>
      <w:pPr>
        <w:spacing w:after="0" w:line="16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has two subsidiaries, Tailwind Merger Sub I, Inc., a wholly-owned subsidiary of the Company incorporated in Delaware on January 18, 2021 (“Merger Sub 1”) and Tailwind Merger Sub II, LLC, a wholly -owned subsidiary of the Company also incorporated in Delaware on January 18, 2021 (“Merger Sub 2”).</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June 8, 2020. On June 11, 2020, the Company consummated the Initial Public Offering of 41,400,000 units (the “Units” and, with respect to the shares of Class A common stock included in the Units sold, the “Public Shares”), which includes the full exercise by the underwriter of the over-allotment option to purchase an additional 5,400,000 Units, at $10.00 per Unit, generating gross proceeds of $414,000,000, which is described in Note 3.</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10,280,000 warrants (the “Private Placement Warrants”), at a price of $1.00 per Private Placement Warrant, in a private placement to HEC Sponsor LLC (the “Sponsor”), generating gross proceeds of $10,280,000, which is described in Note 4.</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Transaction costs amounted to $23,353,182, consisting of $8,280,000 of underwriting fees, $14,490,000 of deferred underwriting fees and</w:t>
      </w:r>
    </w:p>
    <w:p>
      <w:pPr>
        <w:spacing w:after="0" w:line="23"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$583,182 of other offering costs. At December 31, 2020, cash of $1,178,377 was held outside of the Trust Account (as defined below) and is available for working capital purposes.</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Following the closing of the Initial Public Offering on June 11, 2020, an amount of $414,000,000 ($10.00 per Unit) from the net proceeds of the sale of the Units in the Initial Public Offering and the sale of the Private Placement Warrants was placed in a trust account (“Trust Account”) which was invested only in U.S. government securities, within the meaning set forth in Section 2(a)(16) of the Investment Company Act of 1940, as amended (the “Investment Company Act”), with a maturity of 185 days or less until the earlier of: (i) the completion of a Business Combination and (ii) the distribution of the funds held in the Trust Account, as described below.</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value of the Trust Account (excluding the deferred underwriting commissions and taxes payable on income earned on the Trust Account) at the time of the agreement to enter into an initial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7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consummation of the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 or don’t vote at all.</w:t>
      </w:r>
    </w:p>
    <w:p>
      <w:pPr>
        <w:spacing w:after="0" w:line="17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initial stockholders have agreed (a) to waive their redemption rights with respect to their Founder Shares and Public Shares held by them in connection with the completion of a Business Combination and (b) not to propose an amendment to the Amended and Restated Certificate of Incorporation (i) to modify the substance or timing of the Company’s obligation to redeem 100% of its Public Shares if the Company does not complete a Business Combination within 24 months from the closing of the Initial Public Offering or (ii) with respect to any other provision relating to stockholders’ rights or pre-initial business combination activity, unless the Company provides the public stockholders with the opportunity to redeem their Public Shares in conjunction with any such amendment.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will have until June 11, 2022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initial stockholders have agreed to waive their liquidation rights with respect to the Founder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(whether or not such waiver is enforceable) nor will it apply to any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As of December 31, 2020, the Company had $1,178,377 in its operating bank accounts, $414,228,281 in securities held in the Trust Account to be used for a Business Combination or to repurchase or redeem its common stock in connection therewith and working capital deficit of $344,558.</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Company intends to complete a Business Combination as further discussed in Note 6.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determined that the liquidity condition of the Company raise substantial doubt about the Company’s ability to continue as a going concern through one year from the issuance date of the financial statements. No adjustments have been made to the carrying amounts of assets or liabilities should the Company be unable to continue as a going concern.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liabilities at the date of the financial statements and the reported amounts of revenues and expenses during the reporting period.</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there are 39,439,372 shares of Class A common stock subject to possible redemption presented as temporary equity, outside of the stockholders’ equity section of the Company’s unaudited consolidated balance sheet.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Offering costs consist of legal, accounting and other costs incurred through the Initial Public Offering that are directly related to the Initial Public Offering. Offering costs amounting to $23,353,182 were charged to stockholders’ equity upon the completion of the Initial Public Offering.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30,980,000 shares of Class A common stock in the calculation of diluted income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less franchise and income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 Period</w:t>
            </w:r>
          </w:p>
        </w:tc>
      </w:tr>
      <w:tr>
        <w:trPr>
          <w:trHeight w:val="149"/>
        </w:trPr>
        <w:tc>
          <w:tcPr>
            <w:tcW w:w="7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February 6,</w:t>
            </w:r>
          </w:p>
        </w:tc>
      </w:tr>
      <w:tr>
        <w:trPr>
          <w:trHeight w:val="149"/>
        </w:trPr>
        <w:tc>
          <w:tcPr>
            <w:tcW w:w="7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2020 (inception)</w:t>
            </w:r>
          </w:p>
        </w:tc>
      </w:tr>
      <w:tr>
        <w:trPr>
          <w:trHeight w:val="148"/>
        </w:trPr>
        <w:tc>
          <w:tcPr>
            <w:tcW w:w="7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r>
      <w:tr>
        <w:trPr>
          <w:trHeight w:val="171"/>
        </w:trPr>
        <w:tc>
          <w:tcPr>
            <w:tcW w:w="7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r>
      <w:tr>
        <w:trPr>
          <w:trHeight w:val="196"/>
        </w:trPr>
        <w:tc>
          <w:tcPr>
            <w:tcW w:w="7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Redeemable Class A Common Stock</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Numerator: Earnings allocable to Redeemable Class A Common Stock</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228,281</w:t>
            </w:r>
          </w:p>
        </w:tc>
      </w:tr>
      <w:tr>
        <w:trPr>
          <w:trHeight w:val="216"/>
        </w:trPr>
        <w:tc>
          <w:tcPr>
            <w:tcW w:w="7560" w:type="dxa"/>
            <w:vAlign w:val="bottom"/>
          </w:tcPr>
          <w:p>
            <w:pPr>
              <w:ind w:left="720"/>
              <w:spacing w:after="0"/>
              <w:rPr>
                <w:sz w:val="20"/>
                <w:szCs w:val="20"/>
                <w:color w:val="auto"/>
              </w:rPr>
            </w:pPr>
            <w:r>
              <w:rPr>
                <w:rFonts w:ascii="Arial" w:cs="Arial" w:eastAsia="Arial" w:hAnsi="Arial"/>
                <w:sz w:val="18"/>
                <w:szCs w:val="18"/>
                <w:color w:val="auto"/>
              </w:rPr>
              <w:t>Income and Franchise Tax</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(190,398)</w:t>
            </w:r>
          </w:p>
        </w:tc>
      </w:tr>
      <w:tr>
        <w:trPr>
          <w:trHeight w:val="27"/>
        </w:trPr>
        <w:tc>
          <w:tcPr>
            <w:tcW w:w="7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Earnings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37,883</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Denominator: Weighted Average Redeemable Class A Common Stock</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Redeemable Class A Common Stock, Basic and Diluted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41,400,000</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Basic and diluted net income per share, Class A</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Common Stock</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Numerator: Net Income (Loss) minus Redeemable Net Earnings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(1,558,095)</w:t>
            </w:r>
          </w:p>
        </w:tc>
      </w:tr>
      <w:tr>
        <w:trPr>
          <w:trHeight w:val="216"/>
        </w:trPr>
        <w:tc>
          <w:tcPr>
            <w:tcW w:w="7560" w:type="dxa"/>
            <w:vAlign w:val="bottom"/>
          </w:tcPr>
          <w:p>
            <w:pPr>
              <w:ind w:left="720"/>
              <w:spacing w:after="0"/>
              <w:rPr>
                <w:sz w:val="20"/>
                <w:szCs w:val="20"/>
                <w:color w:val="auto"/>
              </w:rPr>
            </w:pPr>
            <w:r>
              <w:rPr>
                <w:rFonts w:ascii="Arial" w:cs="Arial" w:eastAsia="Arial" w:hAnsi="Arial"/>
                <w:sz w:val="18"/>
                <w:szCs w:val="18"/>
                <w:color w:val="auto"/>
              </w:rPr>
              <w:t>Lees: Redeemable Net Earnings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(37,883)</w:t>
            </w:r>
          </w:p>
        </w:tc>
      </w:tr>
      <w:tr>
        <w:trPr>
          <w:trHeight w:val="27"/>
        </w:trPr>
        <w:tc>
          <w:tcPr>
            <w:tcW w:w="7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Non-Redeemable Net Loss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(1,595,978)</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Non-Redeemable Class B Common Stock, Basic and Diluted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10,350,000</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Basic and diluted net loss per share, Class B</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r>
      <w:tr>
        <w:trPr>
          <w:trHeight w:val="350"/>
        </w:trPr>
        <w:tc>
          <w:tcPr>
            <w:tcW w:w="7560" w:type="dxa"/>
            <w:vAlign w:val="bottom"/>
          </w:tcPr>
          <w:p>
            <w:pPr>
              <w:ind w:left="4900"/>
              <w:spacing w:after="0"/>
              <w:rPr>
                <w:sz w:val="20"/>
                <w:szCs w:val="20"/>
                <w:color w:val="auto"/>
              </w:rPr>
            </w:pPr>
            <w:r>
              <w:rPr>
                <w:rFonts w:ascii="Arial" w:cs="Arial" w:eastAsia="Arial" w:hAnsi="Arial"/>
                <w:sz w:val="18"/>
                <w:szCs w:val="18"/>
                <w:color w:val="auto"/>
              </w:rPr>
              <w:t>F-12</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 primarily due to their short-term nature.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PUBLIC OFFERING</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Pursuant to the Initial Public Offering, the Company sold 41,400,000 Units, which includes the full exercise by the underwriters of their option to purchase an additional 5,400,000 Units at a price of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10,280,000 Private Placement Warrants for an aggregate purchase price of $10,280,000. Each Private Placement Warrant is exercisable to purchase one share of Class A common stock at an exercise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February 2020, the Sponsor paid $25,000 to cover certain offering costs of the Company in consideration of 8,625,000 shares of the Company’s Class B common stock (the “Founder Shares”) for an aggregate price of $25,000. On May 20, 2020, the Sponsor transferred 25,000 Founder Shares to Amy Schulman, a director, and on June 3, 2020 the Sponsor transferred 25,000 shares to Thelma Duggin, a director, resulting in the Sponsor holding an aggregate of 8,575,000 Founder Shares. On June 8, 2020, the Company effected a 1:1.2 stock split of its Class B common stock, resulting an aggregate of 10,350,000 Founder Shares issued and outstanding, of which 10,300,000 Founder Shares are held by the Sponsor and 50,000 Founder Shares are held by the directors. All share and per-share amounts have been retroactively restated to reflect the stock split.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Sponsor has agreed, subject to certain limited exceptions, not to transfer, assign or sell any of the Founder Shares until the earlier to occur of</w:t>
      </w:r>
    </w:p>
    <w:p>
      <w:pPr>
        <w:spacing w:after="0" w:line="46" w:lineRule="exact"/>
        <w:rPr>
          <w:sz w:val="20"/>
          <w:szCs w:val="20"/>
          <w:color w:val="auto"/>
        </w:rPr>
      </w:pPr>
    </w:p>
    <w:p>
      <w:pPr>
        <w:ind w:left="420" w:hanging="304"/>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one year after the completion of a Business Combination or (B) subsequent to a Business Combination, (x) if the last reported sale price of the</w:t>
      </w:r>
    </w:p>
    <w:p>
      <w:pPr>
        <w:spacing w:after="0" w:line="32" w:lineRule="exact"/>
        <w:rPr>
          <w:rFonts w:ascii="Arial" w:cs="Arial" w:eastAsia="Arial" w:hAnsi="Arial"/>
          <w:sz w:val="16"/>
          <w:szCs w:val="16"/>
          <w:color w:val="auto"/>
        </w:rPr>
      </w:pPr>
    </w:p>
    <w:p>
      <w:pPr>
        <w:ind w:left="120" w:right="120"/>
        <w:spacing w:after="0" w:line="253" w:lineRule="auto"/>
        <w:rPr>
          <w:rFonts w:ascii="Arial" w:cs="Arial" w:eastAsia="Arial" w:hAnsi="Arial"/>
          <w:sz w:val="16"/>
          <w:szCs w:val="16"/>
          <w:color w:val="auto"/>
        </w:rPr>
      </w:pPr>
      <w:r>
        <w:rPr>
          <w:rFonts w:ascii="Arial" w:cs="Arial" w:eastAsia="Arial" w:hAnsi="Arial"/>
          <w:sz w:val="18"/>
          <w:szCs w:val="18"/>
          <w:color w:val="auto"/>
        </w:rPr>
        <w:t>Class A common stock equals or exceeds $12.00 per share (as adjusted for stock splits, stock dividends, reorganizations, recapitalizations and the like) for any 20 trading days within any 30-trading day period commencing at least 150 days after a Business Combination, or (y) the date following the completion of a Business Combination on which the Company completes a liquidation, merger, stock exchange, reorganization or other similar transaction that results in all of the Company’s stockholders having the right to exchange their shares of Class A common stock for cash, securities or other property.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On February 6, 2020, the Company issued the Promissory Note to the Sponsor, pursuant to which the Company could borrow up to an aggregate principal amount of $300,000. The Promissory Note was non-interest bearing and payable on the earlier of December 31, 2020 or the consummation of the Initial Public Offering. The outstanding balance of $129,706 under the Promissory Note was repaid on June 12,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an affiliate of the Sponsor,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 Business Combination entity. The warrants would be identical to the Private Placement Warrants. As of December 31, 2020, no Working Capital Loans were outstanding.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entered into an agreement whereby, commencing on June 8, 2020 through the earlier of the Company’s consummation of a Business Combination and its liquidation, the Company will pay an affiliate of the Sponsor a total of $10,000 per month for office space, secretarial and administrative services. For the period from February 6, 2020 (inception) through December 31, 2020, the Company incurred $70,000 in fees for these services. As of December 31, 2020, $70,000 is included in accrued expenses in the accompanying balance sheet.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Company entered into a forward purchase agreement with HEC Master Fund LP (“HEC Master”) pursuant to which HEC Master has committed to purchase from the Company up to 5,000,000 forward purchase units (the “Forward Purchase Units”), consisting of one share of Class A common stock (the “Forward Purchase Shares”) and one-half of one warrant to purchase one share of Class A common stock (the “Forward Purchase Warrants” and together with the Forward Purchase Units and the Forward Purchase Shares, the “Forward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Purchase Securities”), for $10.00 per unit, or an aggregate amount of up to $50,000,000, in a private placement that will close concurrently with the closing of a Business Combination. The proceeds from the sale of these Forward Purchase Units, together with the amounts available to the Company from the Trust Account (after giving effect to any redemptions of Public Shares) and any other equity or debt financing obtained by the Company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forward purchase agreement will be subject to approval, prior to the Company entering into a definitive agreement for the initial Business Combination, of its investment committee. Pursuant to the terms of the Forward Purchase Agreement, HEC Master will have the option to assign its commitment to one of its affiliates and up to $2,500,000 to members of the Company’s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16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connection with the signing of the Merger Agreement, the Company and HEC Master amended the Forward Purchase Agreement. Pursuant to the First Amendment to the Forward Purchase Agreement, dated January 12, 2021, HEC Master’s purchase obligations were amended such that HEC Master is obligated to purchase 2,500,000 Forward Purchase Units and backstop up to $25,000,000 of redemptions by HEC stockholders through the purchase of additional Forward Purchase Units, in each case valued at $10.00 per Forward Purchase Unit, in a private placement that will close concurrently with the closing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a registration rights agreement entered into on June 8, 2020, the holders of the Founder Shares, Private Placement Warrants, Forward Purchase Securities and warrants that may be issued upon conversion of Working Capital Loans (and any Class A common stock issuable upon the exercise of the Private Placement Warrants, Forward Purchase Warrants and warrants issued upon conversion of the Working Capital Loans and upon conversion of the Founder Shares) are entitled to registration rights,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will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underwriters were paid a cash underwriting discount of $0.20 per Unit, or $8,280,000 in the aggregate. In addition, 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January 12, 2021, Hudson Executive Investment Corp. (“HEC”) entered into an Agreement and Plan of Merger (the “Merger Agreement”) by and among HEC, Tailwind Merger Sub I, Inc., a Delaware corporation and direct, wholly owned subsidiary of HEC (“First Merger Sub”), Tailwind Merger Sub II, LLC, a Delaware limited liability company and direct, wholly owned subsidiary of HEC (“Second Merger Sub”) and GROOP Internet Platform, Inc., a Delaware corporation (“Talkspace”).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Merger Agreement, the parties thereto will enter into a business combination transaction (the “Business Combination”) by which,</w:t>
      </w:r>
    </w:p>
    <w:p>
      <w:pPr>
        <w:spacing w:after="0" w:line="46"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First Merger Sub will merge with and into the Company with the Company being the surviving corporation in the merger (the “First Merger”) and</w:t>
      </w:r>
    </w:p>
    <w:p>
      <w:pPr>
        <w:spacing w:after="0" w:line="32" w:lineRule="exact"/>
        <w:rPr>
          <w:rFonts w:ascii="Arial" w:cs="Arial" w:eastAsia="Arial" w:hAnsi="Arial"/>
          <w:sz w:val="16"/>
          <w:szCs w:val="16"/>
          <w:color w:val="auto"/>
        </w:rPr>
      </w:pPr>
    </w:p>
    <w:p>
      <w:pPr>
        <w:ind w:left="120" w:right="500" w:hanging="4"/>
        <w:spacing w:after="0" w:line="277" w:lineRule="auto"/>
        <w:tabs>
          <w:tab w:leader="none" w:pos="385"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Second Merger Sub will merge with and into the surviving corporation with Second Merger Sub being the surviving entity in the merger (the “Second Merger” and, together with the First Merger, being collectively referred to as the “Mergers” and, together with the other transactions contemplated by the Merger Agreement, the “Transactions” and the closing of the Transactions, the “Closing”).</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terms of the Merger Agreement, at the effective time of the Merger:</w:t>
      </w:r>
    </w:p>
    <w:p>
      <w:pPr>
        <w:spacing w:after="0" w:line="131" w:lineRule="exact"/>
        <w:rPr>
          <w:sz w:val="20"/>
          <w:szCs w:val="20"/>
          <w:color w:val="auto"/>
        </w:rPr>
      </w:pPr>
    </w:p>
    <w:p>
      <w:pPr>
        <w:ind w:left="1080" w:hanging="532"/>
        <w:spacing w:after="0" w:line="273"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shares of common stock and preferred stock of the Company and all vested options exercisable for common stock of the Company, in each case, outstanding immediately prior to the effective time of the First Merger, will be cancelled in exchange for the right to receive, at the election of the holders thereof, a number of shares of common stock, par value $0.0001 per share, of HEC (“HEC Common Stock”) or a combination of shares of HEC Common Stock and cash, in each case, as adjusted pursuant to the Merger Agreement, which in the aggregate with the options to acquire common stock of the Company to be assumed by HEC in exchange for options to acquire HEC Common Stock, will equal to the Merger Consideration;</w:t>
      </w:r>
    </w:p>
    <w:p>
      <w:pPr>
        <w:spacing w:after="0" w:line="83" w:lineRule="exact"/>
        <w:rPr>
          <w:rFonts w:ascii="Arial" w:cs="Arial" w:eastAsia="Arial" w:hAnsi="Arial"/>
          <w:sz w:val="17"/>
          <w:szCs w:val="17"/>
          <w:color w:val="auto"/>
        </w:rPr>
      </w:pPr>
    </w:p>
    <w:p>
      <w:pPr>
        <w:ind w:left="1080" w:right="160" w:hanging="532"/>
        <w:spacing w:after="0" w:line="275"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maximum amount of cash (the “Closing Cash Consideration”) that may be paid to pre-closing holders of the Company’s stock and vested options pursuant to the foregoing is equal to (i) the amount of cash held by HEC in its trust account (after reduction for the aggregate amount of cash payable in respect of any HEC stockholder redemptions),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amounts received by HEC upon consummation of the PIPE Investment and the transactions contemplated under the HEC Forward Purchase Agreement (each as defined below),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(iii) $250,000,000, </w:t>
      </w:r>
      <w:r>
        <w:rPr>
          <w:rFonts w:ascii="Arial" w:cs="Arial" w:eastAsia="Arial" w:hAnsi="Arial"/>
          <w:sz w:val="17"/>
          <w:szCs w:val="17"/>
          <w:i w:val="1"/>
          <w:iCs w:val="1"/>
          <w:color w:val="auto"/>
        </w:rPr>
        <w:t>minus</w:t>
      </w:r>
      <w:r>
        <w:rPr>
          <w:rFonts w:ascii="Arial" w:cs="Arial" w:eastAsia="Arial" w:hAnsi="Arial"/>
          <w:sz w:val="17"/>
          <w:szCs w:val="17"/>
          <w:color w:val="auto"/>
        </w:rPr>
        <w:t xml:space="preserve"> (iv) the transaction expenses of the parties to the Merger Agreement;</w:t>
      </w:r>
    </w:p>
    <w:p>
      <w:pPr>
        <w:spacing w:after="0" w:line="81" w:lineRule="exact"/>
        <w:rPr>
          <w:rFonts w:ascii="Arial" w:cs="Arial" w:eastAsia="Arial" w:hAnsi="Arial"/>
          <w:sz w:val="17"/>
          <w:szCs w:val="17"/>
          <w:color w:val="auto"/>
        </w:rPr>
      </w:pPr>
    </w:p>
    <w:p>
      <w:pPr>
        <w:ind w:left="1080" w:right="180" w:hanging="532"/>
        <w:spacing w:after="0" w:line="29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maximum number of shares of HEC Common Stock that may be issued to pre-closing holders of the Company’s stock and options, including HEC Common Shares underlying any assumed options, pursuant to the foregoing is equal to a number determined dividing</w:t>
      </w:r>
    </w:p>
    <w:p>
      <w:pPr>
        <w:ind w:left="1080" w:right="640" w:firstLine="8"/>
        <w:spacing w:after="0" w:line="260" w:lineRule="auto"/>
        <w:tabs>
          <w:tab w:leader="none" w:pos="13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 the Merger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Closing Cash Consideration, minus (iii) the Sponsor Share Amount, minus (iv) the transaction expenses of the parties to the Merger Agreement, by (b) $10.00</w:t>
      </w:r>
    </w:p>
    <w:p>
      <w:pPr>
        <w:spacing w:after="0" w:line="18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Additionally, on January 12, 2021, concurrently with the execution of the Merger Agreement, HEC entered into subscription agreements (the “Subscription Agreements”) with certain investors (collectively, the “PIPE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40"/>
          </w:cols>
          <w:pgMar w:left="320" w:top="459" w:right="5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Investors”), pursuant to, and on the terms and subject to the conditions of which, the PIPE Investors have collectively subscribed for 30,000,000 shares of HEC Common Stock for an aggregate purchase price equal to $300 million (the “PIPE Investment”). The PIPE Investment will be consummated substantially concurrently with the Closing. The Subscription Agreements will terminate with no further force and effect upon the earliest to occur of:</w:t>
      </w:r>
    </w:p>
    <w:p>
      <w:pPr>
        <w:spacing w:after="0" w:line="2" w:lineRule="exact"/>
        <w:rPr>
          <w:sz w:val="20"/>
          <w:szCs w:val="20"/>
          <w:color w:val="auto"/>
        </w:rPr>
      </w:pPr>
    </w:p>
    <w:p>
      <w:pPr>
        <w:ind w:left="120" w:right="280" w:hanging="4"/>
        <w:spacing w:after="0" w:line="255"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termination of the Merger Agreement in accordance with its terms, (ii) the mutual written agreement of the parties to such Subscription Agreement, (iii) the failure to satisfy any of the closing conditions set forth in such Subscription Agreements by the closing date, or (iv) the failure to close within seven months from the date of signing.</w:t>
      </w:r>
    </w:p>
    <w:p>
      <w:pPr>
        <w:spacing w:after="0" w:line="19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parties to the Merger Agreement have made customary representations, warranties and covenants, including, among others, with respect to the conduct of the businesses of Talkspace and HEC during the period between execution of the Business Combination Agreement and the consummation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On February 10, 2021, two purported shareholders of the Company filed actions against the Company and the members of the Company’s board relating to the Mergers. On March 10, 2021, the Company’s board received a shareholder demand letter against the Company and members of the Company’s board. In each case, the shareholders allege a variety of disclosure deficiencies in its proxy statement/prospectus and seek disclosures of additional information. The alleged omissions generally relate to (i) certain financial projections; (ii) certain valuation analyses performed by the Company and (iii) alleged conflicts of interest. Plaintiffs seek to enjoin the forthcoming shareholder vote on the Mergers unless and until the Company discloses the allegedly omitted material information summarized above. The plaintiffs also seek damages and attorneys’ fees.</w:t>
      </w:r>
    </w:p>
    <w:p>
      <w:pPr>
        <w:spacing w:after="0" w:line="164"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The Company cannot predict the outcome of the lawsuits or demand letter or any others that might be filed subsequent to the date of the filing of its proxy statement/prospectus, nor can the Company predict the amount of time and expense that will be required to resolve the lawsuits and demand letter. The Company believes that the lawsuits and demand letter are without merit and intends to vigorously defend against them.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STOCKHOLDERS’ EQUITY</w:t>
      </w:r>
    </w:p>
    <w:p>
      <w:pPr>
        <w:spacing w:after="0" w:line="117"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 rights and preferences as may be determined from time to time by the Company’s board of directors. At December 31, 2020, there were no shares of preferred stock issued or outstanding.</w:t>
      </w:r>
    </w:p>
    <w:p>
      <w:pPr>
        <w:spacing w:after="0" w:line="17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authorized to issue 380,000,000 shares of Class A common stock with a par value of $0.0001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Holders of Class A common stock are entitled to one vote for each share. At December 31, 2020, there were 1,960,628 shares of Class A common stock issued or outstanding, excluding 39,439,372 shares of Class A common stock subject to possible redemption.</w:t>
      </w:r>
    </w:p>
    <w:p>
      <w:pPr>
        <w:spacing w:after="0" w:line="158" w:lineRule="exact"/>
        <w:rPr>
          <w:sz w:val="20"/>
          <w:szCs w:val="20"/>
          <w:color w:val="auto"/>
        </w:rPr>
      </w:pPr>
    </w:p>
    <w:p>
      <w:pPr>
        <w:ind w:left="120" w:right="440" w:firstLine="440"/>
        <w:spacing w:after="0" w:line="282"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20,000,000 shares of Class B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At December 31, 2020, there were 10,350,000 shares of Class B common stock issued and outstanding.</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shares of Class B common stock will automatically convert into shares of Class A common stock at the time of a Business Combination on a one-for-one basis, subject to adjustment. In the case that additional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but not the Forward Purchase Warrants),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8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and only whole warrants will trade. The Public Warrants will become exercisable on the later of (a) 12 months from the closing of the Proposed Public Offering and (b) 30 days after the completion of a Business Combination.</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Redemptions of warrants when the price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Public Warrants:</w:t>
      </w:r>
    </w:p>
    <w:p>
      <w:pPr>
        <w:spacing w:after="0" w:line="11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it may exercise its redemption right even if the Company is unable to register or qualify the underlying securities for sale under all applicable state securities laws.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if (x) the Company issues additional Class A common stock or equity-linked securities for capital raising purposes in connection with the closing of a Business Combination (excluding any issuance of Forward Purchase Securities)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common stock during the 20 trading day period starting on the trading day after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8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Proposed Public Offering, except that the Private Placement Warrants and the shares of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60"/>
          </w:cols>
          <w:pgMar w:left="320" w:top="459"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non-redeemable so long as they are held by the initial purchasers or their permitted.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INCOME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net deferred tax assets are as follows:</w:t>
      </w:r>
    </w:p>
    <w:p>
      <w:pPr>
        <w:spacing w:after="0" w:line="11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Organizational costs/Startup expenses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335,155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(335,155)</w:t>
            </w: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The income tax provision consists of the following:</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32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Current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(335,155)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ind w:left="1320"/>
              <w:spacing w:after="0"/>
              <w:rPr>
                <w:sz w:val="20"/>
                <w:szCs w:val="20"/>
                <w:color w:val="auto"/>
              </w:rPr>
            </w:pPr>
            <w:r>
              <w:rPr>
                <w:rFonts w:ascii="Arial" w:cs="Arial" w:eastAsia="Arial" w:hAnsi="Arial"/>
                <w:sz w:val="18"/>
                <w:szCs w:val="18"/>
                <w:color w:val="auto"/>
              </w:rPr>
              <w:t>Income tax provision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December 31, 2020, the Company did not have any U.S. federal and state net operating loss carryovers available to offset future taxable income.</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February 6, 2020 (inception) through December 31, 2020, the change in the valuation allowance was $335,155.</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2020 is as follows:</w:t>
      </w:r>
    </w:p>
    <w:p>
      <w:pPr>
        <w:spacing w:after="0" w:line="11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3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Income tax provision</w:t>
            </w: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FAIR VALUE MEASUREMENTS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3" w:lineRule="exact"/>
        <w:rPr>
          <w:sz w:val="20"/>
          <w:szCs w:val="20"/>
          <w:color w:val="auto"/>
        </w:rPr>
      </w:pPr>
    </w:p>
    <w:p>
      <w:pPr>
        <w:jc w:val="both"/>
        <w:ind w:left="1580" w:right="440" w:hanging="1012"/>
        <w:spacing w:after="0" w:line="263" w:lineRule="auto"/>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6" w:lineRule="exact"/>
        <w:rPr>
          <w:sz w:val="20"/>
          <w:szCs w:val="20"/>
          <w:color w:val="auto"/>
        </w:rPr>
      </w:pPr>
    </w:p>
    <w:p>
      <w:pPr>
        <w:ind w:left="1580" w:right="640" w:hanging="1012"/>
        <w:spacing w:after="0" w:line="308"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38" w:lineRule="exact"/>
        <w:rPr>
          <w:sz w:val="20"/>
          <w:szCs w:val="20"/>
          <w:color w:val="auto"/>
        </w:rPr>
      </w:pPr>
    </w:p>
    <w:p>
      <w:pPr>
        <w:ind w:left="1580" w:right="700" w:hanging="1012"/>
        <w:spacing w:after="0" w:line="277" w:lineRule="auto"/>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our assessment of the assumptions that market participants would use in pricing the asset or liability.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December 31, 2020, assets held in the Trust Account were comprised of $575 in cash and $414,232,051 in U.S. Treasury securities. During the year ended December 31, 2020, the Company did not withdraw any interest income from the Trust Account.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 The gross holding gains and fair value of held-to-maturity securities at December 31, 2020 are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Gross</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374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Held-To-Maturity</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w:t>
            </w: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Holding</w:t>
            </w: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Gain</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U.S. Treasury Securities (Mature on 1/28/2021)</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414,228,281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$ 4,345</w:t>
            </w:r>
          </w:p>
        </w:tc>
        <w:tc>
          <w:tcPr>
            <w:tcW w:w="5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414,232,626</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SUBSEQUENT EVENTS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On January 18, 2021, the Company established two subsidiaries, Tailwind Merger Sub I, Inc., a wholly-owned subsidiary of the Company incorporated in Delaware (“Merger Sub 1”) and Tailwind Merger Sub II, LLC, a wholly -owned subsidiary of the Company also incorporated in Delaware (“Merger Sub 2”).</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described in Note 6, the Company entered into an Agreement and Plan of Merger on January 12, 2021 with Talkspace.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Hudson Executive Investment Corp. (“we,” “our,” “us” or the “Company”) is a Delaware corporation. Our affairs are governed by our amended and restated certificate of incorporation and the Delaware General Corporation Law (“DGCL”). Pursuant to our amended and restated certificate of incorporation, we are authorized to issue 400,000,000 shares of common stock, $0.0001 par value each, including 380,000,000 shares of Class A common stock and 20,000,000 shares of Class B common stock, as well as 1,000,000 shares of preferred stock, $0.0001 par value.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78"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As of December 31, 2020, we had 41,400,000 shares of Class A common stock and 10,350,000 shares of Class B common stock issued and outstanding. We have no shares of preferred stock outstanding at the date hereof.</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Defined terms used herein and not defined herein shall have the meaning ascribed to such terms in our Annual Report on Form 10-K to which this “Description of Securities” is filed as Exhibit 4.5.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Each unit consists of one share of Class A common stock and one-half of one redeemable warrant. Each whole warrant entitles the holder thereof to purchase one share of our Class A common stock at a price of $11.50 per share, subject to adjustment as described in the registration statement and related prospectus in connection with our Initial Public Offering. Only whole warrants are exercisable. No fractional warrants will be issued upon separation of the units and only whole warrants will trade.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 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78"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Because our amended and restated certificate of incorporation authorizes the issuance of up to 380,000,000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w:t>
      </w:r>
    </w:p>
    <w:p>
      <w:pPr>
        <w:spacing w:after="0" w:line="17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full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95" w:name="page96"/>
    <w:bookmarkEnd w:id="95"/>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the limitations described herein. The amount in the trust account was initially $10.00 per public share. The per share amount we will distribute to investors who properly redeem their shares will not be reduced by the deferred underwriting commissions we will pay to the underwriters of our Initial Public Offering.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affiliates in privately-negotiated transactions, if any, could result in the approval of our initial business combination even if a majority of our public stockholders vote, or indicate their intention to vote, against such initial business combination. For purposes of seeking approval of the majority of our outstanding shares of common stock, non-votes will have no effect on the approval of our initial business combination once a quorum is obtained.</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the Initial Public Offering without our prior consent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68"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If we seek stockholder approval in connection with our initial business combination, our initial stockholders, sponsor, officers and directors have agreed to vote any founder shares they hold and any public shares purchased during or after our Initial Public Offering in favor of our initial business combination. As a result, in addition to our initial stockholders’ founder shares, we would need 15,525,001, or 37.5%, of the 41,400,000 public shares sold in our Initial Public Offering to be voted in favor of an initial business combination in order to have our initial business combination approved (assuming all outstanding shares are voted). Additionally, each public stockholder may elect to redeem their public shares irrespective of whether they vote for or against the proposed transaction.</w:t>
      </w:r>
    </w:p>
    <w:p>
      <w:pPr>
        <w:spacing w:after="0" w:line="192"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Pursuant to our amended and restated certificate of incorporation, if we do not complete our initial business combination within 24 months from the closing of our Initial Public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96" w:name="page97"/>
    <w:bookmarkEnd w:id="9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our Initial Public Offering. However, if our initial stockholders or management team acquire public shares other than through our Initial Public Offering, they will be entitled to liquidating distributions from the trust account with respect to such public shares if we fail to complete our initial business combination within the prescribed time period.</w:t>
      </w:r>
    </w:p>
    <w:p>
      <w:pPr>
        <w:spacing w:after="0" w:line="17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(net of permitted withdrawals), divided by the number of then outstanding public shares, upon the completion of our initial business combination, subject to the limitations described herein.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The founder shares are designated as Class B common stock and, except as described below, are identical to the shares of Class A common stock included in the units sold in our Initial Public Offering, and holders of founder shares have the same stockholder rights as public stockholders, except that (i) the founder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and public shares they hold in connection with the completion of our initial business combination, (B) to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our Initial Public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our Initial Public Offering, although they will be entitled to liquidating distributions from the trust account with respect to any public shares they hold if we fail to complete our initial business combination within such time period, and (iii) 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and any public shares purchased during or after our Initial Public Offering in favor of our initial business combination.</w:t>
      </w:r>
    </w:p>
    <w:p>
      <w:pPr>
        <w:spacing w:after="0" w:line="180"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the forward purchase shares but not the forward purchase warrants),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97" w:name="page98"/>
    <w:bookmarkEnd w:id="97"/>
    <w:p>
      <w:pPr>
        <w:ind w:right="30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certain limited exceptions, the founder shares are not transferable, assignable or salable (except to our officers and directors and other persons or entities affiliated with our sponsor, each of whom are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Our amended and restated certificate of incorporation authorizes 1,000,000 shares of preferred stock and provides that shares of preferred stock may be issued from time to time in one or more series. Our board of directors is authorized to fix the voting rights, if any, designations, powers, preferences, the relative, participating, optional or other special rights and any qualifications, limitations and restrictions thereof, applicable to the shares of each series. Our board of directors is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17"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Each whole warrant entitles the registered holder to purchase one share of Class A common stock at a price of $11.50 per share, subject to adjustment as discussed below, at any time commencing on the later of 12 months from the closing of our Initial Public Offering and 30 days after the completion of our initial business combination, 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a stockholder holds at least two units, such stockholder will not be able to receive or trade a whole warrant. The warrants will expire five years after the completion of our initial business combination, at 5:00 p.m., New York City time, or earlier upon redemption or liquidation.</w:t>
      </w:r>
    </w:p>
    <w:p>
      <w:pPr>
        <w:spacing w:after="0" w:line="168" w:lineRule="exact"/>
        <w:rPr>
          <w:sz w:val="20"/>
          <w:szCs w:val="20"/>
          <w:color w:val="auto"/>
        </w:rPr>
      </w:pPr>
    </w:p>
    <w:p>
      <w:pPr>
        <w:ind w:right="160" w:firstLine="440"/>
        <w:spacing w:after="0" w:line="269" w:lineRule="auto"/>
        <w:rPr>
          <w:sz w:val="20"/>
          <w:szCs w:val="20"/>
          <w:color w:val="auto"/>
        </w:rPr>
      </w:pPr>
      <w:r>
        <w:rPr>
          <w:rFonts w:ascii="Arial" w:cs="Arial" w:eastAsia="Arial" w:hAnsi="Arial"/>
          <w:sz w:val="17"/>
          <w:szCs w:val="17"/>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our satisfying our obligations described below with respect to registration.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0"/>
          </w:cols>
          <w:pgMar w:left="440" w:top="274" w:right="479" w:bottom="1440" w:gutter="0" w:footer="0" w:header="0"/>
        </w:sectPr>
      </w:pPr>
    </w:p>
    <w:bookmarkStart w:id="98" w:name="page99"/>
    <w:bookmarkEnd w:id="98"/>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2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Redemption of warrants for cash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Once the warrants become exercisable, we may call the warrants for redemption for cash:</w:t>
      </w:r>
    </w:p>
    <w:p>
      <w:pPr>
        <w:spacing w:after="0" w:line="131" w:lineRule="exact"/>
        <w:rPr>
          <w:sz w:val="20"/>
          <w:szCs w:val="20"/>
          <w:color w:val="auto"/>
        </w:rPr>
      </w:pPr>
    </w:p>
    <w:p>
      <w:pPr>
        <w:ind w:left="1420" w:hanging="43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(the “30-day redemption period”) to each warrant holder; and</w:t>
      </w:r>
    </w:p>
    <w:p>
      <w:pPr>
        <w:spacing w:after="0" w:line="142" w:lineRule="exact"/>
        <w:rPr>
          <w:rFonts w:ascii="Arial" w:cs="Arial" w:eastAsia="Arial" w:hAnsi="Arial"/>
          <w:sz w:val="17"/>
          <w:szCs w:val="17"/>
          <w:color w:val="auto"/>
        </w:rPr>
      </w:pPr>
    </w:p>
    <w:p>
      <w:pPr>
        <w:ind w:left="1420" w:right="260" w:hanging="439"/>
        <w:spacing w:after="0" w:line="263"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and only if, the closing price of the common stock equals or exceeds $18.00 per share (as adjusted for stock splits, stock capitalizations, reorganizations, recapitalizations and the like) for any 20 trading days within a 30-trading day period ending three business days before we send to the notice of redemption to the warrant holders.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If and when the warrants become redeemable by us for cash,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stock splits, stock capitalizations, reorganizations, recapitalizations and the like) as well as the $11.50 warrant exercise price after the redemption notice is issued.</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1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Class A common stock underlying the warrants, multiplied by the excess of the “fair market value” of our Class A common stock (defined below) over the exercise price of the warrants by (y) the fair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99" w:name="page100"/>
    <w:bookmarkEnd w:id="99"/>
    <w:p>
      <w:pPr>
        <w:ind w:left="4"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value. The “fair market value” will mean the average closing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6"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18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If the number of outstanding shares of Class A common stock is increased by a share capitalization payable in shares of Class A common stock, or by a split-up of common stock or other similar event, then, on the effective date of such share capitalization, split-up or similar event, the number of shares of Class A common stock issuable on exercise of each warrant will be increased in proportion to such increase in the outstanding shares of common stock. A rights offering to holders of common stock entitling holders to purchase Class A common stock at a price less than the fair market value will be deemed a share capitalization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the quotient of (x) the price per share of Class A common stock paid in such rights offering and (y) the fair market value. For these purposes (i) if the rights offering is for securities convertible into or exercisable for shares of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shares of Class A common stock as reported during the ten (10) trading day period ending on the trading day prior to the first date on which the Class A common stock trades on the applicable exchange or in the applicable market, regular way, without the right to receive such rights.</w:t>
      </w:r>
    </w:p>
    <w:p>
      <w:pPr>
        <w:spacing w:after="0" w:line="168"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common stock on account of such Class A common stock (or other securities into which the warrants are convertible), other than (a) as described above, (b) certain ordinary cash dividends, (c) to satisfy the redemption rights of the holders of Class A common stock in connection with a proposed initial business combination or extension of the time period in which we must complete an initial business combination, or</w:t>
      </w:r>
    </w:p>
    <w:p>
      <w:pPr>
        <w:spacing w:after="0" w:line="1" w:lineRule="exact"/>
        <w:rPr>
          <w:sz w:val="20"/>
          <w:szCs w:val="20"/>
          <w:color w:val="auto"/>
        </w:rPr>
      </w:pPr>
    </w:p>
    <w:p>
      <w:pPr>
        <w:ind w:left="4" w:right="60" w:hanging="4"/>
        <w:spacing w:after="0" w:line="255"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90"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 of Class A common stock.</w:t>
      </w:r>
    </w:p>
    <w:p>
      <w:pPr>
        <w:spacing w:after="0" w:line="187"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w:t>
      </w:r>
    </w:p>
    <w:p>
      <w:pPr>
        <w:spacing w:after="0" w:line="2" w:lineRule="exact"/>
        <w:rPr>
          <w:sz w:val="20"/>
          <w:szCs w:val="20"/>
          <w:color w:val="auto"/>
        </w:rPr>
      </w:pPr>
    </w:p>
    <w:p>
      <w:pPr>
        <w:ind w:left="264" w:hanging="264"/>
        <w:spacing w:after="0"/>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denominator of which will be the number of shares of Class A common stock so purchasable immediately thereafter.</w:t>
      </w:r>
    </w:p>
    <w:p>
      <w:pPr>
        <w:spacing w:after="0" w:line="143" w:lineRule="exact"/>
        <w:rPr>
          <w:rFonts w:ascii="Arial" w:cs="Arial" w:eastAsia="Arial" w:hAnsi="Arial"/>
          <w:sz w:val="18"/>
          <w:szCs w:val="18"/>
          <w:color w:val="auto"/>
        </w:rPr>
      </w:pPr>
    </w:p>
    <w:p>
      <w:pPr>
        <w:ind w:left="5464" w:hanging="106"/>
        <w:spacing w:after="0"/>
        <w:tabs>
          <w:tab w:leader="none" w:pos="5464" w:val="left"/>
        </w:tabs>
        <w:numPr>
          <w:ilvl w:val="1"/>
          <w:numId w:val="4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84"/>
          </w:cols>
          <w:pgMar w:left="436" w:top="274" w:right="479" w:bottom="1440" w:gutter="0" w:footer="0" w:header="0"/>
        </w:sectPr>
      </w:pPr>
    </w:p>
    <w:bookmarkStart w:id="100" w:name="page101"/>
    <w:bookmarkEnd w:id="100"/>
    <w:p>
      <w:pPr>
        <w:ind w:left="4" w:right="1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if (x) we issue additional shares of Class A common stock or equity-linked securities for capital raising purposes in connection with the closing of our initial business combination (excluding any issuance of forward purchase securities), at an issue price or effective issue price of less than $9.20 per share of Class A common stock (with such issue price or effective issue price to be determined in good faith by our board of directors and, in the case of any such issuance to our initial stockholders or their affiliates, without taking into account any founder shares held by our initial stockholders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for cash” will be adjusted (to the nearest cent) to be equal to 180% of the higher of the Market Value and the Newly Issued Price.</w:t>
      </w:r>
    </w:p>
    <w:p>
      <w:pPr>
        <w:spacing w:after="0" w:line="172"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w:t>
      </w:r>
    </w:p>
    <w:p>
      <w:pPr>
        <w:spacing w:after="0" w:line="6" w:lineRule="exact"/>
        <w:rPr>
          <w:sz w:val="20"/>
          <w:szCs w:val="20"/>
          <w:color w:val="auto"/>
        </w:rPr>
      </w:pPr>
    </w:p>
    <w:p>
      <w:pPr>
        <w:ind w:left="4" w:right="80"/>
        <w:spacing w:after="0" w:line="269" w:lineRule="auto"/>
        <w:rPr>
          <w:sz w:val="20"/>
          <w:szCs w:val="20"/>
          <w:color w:val="auto"/>
        </w:rPr>
      </w:pPr>
      <w:r>
        <w:rPr>
          <w:rFonts w:ascii="Arial" w:cs="Arial" w:eastAsia="Arial" w:hAnsi="Arial"/>
          <w:sz w:val="17"/>
          <w:szCs w:val="17"/>
          <w:color w:val="auto"/>
        </w:rPr>
        <w:t>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0" w:lineRule="exact"/>
        <w:rPr>
          <w:sz w:val="20"/>
          <w:szCs w:val="20"/>
          <w:color w:val="auto"/>
        </w:rPr>
      </w:pPr>
    </w:p>
    <w:p>
      <w:pPr>
        <w:ind w:left="4" w:right="440" w:firstLine="440"/>
        <w:spacing w:after="0" w:line="291" w:lineRule="auto"/>
        <w:rPr>
          <w:sz w:val="20"/>
          <w:szCs w:val="20"/>
          <w:color w:val="auto"/>
        </w:rPr>
      </w:pPr>
      <w:r>
        <w:rPr>
          <w:rFonts w:ascii="Arial" w:cs="Arial" w:eastAsia="Arial" w:hAnsi="Arial"/>
          <w:sz w:val="16"/>
          <w:szCs w:val="16"/>
          <w:color w:val="auto"/>
        </w:rPr>
        <w:t>The warrants were issued in registered form under our warrant agreement between Continental Stock Transfer &amp; Trust Company, as warrant agent, and us. The warrant agreement provides that the terms of the warrants may be amended without the consent of any holder for the purpose of</w:t>
      </w:r>
    </w:p>
    <w:p>
      <w:pPr>
        <w:ind w:left="4" w:right="80" w:hanging="4"/>
        <w:spacing w:after="0" w:line="268" w:lineRule="auto"/>
        <w:tabs>
          <w:tab w:leader="none" w:pos="219" w:val="left"/>
        </w:tabs>
        <w:numPr>
          <w:ilvl w:val="0"/>
          <w:numId w:val="41"/>
        </w:numPr>
        <w:rPr>
          <w:rFonts w:ascii="Arial" w:cs="Arial" w:eastAsia="Arial" w:hAnsi="Arial"/>
          <w:sz w:val="17"/>
          <w:szCs w:val="17"/>
          <w:color w:val="auto"/>
        </w:rPr>
      </w:pPr>
      <w:r>
        <w:rPr>
          <w:rFonts w:ascii="Arial" w:cs="Arial" w:eastAsia="Arial" w:hAnsi="Arial"/>
          <w:sz w:val="17"/>
          <w:szCs w:val="17"/>
          <w:color w:val="auto"/>
        </w:rPr>
        <w:t>curing any ambiguity or to correct any defective provision or mistake, including to conform the provisions of the warrant agreement to the description of the terms of the warrants and the warrant agreement set forth in the prospectus related to our Initial Public Offering, (ii) adjusting the provisions relating to cash dividends on shares of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 You should review a copy of the warrant agreement, which is filed as an exhibit to this Annual Report on Form 10-K, for a complete description of the terms and conditions applicable to the warrants.</w:t>
      </w:r>
    </w:p>
    <w:p>
      <w:pPr>
        <w:spacing w:after="0" w:line="181"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4"/>
          </w:cols>
          <w:pgMar w:left="436" w:top="274" w:right="459" w:bottom="1440" w:gutter="0" w:footer="0" w:header="0"/>
        </w:sectPr>
      </w:pPr>
    </w:p>
    <w:bookmarkStart w:id="101" w:name="page102"/>
    <w:bookmarkEnd w:id="101"/>
    <w:p>
      <w:pPr>
        <w:ind w:right="4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to our officers and directors and other persons or entities affiliated with the initial purchasers of the private placement warrants) and they will not be redeemable by us for cash so long as they are held by the initial stockholders or their permitted transferees. The initial purchasers, or their permitted transferees, have the option to exercise the private placement warrants on a cashless basis. Except as described in this section, the private placement warrants have terms and provisions that are identical to those of the warrants sold as part of the units in our Initial Public Offering, including that they may be redeemed for shares of Class A common stock. If the private placement warrants are held by holders other than the initial purchasers or their permitted transferees, the private placement warrants will be redeemable by us and exercisable by the holders on the same basis as the warrants included in the units sold in our Initial Public Offering.</w:t>
      </w:r>
    </w:p>
    <w:p>
      <w:pPr>
        <w:spacing w:after="0" w:line="181"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initial purchasers or their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6"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Our initial stockholders have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transfers can be made to our officers and directors and other persons or entities affiliated with the sponsor.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is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incur any indebtedness, our ability to declare dividends may be limited by restrictive covenants we may agree to in connection therewith.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4"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Transfer Agent and Warrant Agent</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Our amended and restated certificate of incorporation contains certain requirements and restrictions that will apply to us until the completion of our initial business combination. These provisions cannot be amended without the approval of the holders of 65% of our common stock. Our initial stockholders, who collectively beneficially own 20% of our common stock,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93" w:lineRule="exact"/>
        <w:rPr>
          <w:sz w:val="20"/>
          <w:szCs w:val="20"/>
          <w:color w:val="auto"/>
        </w:rPr>
      </w:pPr>
    </w:p>
    <w:p>
      <w:pPr>
        <w:ind w:left="1420" w:hanging="439"/>
        <w:spacing w:after="0"/>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we do not complete our initial business combination within 24 months from the closing of our Initial Public Offering, we will</w:t>
      </w:r>
    </w:p>
    <w:p>
      <w:pPr>
        <w:spacing w:after="0" w:line="34" w:lineRule="exact"/>
        <w:rPr>
          <w:rFonts w:ascii="Arial" w:cs="Arial" w:eastAsia="Arial" w:hAnsi="Arial"/>
          <w:sz w:val="17"/>
          <w:szCs w:val="17"/>
          <w:color w:val="auto"/>
        </w:rPr>
      </w:pPr>
    </w:p>
    <w:p>
      <w:pPr>
        <w:ind w:left="1420" w:right="140" w:hanging="7"/>
        <w:spacing w:after="0" w:line="281" w:lineRule="auto"/>
        <w:tabs>
          <w:tab w:leader="none" w:pos="1635" w:val="left"/>
        </w:tabs>
        <w:numPr>
          <w:ilvl w:val="1"/>
          <w:numId w:val="42"/>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2" w:lineRule="exact"/>
        <w:rPr>
          <w:rFonts w:ascii="Arial" w:cs="Arial" w:eastAsia="Arial" w:hAnsi="Arial"/>
          <w:sz w:val="16"/>
          <w:szCs w:val="16"/>
          <w:color w:val="auto"/>
        </w:rPr>
      </w:pPr>
    </w:p>
    <w:p>
      <w:pPr>
        <w:ind w:left="1420" w:right="260" w:hanging="7"/>
        <w:spacing w:after="0" w:line="255" w:lineRule="auto"/>
        <w:tabs>
          <w:tab w:leader="none" w:pos="17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95" w:lineRule="exact"/>
        <w:rPr>
          <w:rFonts w:ascii="Arial" w:cs="Arial" w:eastAsia="Arial" w:hAnsi="Arial"/>
          <w:sz w:val="18"/>
          <w:szCs w:val="18"/>
          <w:color w:val="auto"/>
        </w:rPr>
      </w:pPr>
    </w:p>
    <w:p>
      <w:pPr>
        <w:ind w:left="1420" w:right="100" w:hanging="439"/>
        <w:spacing w:after="0" w:line="301"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our Initial Public Offering or (y) amend the foregoing provisions;</w:t>
      </w:r>
    </w:p>
    <w:p>
      <w:pPr>
        <w:spacing w:after="0" w:line="62" w:lineRule="exact"/>
        <w:rPr>
          <w:rFonts w:ascii="Arial" w:cs="Arial" w:eastAsia="Arial" w:hAnsi="Arial"/>
          <w:sz w:val="16"/>
          <w:szCs w:val="16"/>
          <w:color w:val="auto"/>
        </w:rPr>
      </w:pPr>
    </w:p>
    <w:p>
      <w:pPr>
        <w:ind w:left="1420" w:hanging="439"/>
        <w:spacing w:after="0" w:line="301"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an independent accounting firm that such a business combination is fair to our Company from a financial point of view;</w:t>
      </w:r>
    </w:p>
    <w:p>
      <w:pPr>
        <w:spacing w:after="0" w:line="62" w:lineRule="exact"/>
        <w:rPr>
          <w:rFonts w:ascii="Arial" w:cs="Arial" w:eastAsia="Arial" w:hAnsi="Arial"/>
          <w:sz w:val="16"/>
          <w:szCs w:val="16"/>
          <w:color w:val="auto"/>
        </w:rPr>
      </w:pPr>
    </w:p>
    <w:p>
      <w:pPr>
        <w:ind w:left="1420" w:right="180" w:hanging="439"/>
        <w:spacing w:after="0" w:line="291"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 stockholder vote on our initial business combination is not required by law and we do not decide to hold a stockholder vote for business or other legal reasons, we will offer to redeem our public shares pursuant to Rule 13e-4 and Regulation 14E of</w:t>
      </w:r>
    </w:p>
    <w:p>
      <w:pPr>
        <w:ind w:left="1420" w:right="100"/>
        <w:spacing w:after="0" w:line="253" w:lineRule="auto"/>
        <w:rPr>
          <w:rFonts w:ascii="Arial" w:cs="Arial" w:eastAsia="Arial" w:hAnsi="Arial"/>
          <w:sz w:val="16"/>
          <w:szCs w:val="16"/>
          <w:color w:val="auto"/>
        </w:rPr>
      </w:pPr>
      <w:r>
        <w:rPr>
          <w:rFonts w:ascii="Arial" w:cs="Arial" w:eastAsia="Arial" w:hAnsi="Arial"/>
          <w:sz w:val="18"/>
          <w:szCs w:val="18"/>
          <w:color w:val="auto"/>
        </w:rPr>
        <w:t>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123" w:lineRule="exact"/>
        <w:rPr>
          <w:rFonts w:ascii="Arial" w:cs="Arial" w:eastAsia="Arial" w:hAnsi="Arial"/>
          <w:sz w:val="16"/>
          <w:szCs w:val="16"/>
          <w:color w:val="auto"/>
        </w:rPr>
      </w:pPr>
    </w:p>
    <w:p>
      <w:pPr>
        <w:ind w:left="5460" w:hanging="106"/>
        <w:spacing w:after="0"/>
        <w:tabs>
          <w:tab w:leader="none" w:pos="54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0"/>
          </w:cols>
          <w:pgMar w:left="440" w:top="270" w:right="459" w:bottom="1440" w:gutter="0" w:footer="0" w:header="0"/>
        </w:sectPr>
      </w:pPr>
    </w:p>
    <w:bookmarkStart w:id="103" w:name="page104"/>
    <w:bookmarkEnd w:id="103"/>
    <w:p>
      <w:pPr>
        <w:ind w:left="1420" w:right="280" w:hanging="439"/>
        <w:spacing w:after="0" w:line="259"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agreement to enter into the initial business combination;</w:t>
      </w:r>
    </w:p>
    <w:p>
      <w:pPr>
        <w:spacing w:after="0" w:line="92" w:lineRule="exact"/>
        <w:rPr>
          <w:rFonts w:ascii="Arial" w:cs="Arial" w:eastAsia="Arial" w:hAnsi="Arial"/>
          <w:sz w:val="18"/>
          <w:szCs w:val="18"/>
          <w:color w:val="auto"/>
        </w:rPr>
      </w:pPr>
    </w:p>
    <w:p>
      <w:pPr>
        <w:ind w:left="1420" w:hanging="439"/>
        <w:spacing w:after="0" w:line="272" w:lineRule="auto"/>
        <w:tabs>
          <w:tab w:leader="none" w:pos="14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our Initial Public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(net of permitted withdrawals), divided by the number of then outstanding public shares, subject to the limitations described herein; and</w:t>
      </w:r>
    </w:p>
    <w:p>
      <w:pPr>
        <w:spacing w:after="0" w:line="82" w:lineRule="exact"/>
        <w:rPr>
          <w:rFonts w:ascii="Arial" w:cs="Arial" w:eastAsia="Arial" w:hAnsi="Arial"/>
          <w:sz w:val="17"/>
          <w:szCs w:val="17"/>
          <w:color w:val="auto"/>
        </w:rPr>
      </w:pPr>
    </w:p>
    <w:p>
      <w:pPr>
        <w:ind w:left="1420" w:right="540" w:hanging="43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76" w:lineRule="exact"/>
        <w:rPr>
          <w:sz w:val="20"/>
          <w:szCs w:val="20"/>
          <w:color w:val="auto"/>
        </w:rPr>
      </w:pPr>
    </w:p>
    <w:p>
      <w:pPr>
        <w:ind w:left="1420" w:hanging="43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associate of an interested stockholder, for three years following the date that the stockholder became an interested stockholder.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 “business combination” includes a merger or sale of more than 10% of our assets. However, the above provisions of Section 203 do not apply if:</w:t>
      </w:r>
    </w:p>
    <w:p>
      <w:pPr>
        <w:spacing w:after="0" w:line="142" w:lineRule="exact"/>
        <w:rPr>
          <w:sz w:val="20"/>
          <w:szCs w:val="20"/>
          <w:color w:val="auto"/>
        </w:rPr>
      </w:pPr>
    </w:p>
    <w:p>
      <w:pPr>
        <w:ind w:left="1420" w:right="660" w:hanging="43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75" w:lineRule="exact"/>
        <w:rPr>
          <w:rFonts w:ascii="Arial" w:cs="Arial" w:eastAsia="Arial" w:hAnsi="Arial"/>
          <w:sz w:val="18"/>
          <w:szCs w:val="18"/>
          <w:color w:val="auto"/>
        </w:rPr>
      </w:pPr>
    </w:p>
    <w:p>
      <w:pPr>
        <w:ind w:left="1420" w:right="60" w:hanging="439"/>
        <w:spacing w:after="0" w:line="263"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89" w:lineRule="exact"/>
        <w:rPr>
          <w:rFonts w:ascii="Arial" w:cs="Arial" w:eastAsia="Arial" w:hAnsi="Arial"/>
          <w:sz w:val="18"/>
          <w:szCs w:val="18"/>
          <w:color w:val="auto"/>
        </w:rPr>
      </w:pPr>
    </w:p>
    <w:p>
      <w:pPr>
        <w:ind w:left="1420" w:right="100" w:hanging="439"/>
        <w:spacing w:after="0" w:line="263"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84"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Our amended and restated certificate of incorporation provides that our board of directors is classified into three classes of directors. As a result, in most circumstances, a person can gain control of our board only by successfully engaging in a proxy contest at two or more annual meetings.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20"/>
          </w:cols>
          <w:pgMar w:left="440" w:top="274" w:right="439" w:bottom="1440" w:gutter="0" w:footer="0" w:header="0"/>
        </w:sectPr>
      </w:pPr>
    </w:p>
    <w:bookmarkStart w:id="104" w:name="page105"/>
    <w:bookmarkEnd w:id="104"/>
    <w:p>
      <w:pPr>
        <w:ind w:left="4"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Exclusive forum for certain lawsuits</w:t>
      </w:r>
    </w:p>
    <w:p>
      <w:pPr>
        <w:spacing w:after="0" w:line="121"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Our amended and restated certificate of incorporation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w:t>
      </w:r>
    </w:p>
    <w:p>
      <w:pPr>
        <w:spacing w:after="0" w:line="2" w:lineRule="exact"/>
        <w:rPr>
          <w:sz w:val="20"/>
          <w:szCs w:val="20"/>
          <w:color w:val="auto"/>
        </w:rPr>
      </w:pPr>
    </w:p>
    <w:p>
      <w:pPr>
        <w:ind w:left="4" w:right="40" w:hanging="4"/>
        <w:spacing w:after="0" w:line="286" w:lineRule="auto"/>
        <w:tabs>
          <w:tab w:leader="none" w:pos="29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72"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Notwithstanding the foregoing, our amended and restated certificate of incorporation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Special meeting of stockholders</w:t>
      </w:r>
    </w:p>
    <w:p>
      <w:pPr>
        <w:spacing w:after="0" w:line="121"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21" w:lineRule="exact"/>
        <w:rPr>
          <w:sz w:val="20"/>
          <w:szCs w:val="20"/>
          <w:color w:val="auto"/>
        </w:rPr>
      </w:pPr>
    </w:p>
    <w:p>
      <w:pPr>
        <w:jc w:val="both"/>
        <w:ind w:left="4" w:right="100" w:firstLine="440"/>
        <w:spacing w:after="0" w:line="286"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90th day nor earlier than the opening of business on the 120th day prior to the anniversary date of the immediately preceding annual meeting of stockholders. Pursuant to Rule 14a-8 of</w:t>
      </w:r>
    </w:p>
    <w:p>
      <w:pPr>
        <w:spacing w:after="0" w:line="1" w:lineRule="exact"/>
        <w:rPr>
          <w:sz w:val="20"/>
          <w:szCs w:val="20"/>
          <w:color w:val="auto"/>
        </w:rPr>
      </w:pPr>
    </w:p>
    <w:p>
      <w:pPr>
        <w:ind w:left="4" w:right="260"/>
        <w:spacing w:after="0" w:line="302" w:lineRule="auto"/>
        <w:rPr>
          <w:sz w:val="20"/>
          <w:szCs w:val="20"/>
          <w:color w:val="auto"/>
        </w:rPr>
      </w:pPr>
      <w:r>
        <w:rPr>
          <w:rFonts w:ascii="Arial" w:cs="Arial" w:eastAsia="Arial" w:hAnsi="Arial"/>
          <w:sz w:val="16"/>
          <w:szCs w:val="16"/>
          <w:color w:val="auto"/>
        </w:rPr>
        <w:t>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Action by written consent</w:t>
      </w:r>
    </w:p>
    <w:p>
      <w:pPr>
        <w:spacing w:after="0" w:line="121" w:lineRule="exact"/>
        <w:rPr>
          <w:sz w:val="20"/>
          <w:szCs w:val="20"/>
          <w:color w:val="auto"/>
        </w:rPr>
      </w:pPr>
    </w:p>
    <w:p>
      <w:pPr>
        <w:ind w:left="4" w:right="360" w:firstLine="440"/>
        <w:spacing w:after="0" w:line="308" w:lineRule="auto"/>
        <w:rPr>
          <w:sz w:val="20"/>
          <w:szCs w:val="20"/>
          <w:color w:val="auto"/>
        </w:rPr>
      </w:pPr>
      <w:r>
        <w:rPr>
          <w:rFonts w:ascii="Arial" w:cs="Arial" w:eastAsia="Arial" w:hAnsi="Arial"/>
          <w:sz w:val="17"/>
          <w:szCs w:val="17"/>
          <w:color w:val="auto"/>
        </w:rPr>
        <w:t>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24"/>
          </w:cols>
          <w:pgMar w:left="436" w:top="274"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B Common Stock Consent Right</w:t>
      </w:r>
    </w:p>
    <w:p>
      <w:pPr>
        <w:spacing w:after="0" w:line="121"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8"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420" w:hanging="439"/>
        <w:spacing w:after="0"/>
        <w:tabs>
          <w:tab w:leader="none" w:pos="1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1% of the total number of shares of common stock then outstanding, which as of December 31, 2020 is equal to 517,500; or</w:t>
      </w:r>
    </w:p>
    <w:p>
      <w:pPr>
        <w:spacing w:after="0" w:line="142" w:lineRule="exact"/>
        <w:rPr>
          <w:rFonts w:ascii="Arial" w:cs="Arial" w:eastAsia="Arial" w:hAnsi="Arial"/>
          <w:sz w:val="17"/>
          <w:szCs w:val="17"/>
          <w:color w:val="auto"/>
        </w:rPr>
      </w:pPr>
    </w:p>
    <w:p>
      <w:pPr>
        <w:ind w:left="1420" w:right="220" w:hanging="43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Restrictions on the Use of Rule 144 by Shell Companies or Former Shell Companies</w:t>
      </w:r>
    </w:p>
    <w:p>
      <w:pPr>
        <w:spacing w:after="0" w:line="11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1420" w:hanging="43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20"/>
          </w:cols>
          <w:pgMar w:left="440" w:top="270" w:right="439" w:bottom="1440" w:gutter="0" w:footer="0" w:header="0"/>
        </w:sectPr>
      </w:pPr>
    </w:p>
    <w:bookmarkStart w:id="106" w:name="page107"/>
    <w:bookmarkEnd w:id="106"/>
    <w:p>
      <w:pPr>
        <w:ind w:left="1420" w:hanging="439"/>
        <w:spacing w:after="0" w:line="342" w:lineRule="auto"/>
        <w:tabs>
          <w:tab w:leader="none" w:pos="1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9" w:lineRule="exact"/>
        <w:rPr>
          <w:rFonts w:ascii="Arial" w:cs="Arial" w:eastAsia="Arial" w:hAnsi="Arial"/>
          <w:sz w:val="16"/>
          <w:szCs w:val="16"/>
          <w:color w:val="auto"/>
        </w:rPr>
      </w:pPr>
    </w:p>
    <w:p>
      <w:pPr>
        <w:ind w:left="1420" w:hanging="43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As a result, our initial stockholders will be able to sell their founder shares and private placement warrants, as applicable, pursuant to Rule 144 without registration one year after we have completed our initial business combination.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holders of the founder shares, private placement warrants, forward purchase securities and warrants that may be issued upon conversion of working capital loans (and any Class A common stock issuable upon the exercise of the private placement warrants, forward purchase securities and warrants that may be issued upon conversion of working capital loans and upon conversion of the founder shares) are entitled to registration rights pursuant to our amended and restated registration rights agreement, requiring us to register such securities for resale.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listed our units, Class A common stock and warrants on Nasdaq under the symbols “HECCU,” “HEC” and “HECCW,” respectively.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60"/>
          </w:cols>
          <w:pgMar w:left="440" w:top="274" w:right="4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G. Bergeron, certify that:</w:t>
      </w:r>
    </w:p>
    <w:p>
      <w:pPr>
        <w:spacing w:after="0" w:line="252" w:lineRule="exact"/>
        <w:rPr>
          <w:sz w:val="20"/>
          <w:szCs w:val="20"/>
          <w:color w:val="auto"/>
        </w:rPr>
      </w:pPr>
    </w:p>
    <w:p>
      <w:pPr>
        <w:ind w:left="960" w:hanging="53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Hudson Executive Investment Corp.;</w:t>
      </w:r>
    </w:p>
    <w:p>
      <w:pPr>
        <w:spacing w:after="0" w:line="252"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1420" w:right="500" w:hanging="439"/>
        <w:spacing w:after="0" w:line="263"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420" w:hanging="439"/>
        <w:spacing w:after="0"/>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1420" w:right="120" w:hanging="439"/>
        <w:spacing w:after="0" w:line="342" w:lineRule="auto"/>
        <w:tabs>
          <w:tab w:leader="none" w:pos="14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420" w:right="400" w:hanging="439"/>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64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Douglas G. Bergeron</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020"/>
          </w:cols>
          <w:pgMar w:left="440" w:top="121" w:right="4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Jonathan Dobres, certify that:</w:t>
      </w:r>
    </w:p>
    <w:p>
      <w:pPr>
        <w:spacing w:after="0" w:line="131"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Hudson Executive Investment Corp.;</w:t>
      </w:r>
    </w:p>
    <w:p>
      <w:pPr>
        <w:spacing w:after="0" w:line="252"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604" w:val="left"/>
          <w:tab w:leader="none" w:pos="7804"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Jonathan Dobres</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Hudson Executive Investment Corp. (the “Company”) on Form 10-K for the period ended December 31, 2020, as filed with the Securities and Exchange Commission (the “Report”), I, Douglas G. Bergeron, Chief Executive Officer of the Company, certify, pursuant to 18 U.S.C. § 1350, as added by §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420" w:val="left"/>
          <w:tab w:leader="none" w:pos="754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Douglas G. Bergeron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020"/>
          </w:cols>
          <w:pgMar w:left="440" w:top="121" w:right="4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Hudson Executive Investment Corp. (the “Company”) on Form 10-K for the period ended December 31, 2020, as filed with the Securities and Exchange Commission (the “Report”), I, Jonathan Dobres, Chief Financial Officer of the Company, certify, pursuant to 18 U.S.C. § 1350, as added by §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780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Jonathan Dobres</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lowerRoman"/>
      <w:start w:val="2"/>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lowerLetter"/>
      <w:start w:val="25"/>
    </w:lvl>
    <w:lvl w:ilvl="1">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upperLetter"/>
      <w:start w:val="4"/>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upperLetter"/>
      <w:start w:val="35"/>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3"/>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upperLetter"/>
      <w:start w:val="1"/>
    </w:lvl>
  </w:abstractNum>
  <w:abstractNum w:abstractNumId="32">
    <w:nsid w:val="1D4ED43B"/>
    <w:multiLevelType w:val="hybridMultilevel"/>
    <w:lvl w:ilvl="0">
      <w:lvlJc w:val="left"/>
      <w:lvlText w:val="(%1)"/>
      <w:numFmt w:val="lowerRoman"/>
      <w:start w:val="1"/>
    </w:lvl>
  </w:abstractNum>
  <w:abstractNum w:abstractNumId="33">
    <w:nsid w:val="725A06FB"/>
    <w:multiLevelType w:val="hybridMultilevel"/>
    <w:lvl w:ilvl="0">
      <w:lvlJc w:val="left"/>
      <w:lvlText w:val="(%1)"/>
      <w:numFmt w:val="lowerLetter"/>
      <w:start w:val="1"/>
    </w:lvl>
    <w:lvl w:ilvl="1">
      <w:lvlJc w:val="left"/>
      <w:lvlText w:val="(%2)"/>
      <w:numFmt w:val="lowerLetter"/>
      <w:start w:val="1"/>
    </w:lvl>
  </w:abstractNum>
  <w:abstractNum w:abstractNumId="34">
    <w:nsid w:val="2CD89A32"/>
    <w:multiLevelType w:val="hybridMultilevel"/>
    <w:lvl w:ilvl="0">
      <w:lvlJc w:val="left"/>
      <w:lvlText w:val="(%1)"/>
      <w:numFmt w:val="lowerRoman"/>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lowerLetter"/>
      <w:start w:val="4"/>
    </w:lvl>
  </w:abstractNum>
  <w:abstractNum w:abstractNumId="39">
    <w:nsid w:val="6DE91B18"/>
    <w:multiLevelType w:val="hybridMultilevel"/>
    <w:lvl w:ilvl="0">
      <w:lvlJc w:val="left"/>
      <w:lvlText w:val="(%1)"/>
      <w:numFmt w:val="lowerLetter"/>
      <w:start w:val="25"/>
    </w:lvl>
    <w:lvl w:ilvl="1">
      <w:lvlJc w:val="left"/>
      <w:lvlText w:val="-"/>
      <w:numFmt w:val="bullet"/>
      <w:start w:val="1"/>
    </w:lvl>
  </w:abstractNum>
  <w:abstractNum w:abstractNumId="40">
    <w:nsid w:val="38437FDB"/>
    <w:multiLevelType w:val="hybridMultilevel"/>
    <w:lvl w:ilvl="0">
      <w:lvlJc w:val="left"/>
      <w:lvlText w:val="(%1)"/>
      <w:numFmt w:val="lowerRoman"/>
      <w:start w:val="1"/>
    </w:lvl>
  </w:abstractNum>
  <w:abstractNum w:abstractNumId="41">
    <w:nsid w:val="7644A45C"/>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42">
    <w:nsid w:val="32FFF902"/>
    <w:multiLevelType w:val="hybridMultilevel"/>
    <w:lvl w:ilvl="0">
      <w:lvlJc w:val="left"/>
      <w:lvlText w:val="•"/>
      <w:numFmt w:val="bullet"/>
      <w:start w:val="1"/>
    </w:lvl>
    <w:lvl w:ilvl="1">
      <w:lvlJc w:val="left"/>
      <w:lvlText w:val="(%2)"/>
      <w:numFmt w:val="lowerRoman"/>
      <w:start w:val="3"/>
    </w:lvl>
    <w:lvl w:ilvl="2">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upperLetter"/>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lvl w:ilvl="1">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4"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85" Type="http://schemas.openxmlformats.org/officeDocument/2006/relationships/hyperlink" Target="http://www.sec.gov/Archives/edgar/data/1803901/000119312520166711/d937996dex11.htm" TargetMode="External"/><Relationship Id="rId86" Type="http://schemas.openxmlformats.org/officeDocument/2006/relationships/hyperlink" Target="http://www.sec.gov/Archives/edgar/data/1803901/000119312521007698/d74855dex21.htm" TargetMode="External"/><Relationship Id="rId87" Type="http://schemas.openxmlformats.org/officeDocument/2006/relationships/hyperlink" Target="http://www.sec.gov/Archives/edgar/data/1803901/000119312520166711/d937996dex31.htm" TargetMode="External"/><Relationship Id="rId88" Type="http://schemas.openxmlformats.org/officeDocument/2006/relationships/hyperlink" Target="http://www.sec.gov/Archives/edgar/data/1803901/000119312521025013/d119648ds4.htm#rom119648_46" TargetMode="External"/><Relationship Id="rId89" Type="http://schemas.openxmlformats.org/officeDocument/2006/relationships/hyperlink" Target="http://www.sec.gov/Archives/edgar/data/1803901/000119312520148821/d846732dex33.htm" TargetMode="External"/><Relationship Id="rId90" Type="http://schemas.openxmlformats.org/officeDocument/2006/relationships/hyperlink" Target="http://www.sec.gov/Archives/edgar/data/1803901/000119312520148821/d846732dex41.htm" TargetMode="External"/><Relationship Id="rId91" Type="http://schemas.openxmlformats.org/officeDocument/2006/relationships/hyperlink" Target="http://www.sec.gov/Archives/edgar/data/1803901/000119312520148821/d846732dex42.htm" TargetMode="External"/><Relationship Id="rId92" Type="http://schemas.openxmlformats.org/officeDocument/2006/relationships/hyperlink" Target="http://www.sec.gov/Archives/edgar/data/1803901/000119312520148821/d846732dex43.htm" TargetMode="External"/><Relationship Id="rId93" Type="http://schemas.openxmlformats.org/officeDocument/2006/relationships/hyperlink" Target="http://www.sec.gov/Archives/edgar/data/1803901/000119312520166711/d937996dex41.htm" TargetMode="External"/><Relationship Id="rId95" Type="http://schemas.openxmlformats.org/officeDocument/2006/relationships/hyperlink" Target="http://www.sec.gov/Archives/edgar/data/1803901/000119312520148821/d846732dex106.htm" TargetMode="External"/><Relationship Id="rId96" Type="http://schemas.openxmlformats.org/officeDocument/2006/relationships/hyperlink" Target="http://www.sec.gov/Archives/edgar/data/1803901/000119312520166711/d937996dex101.htm" TargetMode="External"/><Relationship Id="rId97" Type="http://schemas.openxmlformats.org/officeDocument/2006/relationships/hyperlink" Target="http://www.sec.gov/Archives/edgar/data/1803901/000119312520166711/d937996dex102.htm" TargetMode="External"/><Relationship Id="rId98" Type="http://schemas.openxmlformats.org/officeDocument/2006/relationships/hyperlink" Target="http://www.sec.gov/Archives/edgar/data/1803901/000119312520166711/d937996dex103.htm" TargetMode="External"/><Relationship Id="rId99" Type="http://schemas.openxmlformats.org/officeDocument/2006/relationships/hyperlink" Target="http://www.sec.gov/Archives/edgar/data/1803901/000119312520148821/d846732dex107.htm" TargetMode="External"/><Relationship Id="rId100" Type="http://schemas.openxmlformats.org/officeDocument/2006/relationships/hyperlink" Target="http://www.sec.gov/Archives/edgar/data/1803901/000119312520166711/d937996dex104.htm" TargetMode="External"/><Relationship Id="rId101" Type="http://schemas.openxmlformats.org/officeDocument/2006/relationships/hyperlink" Target="http://www.sec.gov/Archives/edgar/data/1803901/000119312520166711/d937996dex105.htm" TargetMode="External"/><Relationship Id="rId102" Type="http://schemas.openxmlformats.org/officeDocument/2006/relationships/hyperlink" Target="http://www.sec.gov/Archives/edgar/data/1803901/000119312520166711/d937996dex106.htm" TargetMode="External"/><Relationship Id="rId103" Type="http://schemas.openxmlformats.org/officeDocument/2006/relationships/hyperlink" Target="http://www.sec.gov/Archives/edgar/data/1803901/000119312521025013/d119648ds4.htm#rom119648_53" TargetMode="External"/><Relationship Id="rId104" Type="http://schemas.openxmlformats.org/officeDocument/2006/relationships/hyperlink" Target="http://www.sec.gov/Archives/edgar/data/1803901/000119312521025013/d119648ds4.htm#rom119648_49" TargetMode="External"/><Relationship Id="rId105" Type="http://schemas.openxmlformats.org/officeDocument/2006/relationships/hyperlink" Target="http://www.sec.gov/Archives/edgar/data/1803901/000119312521025013/d119648ds4.htm#rom119648_50" TargetMode="External"/><Relationship Id="rId106" Type="http://schemas.openxmlformats.org/officeDocument/2006/relationships/hyperlink" Target="http://www.sec.gov/Archives/edgar/data/1803901/000119312521025013/d119648ds4.htm#rom119648_48" TargetMode="External"/><Relationship Id="rId107" Type="http://schemas.openxmlformats.org/officeDocument/2006/relationships/hyperlink" Target="http://www.sec.gov/Archives/edgar/data/1803901/000119312520148821/d846732dex105.htm" TargetMode="External"/><Relationship Id="rId108" Type="http://schemas.openxmlformats.org/officeDocument/2006/relationships/hyperlink" Target="http://www.sec.gov/Archives/edgar/data/1803901/000119312521007698/d74855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2021-03-29T15:38:08Z</dcterms:created>
  <dcterms:modified xsi:type="dcterms:W3CDTF">2021-03-29T15:38:08Z</dcterms:modified>
</cp:coreProperties>
</file>