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73"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-5080</wp:posOffset>
            </wp:positionV>
            <wp:extent cx="428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TALKSPACE,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p>
      <w:pPr>
        <w:spacing w:after="0" w:line="282"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84-4636604</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140" w:space="720"/>
            <w:col w:w="3380"/>
          </w:cols>
          <w:pgMar w:left="320" w:top="882" w:right="339" w:bottom="1440" w:gutter="0" w:footer="0" w:header="0"/>
          <w:type w:val="continuous"/>
        </w:sectPr>
      </w:pPr>
    </w:p>
    <w:tbl>
      <w:tblPr>
        <w:tblLayout w:type="fixed"/>
        <w:tblInd w:w="1280" w:type="dxa"/>
        <w:tblCellMar>
          <w:top w:w="0" w:type="dxa"/>
          <w:left w:w="0" w:type="dxa"/>
          <w:bottom w:w="0" w:type="dxa"/>
          <w:right w:w="0" w:type="dxa"/>
        </w:tblCellMar>
      </w:tblPr>
      <w:tr>
        <w:trPr>
          <w:trHeight w:val="238"/>
        </w:trPr>
        <w:tc>
          <w:tcPr>
            <w:tcW w:w="3440" w:type="dxa"/>
            <w:vAlign w:val="bottom"/>
          </w:tcPr>
          <w:p>
            <w:pPr>
              <w:jc w:val="center"/>
              <w:ind w:right="279"/>
              <w:spacing w:after="0"/>
              <w:rPr>
                <w:sz w:val="20"/>
                <w:szCs w:val="20"/>
                <w:color w:val="auto"/>
              </w:rPr>
            </w:pPr>
            <w:r>
              <w:rPr>
                <w:rFonts w:ascii="Times New Roman" w:cs="Times New Roman" w:eastAsia="Times New Roman" w:hAnsi="Times New Roman"/>
                <w:sz w:val="18"/>
                <w:szCs w:val="18"/>
                <w:b w:val="1"/>
                <w:bCs w:val="1"/>
                <w:color w:val="auto"/>
                <w:w w:val="98"/>
              </w:rPr>
              <w:t>622 Third Avenue, New York, New York</w:t>
            </w:r>
          </w:p>
        </w:tc>
        <w:tc>
          <w:tcPr>
            <w:tcW w:w="40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94"/>
        </w:trPr>
        <w:tc>
          <w:tcPr>
            <w:tcW w:w="34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40" w:type="dxa"/>
            <w:vAlign w:val="bottom"/>
          </w:tcPr>
          <w:p>
            <w:pPr>
              <w:jc w:val="center"/>
              <w:ind w:left="3296"/>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3440" w:type="dxa"/>
            <w:vAlign w:val="bottom"/>
          </w:tcPr>
          <w:p>
            <w:pPr>
              <w:spacing w:after="0"/>
              <w:rPr>
                <w:sz w:val="24"/>
                <w:szCs w:val="24"/>
                <w:color w:val="auto"/>
              </w:rPr>
            </w:pPr>
          </w:p>
        </w:tc>
        <w:tc>
          <w:tcPr>
            <w:tcW w:w="4040" w:type="dxa"/>
            <w:vAlign w:val="bottom"/>
          </w:tcPr>
          <w:p>
            <w:pPr>
              <w:jc w:val="right"/>
              <w:ind w:right="2496"/>
              <w:spacing w:after="0"/>
              <w:rPr>
                <w:sz w:val="20"/>
                <w:szCs w:val="20"/>
                <w:color w:val="auto"/>
              </w:rPr>
            </w:pPr>
            <w:r>
              <w:rPr>
                <w:rFonts w:ascii="Times New Roman" w:cs="Times New Roman" w:eastAsia="Times New Roman" w:hAnsi="Times New Roman"/>
                <w:sz w:val="18"/>
                <w:szCs w:val="18"/>
                <w:b w:val="1"/>
                <w:bCs w:val="1"/>
                <w:color w:val="auto"/>
              </w:rPr>
              <w:t>(212) 284-7206</w:t>
            </w:r>
          </w:p>
        </w:tc>
      </w:tr>
    </w:tbl>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TALK</w:t>
            </w:r>
          </w:p>
        </w:tc>
        <w:tc>
          <w:tcPr>
            <w:tcW w:w="120" w:type="dxa"/>
            <w:vAlign w:val="bottom"/>
          </w:tcPr>
          <w:p>
            <w:pPr>
              <w:spacing w:after="0"/>
              <w:rPr>
                <w:sz w:val="17"/>
                <w:szCs w:val="17"/>
                <w:color w:val="auto"/>
              </w:rPr>
            </w:pPr>
          </w:p>
        </w:tc>
        <w:tc>
          <w:tcPr>
            <w:tcW w:w="504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TALKW</w:t>
            </w:r>
          </w:p>
        </w:tc>
        <w:tc>
          <w:tcPr>
            <w:tcW w:w="120" w:type="dxa"/>
            <w:vAlign w:val="bottom"/>
          </w:tcPr>
          <w:p>
            <w:pPr>
              <w:spacing w:after="0"/>
              <w:rPr>
                <w:sz w:val="19"/>
                <w:szCs w:val="19"/>
                <w:color w:val="auto"/>
              </w:rPr>
            </w:pPr>
          </w:p>
        </w:tc>
        <w:tc>
          <w:tcPr>
            <w:tcW w:w="504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spacing w:after="0" w:line="184" w:lineRule="exact"/>
        <w:tabs>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May 6, 2024, the registrant had 169,684,974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3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gridSpan w:val="2"/>
            <w:vMerge w:val="continue"/>
          </w:tcPr>
          <w:p>
            <w:pPr>
              <w:spacing w:after="0"/>
              <w:rPr>
                <w:sz w:val="17"/>
                <w:szCs w:val="17"/>
                <w:color w:val="auto"/>
              </w:rPr>
            </w:pPr>
          </w:p>
        </w:tc>
        <w:tc>
          <w:tcPr>
            <w:tcW w:w="9300" w:type="dxa"/>
            <w:vAlign w:val="bottom"/>
            <w:gridSpan w:val="20"/>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2024 (unaudited) and December 31, 2023</w:t>
            </w:r>
          </w:p>
        </w:tc>
        <w:tc>
          <w:tcPr>
            <w:tcW w:w="20" w:type="dxa"/>
            <w:vAlign w:val="bottom"/>
            <w:tcBorders>
              <w:bottom w:val="single" w:sz="8" w:color="0000EE"/>
            </w:tcBorders>
          </w:tcPr>
          <w:p>
            <w:pPr>
              <w:spacing w:after="0"/>
              <w:rPr>
                <w:sz w:val="18"/>
                <w:szCs w:val="18"/>
                <w:color w:val="auto"/>
              </w:rPr>
            </w:pPr>
          </w:p>
        </w:tc>
        <w:tc>
          <w:tcPr>
            <w:tcW w:w="21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 for the three months ended March 31, 2024 and 2023</w:t>
            </w:r>
          </w:p>
        </w:tc>
        <w:tc>
          <w:tcPr>
            <w:tcW w:w="8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 for the three months ended March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for the three months ended March 31, 2024 and 2023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bottom w:val="single" w:sz="8" w:color="0000EE"/>
            </w:tcBorders>
          </w:tcPr>
          <w:p>
            <w:pPr>
              <w:spacing w:after="0"/>
              <w:rPr>
                <w:sz w:val="18"/>
                <w:szCs w:val="18"/>
                <w:color w:val="auto"/>
              </w:rPr>
            </w:pPr>
          </w:p>
        </w:tc>
        <w:tc>
          <w:tcPr>
            <w:tcW w:w="3640" w:type="dxa"/>
            <w:vAlign w:val="bottom"/>
            <w:tcBorders>
              <w:top w:val="single" w:sz="8" w:color="0000FF"/>
            </w:tcBorders>
            <w:gridSpan w:val="5"/>
          </w:tcPr>
          <w:p>
            <w:pPr>
              <w:spacing w:after="0"/>
              <w:rPr>
                <w:sz w:val="18"/>
                <w:szCs w:val="18"/>
                <w:color w:val="auto"/>
              </w:rPr>
            </w:pPr>
          </w:p>
        </w:tc>
        <w:tc>
          <w:tcPr>
            <w:tcW w:w="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18"/>
                <w:szCs w:val="18"/>
                <w:color w:val="auto"/>
              </w:rPr>
            </w:pPr>
          </w:p>
        </w:tc>
        <w:tc>
          <w:tcPr>
            <w:tcW w:w="28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23"/>
        </w:trPr>
        <w:tc>
          <w:tcPr>
            <w:tcW w:w="6160" w:type="dxa"/>
            <w:vAlign w:val="bottom"/>
            <w:gridSpan w:val="8"/>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16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1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6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120,278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100" w:type="dxa"/>
            <w:vAlign w:val="bottom"/>
            <w:shd w:val="clear" w:color="auto" w:fill="CFF0FC"/>
          </w:tcPr>
          <w:p>
            <w:pPr>
              <w:spacing w:after="0"/>
              <w:rPr>
                <w:sz w:val="21"/>
                <w:szCs w:val="21"/>
                <w:color w:val="auto"/>
              </w:rPr>
            </w:pPr>
          </w:p>
        </w:tc>
      </w:tr>
      <w:tr>
        <w:trPr>
          <w:trHeight w:val="239"/>
        </w:trPr>
        <w:tc>
          <w:tcPr>
            <w:tcW w:w="61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00" w:type="dxa"/>
            <w:vAlign w:val="bottom"/>
          </w:tcPr>
          <w:p>
            <w:pPr>
              <w:spacing w:after="0"/>
              <w:rPr>
                <w:sz w:val="20"/>
                <w:szCs w:val="20"/>
                <w:color w:val="auto"/>
              </w:rPr>
            </w:pPr>
          </w:p>
        </w:tc>
      </w:tr>
      <w:tr>
        <w:trPr>
          <w:trHeight w:val="243"/>
        </w:trPr>
        <w:tc>
          <w:tcPr>
            <w:tcW w:w="616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7"/>
        </w:trPr>
        <w:tc>
          <w:tcPr>
            <w:tcW w:w="6160" w:type="dxa"/>
            <w:vAlign w:val="bottom"/>
            <w:gridSpan w:val="8"/>
          </w:tcPr>
          <w:p>
            <w:pPr>
              <w:ind w:left="20"/>
              <w:spacing w:after="0" w:line="187" w:lineRule="exact"/>
              <w:rPr>
                <w:sz w:val="20"/>
                <w:szCs w:val="20"/>
                <w:color w:val="auto"/>
              </w:rPr>
            </w:pPr>
            <w:r>
              <w:rPr>
                <w:rFonts w:ascii="Times New Roman" w:cs="Times New Roman" w:eastAsia="Times New Roman" w:hAnsi="Times New Roman"/>
                <w:sz w:val="18"/>
                <w:szCs w:val="18"/>
                <w:color w:val="auto"/>
              </w:rPr>
              <w:t>Total current assets</w:t>
            </w: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135,730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139,800</w:t>
            </w: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616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0"/>
        </w:trPr>
        <w:tc>
          <w:tcPr>
            <w:tcW w:w="6160" w:type="dxa"/>
            <w:vAlign w:val="bottom"/>
            <w:gridSpan w:val="8"/>
          </w:tcPr>
          <w:p>
            <w:pPr>
              <w:ind w:left="20"/>
              <w:spacing w:after="0" w:line="201" w:lineRule="exact"/>
              <w:rPr>
                <w:sz w:val="20"/>
                <w:szCs w:val="20"/>
                <w:color w:val="auto"/>
              </w:rPr>
            </w:pPr>
            <w:r>
              <w:rPr>
                <w:rFonts w:ascii="Times New Roman" w:cs="Times New Roman" w:eastAsia="Times New Roman" w:hAnsi="Times New Roman"/>
                <w:sz w:val="18"/>
                <w:szCs w:val="18"/>
                <w:color w:val="auto"/>
              </w:rPr>
              <w:t>Total assets</w:t>
            </w:r>
          </w:p>
        </w:tc>
        <w:tc>
          <w:tcPr>
            <w:tcW w:w="184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138,276</w:t>
            </w:r>
          </w:p>
        </w:tc>
        <w:tc>
          <w:tcPr>
            <w:tcW w:w="2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142,221</w:t>
            </w: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16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1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6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shd w:val="clear" w:color="auto" w:fill="CFF0FC"/>
          </w:tcPr>
          <w:p>
            <w:pPr>
              <w:spacing w:after="0"/>
              <w:rPr>
                <w:sz w:val="21"/>
                <w:szCs w:val="21"/>
                <w:color w:val="auto"/>
              </w:rPr>
            </w:pPr>
          </w:p>
        </w:tc>
      </w:tr>
      <w:tr>
        <w:trPr>
          <w:trHeight w:val="239"/>
        </w:trPr>
        <w:tc>
          <w:tcPr>
            <w:tcW w:w="61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20"/>
                <w:szCs w:val="20"/>
                <w:color w:val="auto"/>
              </w:rPr>
            </w:pPr>
          </w:p>
        </w:tc>
      </w:tr>
      <w:tr>
        <w:trPr>
          <w:trHeight w:val="243"/>
        </w:trPr>
        <w:tc>
          <w:tcPr>
            <w:tcW w:w="616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7"/>
        </w:trPr>
        <w:tc>
          <w:tcPr>
            <w:tcW w:w="6160" w:type="dxa"/>
            <w:vAlign w:val="bottom"/>
            <w:gridSpan w:val="8"/>
          </w:tcPr>
          <w:p>
            <w:pPr>
              <w:ind w:left="20"/>
              <w:spacing w:after="0" w:line="187" w:lineRule="exact"/>
              <w:rPr>
                <w:sz w:val="20"/>
                <w:szCs w:val="20"/>
                <w:color w:val="auto"/>
              </w:rPr>
            </w:pPr>
            <w:r>
              <w:rPr>
                <w:rFonts w:ascii="Times New Roman" w:cs="Times New Roman" w:eastAsia="Times New Roman" w:hAnsi="Times New Roman"/>
                <w:sz w:val="18"/>
                <w:szCs w:val="18"/>
                <w:color w:val="auto"/>
              </w:rPr>
              <w:t>Total current liabilities</w:t>
            </w: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15,686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21,648</w:t>
            </w: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616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shd w:val="clear" w:color="auto" w:fill="CFF0FC"/>
          </w:tcPr>
          <w:p>
            <w:pPr>
              <w:spacing w:after="0"/>
              <w:rPr>
                <w:sz w:val="20"/>
                <w:szCs w:val="20"/>
                <w:color w:val="auto"/>
              </w:rPr>
            </w:pPr>
          </w:p>
        </w:tc>
      </w:tr>
      <w:tr>
        <w:trPr>
          <w:trHeight w:val="239"/>
        </w:trPr>
        <w:tc>
          <w:tcPr>
            <w:tcW w:w="61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r>
      <w:tr>
        <w:trPr>
          <w:trHeight w:val="221"/>
        </w:trPr>
        <w:tc>
          <w:tcPr>
            <w:tcW w:w="20" w:type="dxa"/>
            <w:vAlign w:val="bottom"/>
            <w:shd w:val="clear" w:color="auto" w:fill="CFF0FC"/>
          </w:tcPr>
          <w:p>
            <w:pPr>
              <w:spacing w:after="0"/>
              <w:rPr>
                <w:sz w:val="19"/>
                <w:szCs w:val="19"/>
                <w:color w:val="auto"/>
              </w:rPr>
            </w:pPr>
          </w:p>
        </w:tc>
        <w:tc>
          <w:tcPr>
            <w:tcW w:w="6140" w:type="dxa"/>
            <w:vAlign w:val="bottom"/>
            <w:gridSpan w:val="7"/>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rPr>
              <w:t>Total liabilities</w:t>
            </w: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18,698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23,575</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32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000000"/>
          </w:tcPr>
          <w:p>
            <w:pPr>
              <w:spacing w:after="0" w:line="20" w:lineRule="exact"/>
              <w:rPr>
                <w:sz w:val="1"/>
                <w:szCs w:val="1"/>
                <w:color w:val="auto"/>
              </w:rPr>
            </w:pPr>
          </w:p>
        </w:tc>
        <w:tc>
          <w:tcPr>
            <w:tcW w:w="134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138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6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1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Common stock of $0.0001 par value — Authorized: 1,000,000,000 shares at</w:t>
            </w: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2024 (unaudited) and December 31, 2023; Issued and outstanding: 169,569,075 and 168,428,856 shares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1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at March 31, 2024 (unaudited) and December 31, 2023, respectively</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50"/>
        </w:trPr>
        <w:tc>
          <w:tcPr>
            <w:tcW w:w="616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391,412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389,014</w:t>
            </w:r>
          </w:p>
        </w:tc>
        <w:tc>
          <w:tcPr>
            <w:tcW w:w="100" w:type="dxa"/>
            <w:vAlign w:val="bottom"/>
            <w:shd w:val="clear" w:color="auto" w:fill="CFF0FC"/>
          </w:tcPr>
          <w:p>
            <w:pPr>
              <w:spacing w:after="0"/>
              <w:rPr>
                <w:sz w:val="21"/>
                <w:szCs w:val="21"/>
                <w:color w:val="auto"/>
              </w:rPr>
            </w:pPr>
          </w:p>
        </w:tc>
      </w:tr>
      <w:tr>
        <w:trPr>
          <w:trHeight w:val="239"/>
        </w:trPr>
        <w:tc>
          <w:tcPr>
            <w:tcW w:w="61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(271,850 )</w:t>
            </w:r>
          </w:p>
        </w:tc>
        <w:tc>
          <w:tcPr>
            <w:tcW w:w="1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(270,384 )</w:t>
            </w:r>
          </w:p>
        </w:tc>
      </w:tr>
      <w:tr>
        <w:trPr>
          <w:trHeight w:val="241"/>
        </w:trPr>
        <w:tc>
          <w:tcPr>
            <w:tcW w:w="2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auto"/>
            </w:tcBorders>
            <w:gridSpan w:val="5"/>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w w:val="98"/>
              </w:rPr>
              <w:t>Total stockholders’ equity</w:t>
            </w:r>
          </w:p>
        </w:tc>
        <w:tc>
          <w:tcPr>
            <w:tcW w:w="4260" w:type="dxa"/>
            <w:vAlign w:val="bottom"/>
            <w:tcBorders>
              <w:bottom w:val="single" w:sz="8" w:color="CFF0FC"/>
            </w:tcBorders>
            <w:gridSpan w:val="2"/>
            <w:shd w:val="clear" w:color="auto" w:fill="CFF0FC"/>
          </w:tcPr>
          <w:p>
            <w:pPr>
              <w:spacing w:after="0"/>
              <w:rPr>
                <w:sz w:val="20"/>
                <w:szCs w:val="20"/>
                <w:color w:val="auto"/>
              </w:rPr>
            </w:pPr>
          </w:p>
        </w:tc>
        <w:tc>
          <w:tcPr>
            <w:tcW w:w="16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119,578</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87" w:lineRule="exact"/>
              <w:rPr>
                <w:sz w:val="20"/>
                <w:szCs w:val="20"/>
                <w:color w:val="auto"/>
              </w:rPr>
            </w:pPr>
            <w:r>
              <w:rPr>
                <w:rFonts w:ascii="Times New Roman" w:cs="Times New Roman" w:eastAsia="Times New Roman" w:hAnsi="Times New Roman"/>
                <w:sz w:val="18"/>
                <w:szCs w:val="18"/>
                <w:color w:val="auto"/>
              </w:rPr>
              <w:t>118,646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616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138,276</w:t>
            </w:r>
          </w:p>
        </w:tc>
        <w:tc>
          <w:tcPr>
            <w:tcW w:w="2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142,221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-3333750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-3007995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-2047875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-1405255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8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45,416</w:t>
            </w:r>
          </w:p>
        </w:tc>
        <w:tc>
          <w:tcPr>
            <w:tcW w:w="3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33,336</w:t>
            </w:r>
          </w:p>
        </w:tc>
        <w:tc>
          <w:tcPr>
            <w:tcW w:w="100" w:type="dxa"/>
            <w:vAlign w:val="bottom"/>
            <w:shd w:val="clear" w:color="auto" w:fill="CFF0FC"/>
          </w:tcPr>
          <w:p>
            <w:pPr>
              <w:spacing w:after="0"/>
              <w:rPr>
                <w:sz w:val="20"/>
                <w:szCs w:val="20"/>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3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100" w:type="dxa"/>
            <w:vAlign w:val="bottom"/>
          </w:tcPr>
          <w:p>
            <w:pPr>
              <w:spacing w:after="0"/>
              <w:rPr>
                <w:sz w:val="20"/>
                <w:szCs w:val="20"/>
                <w:color w:val="auto"/>
              </w:rPr>
            </w:pPr>
          </w:p>
        </w:tc>
      </w:tr>
      <w:tr>
        <w:trPr>
          <w:trHeight w:val="23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21,731</w:t>
            </w:r>
          </w:p>
        </w:tc>
        <w:tc>
          <w:tcPr>
            <w:tcW w:w="3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operations, net</w:t>
            </w: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3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tcPr>
          <w:p>
            <w:pPr>
              <w:spacing w:after="0"/>
              <w:rPr>
                <w:sz w:val="20"/>
                <w:szCs w:val="20"/>
                <w:color w:val="auto"/>
              </w:rPr>
            </w:pPr>
          </w:p>
        </w:tc>
      </w:tr>
      <w:tr>
        <w:trPr>
          <w:trHeight w:val="23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3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80" w:type="dxa"/>
            <w:vAlign w:val="bottom"/>
          </w:tcPr>
          <w:p>
            <w:pPr>
              <w:spacing w:after="0"/>
              <w:rPr>
                <w:sz w:val="20"/>
                <w:szCs w:val="20"/>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(1,679 )</w:t>
            </w:r>
          </w:p>
        </w:tc>
        <w:tc>
          <w:tcPr>
            <w:tcW w:w="6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(9,039 )</w:t>
            </w: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(income), net</w:t>
            </w:r>
          </w:p>
        </w:tc>
        <w:tc>
          <w:tcPr>
            <w:tcW w:w="4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(378 )</w:t>
            </w:r>
          </w:p>
        </w:tc>
        <w:tc>
          <w:tcPr>
            <w:tcW w:w="6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(424 )</w:t>
            </w:r>
          </w:p>
        </w:tc>
      </w:tr>
      <w:tr>
        <w:trPr>
          <w:trHeight w:val="20"/>
        </w:trPr>
        <w:tc>
          <w:tcPr>
            <w:tcW w:w="68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480" w:type="dxa"/>
            <w:vAlign w:val="bottom"/>
          </w:tcPr>
          <w:p>
            <w:pPr>
              <w:spacing w:after="0"/>
              <w:rPr>
                <w:sz w:val="20"/>
                <w:szCs w:val="20"/>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(1,301 )</w:t>
            </w:r>
          </w:p>
        </w:tc>
        <w:tc>
          <w:tcPr>
            <w:tcW w:w="6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(8,615 )</w:t>
            </w:r>
          </w:p>
        </w:tc>
      </w:tr>
      <w:tr>
        <w:trPr>
          <w:trHeight w:val="243"/>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4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(1,466 )</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(8,758 )</w:t>
            </w:r>
          </w:p>
        </w:tc>
      </w:tr>
      <w:tr>
        <w:trPr>
          <w:trHeight w:val="20"/>
        </w:trPr>
        <w:tc>
          <w:tcPr>
            <w:tcW w:w="6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(0.01 )</w:t>
            </w:r>
          </w:p>
        </w:tc>
        <w:tc>
          <w:tcPr>
            <w:tcW w:w="68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r>
      <w:tr>
        <w:trPr>
          <w:trHeight w:val="211"/>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used in computing basic and diluted net loss</w:t>
            </w: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4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168,846,946</w:t>
            </w: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161,797,781</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-2673985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-1731010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-1414145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-1096645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(U.S. dollars in thousands, except share data)</w:t>
            </w:r>
          </w:p>
        </w:tc>
        <w:tc>
          <w:tcPr>
            <w:tcW w:w="240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7"/>
              </w:rPr>
              <w:t>Additional paid-in</w:t>
            </w:r>
          </w:p>
        </w:tc>
        <w:tc>
          <w:tcPr>
            <w:tcW w:w="200" w:type="dxa"/>
            <w:vAlign w:val="bottom"/>
          </w:tcPr>
          <w:p>
            <w:pPr>
              <w:spacing w:after="0"/>
              <w:rPr>
                <w:sz w:val="15"/>
                <w:szCs w:val="15"/>
                <w:color w:val="auto"/>
              </w:rPr>
            </w:pPr>
          </w:p>
        </w:tc>
        <w:tc>
          <w:tcPr>
            <w:tcW w:w="12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2024</w:t>
            </w:r>
          </w:p>
        </w:tc>
        <w:tc>
          <w:tcPr>
            <w:tcW w:w="2280" w:type="dxa"/>
            <w:vAlign w:val="bottom"/>
            <w:vMerge w:val="restart"/>
          </w:tcPr>
          <w:p>
            <w:pPr>
              <w:spacing w:after="0"/>
              <w:rPr>
                <w:sz w:val="9"/>
                <w:szCs w:val="9"/>
                <w:color w:val="auto"/>
              </w:rPr>
            </w:pPr>
          </w:p>
        </w:tc>
        <w:tc>
          <w:tcPr>
            <w:tcW w:w="128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020" w:type="dxa"/>
            <w:vAlign w:val="bottom"/>
            <w:tcBorders>
              <w:bottom w:val="single" w:sz="8" w:color="auto"/>
            </w:tcBorders>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deficit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168,428,856</w:t>
            </w:r>
          </w:p>
        </w:tc>
        <w:tc>
          <w:tcPr>
            <w:tcW w:w="1120" w:type="dxa"/>
            <w:vAlign w:val="bottom"/>
            <w:gridSpan w:val="2"/>
            <w:shd w:val="clear" w:color="auto" w:fill="CFF0FC"/>
          </w:tcPr>
          <w:p>
            <w:pPr>
              <w:jc w:val="right"/>
              <w:ind w:right="71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389,014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(270,384 )</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605,565</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534,654</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(595 )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(595 )</w:t>
            </w:r>
          </w:p>
        </w:tc>
        <w:tc>
          <w:tcPr>
            <w:tcW w:w="0" w:type="dxa"/>
            <w:vAlign w:val="bottom"/>
          </w:tcPr>
          <w:p>
            <w:pPr>
              <w:spacing w:after="0"/>
              <w:rPr>
                <w:sz w:val="1"/>
                <w:szCs w:val="1"/>
                <w:color w:val="auto"/>
              </w:rPr>
            </w:pPr>
          </w:p>
        </w:tc>
      </w:tr>
      <w:tr>
        <w:trPr>
          <w:trHeight w:val="22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(1,466 )</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(1,466 )</w:t>
            </w:r>
          </w:p>
        </w:tc>
        <w:tc>
          <w:tcPr>
            <w:tcW w:w="0" w:type="dxa"/>
            <w:vAlign w:val="bottom"/>
          </w:tcPr>
          <w:p>
            <w:pPr>
              <w:spacing w:after="0"/>
              <w:rPr>
                <w:sz w:val="1"/>
                <w:szCs w:val="1"/>
                <w:color w:val="auto"/>
              </w:rPr>
            </w:pPr>
          </w:p>
        </w:tc>
      </w:tr>
      <w:tr>
        <w:trPr>
          <w:trHeight w:val="23"/>
        </w:trPr>
        <w:tc>
          <w:tcPr>
            <w:tcW w:w="20" w:type="dxa"/>
            <w:vAlign w:val="bottom"/>
            <w:shd w:val="clear" w:color="auto" w:fill="CFF0FC"/>
          </w:tcPr>
          <w:p>
            <w:pPr>
              <w:spacing w:after="0"/>
              <w:rPr>
                <w:sz w:val="2"/>
                <w:szCs w:val="2"/>
                <w:color w:val="auto"/>
              </w:rPr>
            </w:pPr>
          </w:p>
        </w:tc>
        <w:tc>
          <w:tcPr>
            <w:tcW w:w="2020" w:type="dxa"/>
            <w:vAlign w:val="bottom"/>
            <w:shd w:val="clear" w:color="auto" w:fill="CFF0FC"/>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March 31, 2024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169,569,075</w:t>
            </w:r>
          </w:p>
        </w:tc>
        <w:tc>
          <w:tcPr>
            <w:tcW w:w="240" w:type="dxa"/>
            <w:vAlign w:val="bottom"/>
          </w:tcPr>
          <w:p>
            <w:pPr>
              <w:spacing w:after="0"/>
              <w:rPr>
                <w:sz w:val="19"/>
                <w:szCs w:val="19"/>
                <w:color w:val="auto"/>
              </w:rPr>
            </w:pP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391,412</w:t>
            </w:r>
          </w:p>
        </w:tc>
        <w:tc>
          <w:tcPr>
            <w:tcW w:w="22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(271,850 )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2023</w:t>
            </w:r>
          </w:p>
        </w:tc>
        <w:tc>
          <w:tcPr>
            <w:tcW w:w="2280" w:type="dxa"/>
            <w:vAlign w:val="bottom"/>
            <w:vMerge w:val="restart"/>
          </w:tcPr>
          <w:p>
            <w:pPr>
              <w:spacing w:after="0"/>
              <w:rPr>
                <w:sz w:val="10"/>
                <w:szCs w:val="10"/>
                <w:color w:val="auto"/>
              </w:rPr>
            </w:pPr>
          </w:p>
        </w:tc>
        <w:tc>
          <w:tcPr>
            <w:tcW w:w="128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1"/>
                <w:szCs w:val="11"/>
                <w:b w:val="1"/>
                <w:bCs w:val="1"/>
                <w:color w:val="auto"/>
                <w:w w:val="97"/>
              </w:rPr>
              <w:t>Additional paid-in</w:t>
            </w:r>
          </w:p>
        </w:tc>
        <w:tc>
          <w:tcPr>
            <w:tcW w:w="200" w:type="dxa"/>
            <w:vAlign w:val="bottom"/>
          </w:tcPr>
          <w:p>
            <w:pPr>
              <w:spacing w:after="0"/>
              <w:rPr>
                <w:sz w:val="10"/>
                <w:szCs w:val="10"/>
                <w:color w:val="auto"/>
              </w:rPr>
            </w:pPr>
          </w:p>
        </w:tc>
        <w:tc>
          <w:tcPr>
            <w:tcW w:w="1260" w:type="dxa"/>
            <w:vAlign w:val="bottom"/>
            <w:gridSpan w:val="2"/>
          </w:tcPr>
          <w:p>
            <w:pPr>
              <w:jc w:val="center"/>
              <w:ind w:right="44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020" w:type="dxa"/>
            <w:vAlign w:val="bottom"/>
            <w:tcBorders>
              <w:bottom w:val="single" w:sz="8" w:color="auto"/>
            </w:tcBorders>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deficit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161,155,030</w:t>
            </w:r>
          </w:p>
        </w:tc>
        <w:tc>
          <w:tcPr>
            <w:tcW w:w="1120" w:type="dxa"/>
            <w:vAlign w:val="bottom"/>
            <w:gridSpan w:val="2"/>
            <w:shd w:val="clear" w:color="auto" w:fill="CFF0FC"/>
          </w:tcPr>
          <w:p>
            <w:pPr>
              <w:jc w:val="right"/>
              <w:ind w:right="71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378,722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(251,202 )</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1,739,265</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225,050</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2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(8,758 )</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(8,758 )</w:t>
            </w:r>
          </w:p>
        </w:tc>
        <w:tc>
          <w:tcPr>
            <w:tcW w:w="0" w:type="dxa"/>
            <w:vAlign w:val="bottom"/>
          </w:tcPr>
          <w:p>
            <w:pPr>
              <w:spacing w:after="0"/>
              <w:rPr>
                <w:sz w:val="1"/>
                <w:szCs w:val="1"/>
                <w:color w:val="auto"/>
              </w:rPr>
            </w:pPr>
          </w:p>
        </w:tc>
      </w:tr>
      <w:tr>
        <w:trPr>
          <w:trHeight w:val="23"/>
        </w:trPr>
        <w:tc>
          <w:tcPr>
            <w:tcW w:w="20" w:type="dxa"/>
            <w:vAlign w:val="bottom"/>
            <w:shd w:val="clear" w:color="auto" w:fill="CFF0FC"/>
          </w:tcPr>
          <w:p>
            <w:pPr>
              <w:spacing w:after="0"/>
              <w:rPr>
                <w:sz w:val="2"/>
                <w:szCs w:val="2"/>
                <w:color w:val="auto"/>
              </w:rPr>
            </w:pPr>
          </w:p>
        </w:tc>
        <w:tc>
          <w:tcPr>
            <w:tcW w:w="2020" w:type="dxa"/>
            <w:vAlign w:val="bottom"/>
            <w:shd w:val="clear" w:color="auto" w:fill="CFF0FC"/>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March 31, 2023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163,119,345</w:t>
            </w:r>
          </w:p>
        </w:tc>
        <w:tc>
          <w:tcPr>
            <w:tcW w:w="240" w:type="dxa"/>
            <w:vAlign w:val="bottom"/>
          </w:tcPr>
          <w:p>
            <w:pPr>
              <w:spacing w:after="0"/>
              <w:rPr>
                <w:sz w:val="19"/>
                <w:szCs w:val="19"/>
                <w:color w:val="auto"/>
              </w:rPr>
            </w:pP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381,581</w:t>
            </w:r>
          </w:p>
        </w:tc>
        <w:tc>
          <w:tcPr>
            <w:tcW w:w="22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(259,960 )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-1559560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-1559560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-1559560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-1559560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-179070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-179070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-179070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Represents an amount lower than $1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600" w:type="dxa"/>
            <w:vAlign w:val="bottom"/>
            <w:gridSpan w:val="6"/>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17"/>
        </w:trPr>
        <w:tc>
          <w:tcPr>
            <w:tcW w:w="20" w:type="dxa"/>
            <w:vAlign w:val="bottom"/>
            <w:shd w:val="clear" w:color="auto" w:fill="CFF0FC"/>
          </w:tcPr>
          <w:p>
            <w:pPr>
              <w:spacing w:after="0"/>
              <w:rPr>
                <w:sz w:val="18"/>
                <w:szCs w:val="18"/>
                <w:color w:val="auto"/>
              </w:rPr>
            </w:pPr>
          </w:p>
        </w:tc>
        <w:tc>
          <w:tcPr>
            <w:tcW w:w="7580" w:type="dxa"/>
            <w:vAlign w:val="bottom"/>
            <w:gridSpan w:val="5"/>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9"/>
        </w:trPr>
        <w:tc>
          <w:tcPr>
            <w:tcW w:w="20" w:type="dxa"/>
            <w:vAlign w:val="bottom"/>
            <w:tcBorders>
              <w:top w:val="single" w:sz="8" w:color="CFF0FC"/>
            </w:tcBorders>
          </w:tcPr>
          <w:p>
            <w:pPr>
              <w:spacing w:after="0"/>
              <w:rPr>
                <w:sz w:val="20"/>
                <w:szCs w:val="20"/>
                <w:color w:val="auto"/>
              </w:rPr>
            </w:pPr>
          </w:p>
        </w:tc>
        <w:tc>
          <w:tcPr>
            <w:tcW w:w="28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Net loss</w:t>
            </w:r>
          </w:p>
        </w:tc>
        <w:tc>
          <w:tcPr>
            <w:tcW w:w="4760" w:type="dxa"/>
            <w:vAlign w:val="bottom"/>
            <w:tcBorders>
              <w:top w:val="single" w:sz="8" w:color="CFF0FC"/>
            </w:tcBorders>
          </w:tcPr>
          <w:p>
            <w:pPr>
              <w:spacing w:after="0"/>
              <w:rPr>
                <w:sz w:val="20"/>
                <w:szCs w:val="20"/>
                <w:color w:val="auto"/>
              </w:rPr>
            </w:pPr>
          </w:p>
        </w:tc>
        <w:tc>
          <w:tcPr>
            <w:tcW w:w="380" w:type="dxa"/>
            <w:vAlign w:val="bottom"/>
            <w:tcBorders>
              <w:top w:val="single" w:sz="8" w:color="CFF0FC"/>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FF0FC"/>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(1,466 )</w:t>
            </w:r>
          </w:p>
        </w:tc>
        <w:tc>
          <w:tcPr>
            <w:tcW w:w="580" w:type="dxa"/>
            <w:vAlign w:val="bottom"/>
            <w:tcBorders>
              <w:top w:val="single" w:sz="8" w:color="CFF0FC"/>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(8,758 )</w:t>
            </w:r>
          </w:p>
        </w:tc>
      </w:tr>
      <w:tr>
        <w:trPr>
          <w:trHeight w:val="247"/>
        </w:trPr>
        <w:tc>
          <w:tcPr>
            <w:tcW w:w="76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r>
      <w:tr>
        <w:trPr>
          <w:trHeight w:val="247"/>
        </w:trPr>
        <w:tc>
          <w:tcPr>
            <w:tcW w:w="76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0"/>
                <w:szCs w:val="20"/>
                <w:color w:val="auto"/>
              </w:rPr>
            </w:pPr>
          </w:p>
        </w:tc>
      </w:tr>
      <w:tr>
        <w:trPr>
          <w:trHeight w:val="247"/>
        </w:trPr>
        <w:tc>
          <w:tcPr>
            <w:tcW w:w="76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(861 )</w:t>
            </w:r>
          </w:p>
        </w:tc>
        <w:tc>
          <w:tcPr>
            <w:tcW w:w="5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(2,820 )</w:t>
            </w:r>
          </w:p>
        </w:tc>
      </w:tr>
      <w:tr>
        <w:trPr>
          <w:trHeight w:val="239"/>
        </w:trPr>
        <w:tc>
          <w:tcPr>
            <w:tcW w:w="7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Decrease in other current assets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0"/>
                <w:szCs w:val="20"/>
                <w:color w:val="auto"/>
              </w:rPr>
            </w:pPr>
          </w:p>
        </w:tc>
      </w:tr>
      <w:tr>
        <w:trPr>
          <w:trHeight w:val="247"/>
        </w:trPr>
        <w:tc>
          <w:tcPr>
            <w:tcW w:w="76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increase in accounts payable</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(306 )</w:t>
            </w:r>
          </w:p>
        </w:tc>
        <w:tc>
          <w:tcPr>
            <w:tcW w:w="5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Decrease in deferred revenues</w:t>
            </w:r>
          </w:p>
        </w:tc>
        <w:tc>
          <w:tcPr>
            <w:tcW w:w="3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(186 )</w:t>
            </w:r>
          </w:p>
        </w:tc>
        <w:tc>
          <w:tcPr>
            <w:tcW w:w="5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(232 )</w:t>
            </w:r>
          </w:p>
        </w:tc>
      </w:tr>
      <w:tr>
        <w:trPr>
          <w:trHeight w:val="247"/>
        </w:trPr>
        <w:tc>
          <w:tcPr>
            <w:tcW w:w="76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accrued expenses and other current liabilities</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(5,470 )</w:t>
            </w:r>
          </w:p>
        </w:tc>
        <w:tc>
          <w:tcPr>
            <w:tcW w:w="5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(6,702 )</w:t>
            </w:r>
          </w:p>
        </w:tc>
      </w:tr>
      <w:tr>
        <w:trPr>
          <w:trHeight w:val="239"/>
        </w:trPr>
        <w:tc>
          <w:tcPr>
            <w:tcW w:w="7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5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6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(3,391 )</w:t>
            </w:r>
          </w:p>
        </w:tc>
        <w:tc>
          <w:tcPr>
            <w:tcW w:w="5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(14,037 )</w:t>
            </w:r>
          </w:p>
        </w:tc>
      </w:tr>
      <w:tr>
        <w:trPr>
          <w:trHeight w:val="187"/>
        </w:trPr>
        <w:tc>
          <w:tcPr>
            <w:tcW w:w="7600" w:type="dxa"/>
            <w:vAlign w:val="bottom"/>
            <w:tcBorders>
              <w:top w:val="single" w:sz="8" w:color="CFF0FC"/>
            </w:tcBorders>
            <w:gridSpan w:val="6"/>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6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(385 )</w:t>
            </w:r>
          </w:p>
        </w:tc>
        <w:tc>
          <w:tcPr>
            <w:tcW w:w="5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39"/>
        </w:trPr>
        <w:tc>
          <w:tcPr>
            <w:tcW w:w="7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r>
      <w:tr>
        <w:trPr>
          <w:trHeight w:val="237"/>
        </w:trPr>
        <w:tc>
          <w:tcPr>
            <w:tcW w:w="76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(385 )</w:t>
            </w:r>
          </w:p>
        </w:tc>
        <w:tc>
          <w:tcPr>
            <w:tcW w:w="5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0"/>
                <w:szCs w:val="20"/>
                <w:color w:val="auto"/>
              </w:rPr>
            </w:pPr>
          </w:p>
        </w:tc>
      </w:tr>
      <w:tr>
        <w:trPr>
          <w:trHeight w:val="187"/>
        </w:trPr>
        <w:tc>
          <w:tcPr>
            <w:tcW w:w="7600" w:type="dxa"/>
            <w:vAlign w:val="bottom"/>
            <w:tcBorders>
              <w:top w:val="single" w:sz="8" w:color="CFF0FC"/>
            </w:tcBorders>
            <w:gridSpan w:val="6"/>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6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3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(595 )</w:t>
            </w:r>
          </w:p>
        </w:tc>
        <w:tc>
          <w:tcPr>
            <w:tcW w:w="5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r>
      <w:tr>
        <w:trPr>
          <w:trHeight w:val="236"/>
        </w:trPr>
        <w:tc>
          <w:tcPr>
            <w:tcW w:w="760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(3,630 )</w:t>
            </w:r>
          </w:p>
        </w:tc>
        <w:tc>
          <w:tcPr>
            <w:tcW w:w="5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(13,462 )</w:t>
            </w:r>
          </w:p>
        </w:tc>
      </w:tr>
      <w:tr>
        <w:trPr>
          <w:trHeight w:val="243"/>
        </w:trPr>
        <w:tc>
          <w:tcPr>
            <w:tcW w:w="760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3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120,278</w:t>
            </w:r>
          </w:p>
        </w:tc>
        <w:tc>
          <w:tcPr>
            <w:tcW w:w="30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125,083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20" w:type="dxa"/>
            <w:vAlign w:val="bottom"/>
            <w:shd w:val="clear" w:color="auto" w:fill="CFF0FC"/>
          </w:tcPr>
          <w:p>
            <w:pPr>
              <w:spacing w:after="0"/>
              <w:rPr>
                <w:sz w:val="16"/>
                <w:szCs w:val="16"/>
                <w:color w:val="auto"/>
              </w:rPr>
            </w:pPr>
          </w:p>
        </w:tc>
        <w:tc>
          <w:tcPr>
            <w:tcW w:w="758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Supplemental cash flow data:</w:t>
            </w: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2120" w:type="dxa"/>
            <w:vAlign w:val="bottom"/>
            <w:tcBorders>
              <w:top w:val="single" w:sz="8" w:color="auto"/>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76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34"/>
        </w:trPr>
        <w:tc>
          <w:tcPr>
            <w:tcW w:w="20" w:type="dxa"/>
            <w:vAlign w:val="bottom"/>
          </w:tcPr>
          <w:p>
            <w:pPr>
              <w:spacing w:after="0"/>
              <w:rPr>
                <w:sz w:val="20"/>
                <w:szCs w:val="20"/>
                <w:color w:val="auto"/>
              </w:rPr>
            </w:pPr>
          </w:p>
        </w:tc>
        <w:tc>
          <w:tcPr>
            <w:tcW w:w="7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-2231390</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-2231390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-1597025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-1597025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-962660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-962660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-645160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-645160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its inception, the Company has connected millions of patients with licensed behavioral health providers across a wide and growing spectrum of care through virtual counseling, psychotherapy, and psychiatry.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executive office is located in New York, NY. The Company's subsidiaries are Talkspace LLC and its wholly-owned subsidiary, Talkspace Network LLC, and Groop Internet Platform LTD. In addition, the Company holds a variable interest in one professional association and eight professional corporations, which have been established pursuant to the requirements of their respective domestic jurisdiction governing the corporate practice of medicine. These entities are considered Variable Interest Entities ("VIEs"). See Note 10, “Variable Interest Entities,” in the notes to the condensed consolidated financial statements for further details.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These condensed consolidated financial statements should be read in conjunction with the consolidated financial statements as of and for the year ended December 31, 2023, included in the Company's Annual Report on Form 10-K for the year ended December 31, 2023. The significant accounting policies applied in the annual consolidated financial statements of the Company as of December 31, 2023, have been applied consistently in these unaudited condensed consolidated financial statements, unless otherwise stated.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consolidates all subsidiaries in which it has a controlling financial interest, as well as any VIEs where the Company is deemed to be the primary beneficiary. Intercompany transactions and balances have been eliminated in the preparation of the condensed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condensed consolidated financial statements. The Company’s significant estimates and assumptions used in these condensed consolidated financial statements include, but are not limited to, the recognition and disclosure of revenue recognition, stock-based compensation awards and the fair value of warrant liabilities.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Recently Adopted Accounting Pronouncements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2023- 07, Segment Reporting (Topic 280): Improvements to Reportable Segment Disclosures, which requires public entities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when the Company satisfies its performance obligation to perform its defined contractual obligations to provide virtual behavioral healthcare services. Revenue is recognized in an amount that reflects the consideration that the Company will be entitled in exchange for the service rendered. To the extent the transaction price includes variable consideration, the Company estimates the amount of variable consideration that is included in the transaction price. Variable consideration is included in the transaction price to the extent it is probable that a significant reversal of cumulative revenue recognized will not occur when the uncertainty associated with the variable consideration is subsequently resolved.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its platform, Talkspace serves:</w:t>
      </w:r>
    </w:p>
    <w:p>
      <w:pPr>
        <w:spacing w:after="0" w:line="117"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plans and employee assistance programs (“Payor”) who offer their insured members access to the Company's platform at in-network reimbursement rates,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Direct-to-Enterprise customers (“DTE”) who offer their enterprise members access to the Company's platform while their enterprise is under an active contract with Talkspace,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subscribers (“Consumer”) who subscribe directly to the Company's platform.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Payor</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contracts with health insurance plans and employee assistance programs to provide therapy and psychiatry services to their eligible covered members. Revenue is recognized at a point in time, as virtual therapy or psychiatry sessions are rendered. The transaction price is determined based on contracted rates and includes variable consideration in the form of implicit price concessions. The Company determines the total transaction price, including an estimate of variable consideration, at contract inception and reassesses this estimate at each reporting date. The Company estimates the amount of variable consideration that is included in the transaction price primarily based on actual historical collection experience for each Payor. Revenue is presented net of implicit price concessions. Payor contracts include annual evergreen clauses and generally may be terminated by either party typically upon a minimum 60-day advance notice.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DTE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contracts with enterprises to provide access to the Company's therapist platform for their enterprise members, primarily based on a per-member-per-month access fee model. To the extent the transaction price includes variable consideration, revenue is recognized using the variable consideration allocation exception, or, if the allocation exception is not met, the Company recognizes revenue ratably based on estimates of the variable consideration to the extent it is probable that a significant reversal of cumulative revenue recognized will not occur when the uncertainty associated with the variable consideration is subsequent resolved. The majority of DTE contracts typically range in length from one to three years and are generally non-cancelable during the initial contractual term.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also generates revenues from the sale of monthly, quarterly, bi-annual and annual membership subscriptions to the Company's therapy platform as well as supplementary a la carte offerings directly to individual consumers through a subscription plan. The Company recognizes consumer revenues ratably over the subscription period, beginning when therapy services commence. The Company recognizes revenues from supplementary a la carte offerings at a point in time, as virtual therapy sessions are rendered. Members may cancel their subscription at any time and will receive a pro-rata refund for the subscription price. The transaction price from member subscription revenue and supplementary a la carte offerings includes variable consideration in the form of refunds. Revenue is presented net of refunds. The Company estimates the refund liability for the variable consideration portion of the transaction price primarily based on historical experience. The refund liability is recorded within the “Accrued expenses and other current liabilities” line item in the consolidated balance sheets. The refund liability was immaterial as of March 31, 2024 and December 31,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from sales to unaffiliated customers disaggregated by revenue source: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38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8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from sales to unaffiliated customers:</w:t>
            </w:r>
          </w:p>
        </w:tc>
        <w:tc>
          <w:tcPr>
            <w:tcW w:w="460" w:type="dxa"/>
            <w:vAlign w:val="bottom"/>
          </w:tcPr>
          <w:p>
            <w:pPr>
              <w:spacing w:after="0"/>
              <w:rPr>
                <w:sz w:val="20"/>
                <w:szCs w:val="20"/>
                <w:color w:val="auto"/>
              </w:rPr>
            </w:pPr>
          </w:p>
        </w:tc>
        <w:tc>
          <w:tcPr>
            <w:tcW w:w="1780" w:type="dxa"/>
            <w:vAlign w:val="bottom"/>
          </w:tcPr>
          <w:p>
            <w:pPr>
              <w:jc w:val="right"/>
              <w:ind w:right="73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4"/>
                <w:szCs w:val="14"/>
                <w:i w:val="1"/>
                <w:iCs w:val="1"/>
                <w:color w:val="auto"/>
              </w:rPr>
              <w:t>Unaudited</w:t>
            </w:r>
          </w:p>
        </w:tc>
      </w:tr>
      <w:tr>
        <w:trPr>
          <w:trHeight w:val="243"/>
        </w:trPr>
        <w:tc>
          <w:tcPr>
            <w:tcW w:w="6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Payor</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100" w:type="dxa"/>
            <w:vAlign w:val="bottom"/>
            <w:shd w:val="clear" w:color="auto" w:fill="CFF0FC"/>
          </w:tcPr>
          <w:p>
            <w:pPr>
              <w:spacing w:after="0"/>
              <w:rPr>
                <w:sz w:val="21"/>
                <w:szCs w:val="21"/>
                <w:color w:val="auto"/>
              </w:rPr>
            </w:pPr>
          </w:p>
        </w:tc>
      </w:tr>
      <w:tr>
        <w:trPr>
          <w:trHeight w:val="239"/>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DTE</w:t>
            </w:r>
          </w:p>
        </w:tc>
        <w:tc>
          <w:tcPr>
            <w:tcW w:w="4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tcPr>
          <w:p>
            <w:pPr>
              <w:spacing w:after="0"/>
              <w:rPr>
                <w:sz w:val="20"/>
                <w:szCs w:val="20"/>
                <w:color w:val="auto"/>
              </w:rPr>
            </w:pPr>
          </w:p>
        </w:tc>
      </w:tr>
      <w:tr>
        <w:trPr>
          <w:trHeight w:val="243"/>
        </w:trPr>
        <w:tc>
          <w:tcPr>
            <w:tcW w:w="64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Consumer</w:t>
            </w:r>
          </w:p>
        </w:tc>
        <w:tc>
          <w:tcPr>
            <w:tcW w:w="4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45,416</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33,336</w:t>
            </w:r>
          </w:p>
        </w:tc>
        <w:tc>
          <w:tcPr>
            <w:tcW w:w="100" w:type="dxa"/>
            <w:vAlign w:val="bottom"/>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-187960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receivables related to revenue from DTE customers of $8.3 million and $7.8 million at March 31, 2024 and December 31, 2023, respectively. As of March 31, 2024 and December 31, 2023, the balance of receivables related to revenue from Payor customers was $2.7 million and $2.4 million,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receivables are stated net of credit losses allowance. The Company’s methodology for estimating credit loss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Credit losses were immaterial for the three months ended March 31, 2024 and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deferred revenues when cash payments from customers are received in advance of the Company's performance obligation to provide services. As of March 31, 2024 and December 31, 2023, deferred revenue related mainly to consumer subscriptions. The Company expects to satisfy the majority of its performance obligations associated with deferred revenue within one year or less. Revenue recognized in the three months ended March 31, 2024 and 2023, that was included in the deferred revenue balance at the beginning of each reporting period was immaterial.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cash equivalents, accounts receivable, other current assets, accounts payable, and accrued liabilities approximate fair value because of the relatively short-term nature of the underlying assets or liabilities. Money market funds are classified within Level 1 of the fair value hierarchy because these assets are valued based on quoted market prices in active markets.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Private Placement Warrants are accounted for as liabilities in accordance with ASC 815-40 and are presented within warrant liabilities in the accompanying consolidated balance sheets. The warrant liabilities were measured at fair value at inception and thereafter on a recurring, quarterly basis, with changes in fair value presented within the statement of operations (financial income, net) line item. The Private Placement Warrants were valued using the Black-Scholes-Merton Model, which is considered to be a Level 3 fair value measurement. The primary unobservable input utilized in determining the fair value of the Private Placement Warrants is the implied volatility from trading prices of the Company's Public Warrants, significant increases (decreases) in this input in isolation would have resulted in a significantly higher (lower) fair value measurement.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inputs utilized in determining the fair value of the Private Placement Warrants as of March 31,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12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6"/>
        </w:trPr>
        <w:tc>
          <w:tcPr>
            <w:tcW w:w="54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(1)</w:t>
            </w:r>
          </w:p>
        </w:tc>
        <w:tc>
          <w:tcPr>
            <w:tcW w:w="2120" w:type="dxa"/>
            <w:vAlign w:val="bottom"/>
            <w:shd w:val="clear" w:color="auto" w:fill="CFF0FC"/>
          </w:tcPr>
          <w:p>
            <w:pPr>
              <w:jc w:val="center"/>
              <w:ind w:left="554"/>
              <w:spacing w:after="0"/>
              <w:rPr>
                <w:sz w:val="20"/>
                <w:szCs w:val="20"/>
                <w:color w:val="auto"/>
              </w:rPr>
            </w:pPr>
            <w:r>
              <w:rPr>
                <w:rFonts w:ascii="Times New Roman" w:cs="Times New Roman" w:eastAsia="Times New Roman" w:hAnsi="Times New Roman"/>
                <w:sz w:val="18"/>
                <w:szCs w:val="18"/>
                <w:color w:val="auto"/>
                <w:w w:val="99"/>
              </w:rPr>
              <w:t>0%</w:t>
            </w:r>
          </w:p>
        </w:tc>
        <w:tc>
          <w:tcPr>
            <w:tcW w:w="3700" w:type="dxa"/>
            <w:vAlign w:val="bottom"/>
            <w:gridSpan w:val="3"/>
            <w:shd w:val="clear" w:color="auto" w:fill="CFF0FC"/>
          </w:tcPr>
          <w:p>
            <w:pPr>
              <w:jc w:val="center"/>
              <w:ind w:left="854"/>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54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12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56.40%</w:t>
            </w:r>
          </w:p>
        </w:tc>
        <w:tc>
          <w:tcPr>
            <w:tcW w:w="3700" w:type="dxa"/>
            <w:vAlign w:val="bottom"/>
            <w:gridSpan w:val="3"/>
          </w:tcPr>
          <w:p>
            <w:pPr>
              <w:jc w:val="center"/>
              <w:ind w:left="854"/>
              <w:spacing w:after="0"/>
              <w:rPr>
                <w:sz w:val="20"/>
                <w:szCs w:val="20"/>
                <w:color w:val="auto"/>
              </w:rPr>
            </w:pPr>
            <w:r>
              <w:rPr>
                <w:rFonts w:ascii="Times New Roman" w:cs="Times New Roman" w:eastAsia="Times New Roman" w:hAnsi="Times New Roman"/>
                <w:sz w:val="18"/>
                <w:szCs w:val="18"/>
                <w:color w:val="auto"/>
              </w:rPr>
              <w:t>96.20%</w:t>
            </w:r>
          </w:p>
        </w:tc>
      </w:tr>
      <w:tr>
        <w:trPr>
          <w:trHeight w:val="243"/>
        </w:trPr>
        <w:tc>
          <w:tcPr>
            <w:tcW w:w="54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120" w:type="dxa"/>
            <w:vAlign w:val="bottom"/>
            <w:shd w:val="clear" w:color="auto" w:fill="CFF0FC"/>
          </w:tcPr>
          <w:p>
            <w:pPr>
              <w:jc w:val="center"/>
              <w:ind w:left="574"/>
              <w:spacing w:after="0"/>
              <w:rPr>
                <w:sz w:val="20"/>
                <w:szCs w:val="20"/>
                <w:color w:val="auto"/>
              </w:rPr>
            </w:pPr>
            <w:r>
              <w:rPr>
                <w:rFonts w:ascii="Times New Roman" w:cs="Times New Roman" w:eastAsia="Times New Roman" w:hAnsi="Times New Roman"/>
                <w:sz w:val="18"/>
                <w:szCs w:val="18"/>
                <w:color w:val="auto"/>
                <w:w w:val="98"/>
              </w:rPr>
              <w:t>4.55%</w:t>
            </w:r>
          </w:p>
        </w:tc>
        <w:tc>
          <w:tcPr>
            <w:tcW w:w="3700" w:type="dxa"/>
            <w:vAlign w:val="bottom"/>
            <w:gridSpan w:val="3"/>
            <w:shd w:val="clear" w:color="auto" w:fill="CFF0FC"/>
          </w:tcPr>
          <w:p>
            <w:pPr>
              <w:jc w:val="center"/>
              <w:ind w:left="834"/>
              <w:spacing w:after="0"/>
              <w:rPr>
                <w:sz w:val="20"/>
                <w:szCs w:val="20"/>
                <w:color w:val="auto"/>
              </w:rPr>
            </w:pPr>
            <w:r>
              <w:rPr>
                <w:rFonts w:ascii="Times New Roman" w:cs="Times New Roman" w:eastAsia="Times New Roman" w:hAnsi="Times New Roman"/>
                <w:sz w:val="18"/>
                <w:szCs w:val="18"/>
                <w:color w:val="auto"/>
                <w:w w:val="98"/>
              </w:rPr>
              <w:t>3.75%</w:t>
            </w: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to warrant expiration (years)</w:t>
            </w:r>
          </w:p>
        </w:tc>
        <w:tc>
          <w:tcPr>
            <w:tcW w:w="212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2.22</w:t>
            </w:r>
          </w:p>
        </w:tc>
        <w:tc>
          <w:tcPr>
            <w:tcW w:w="3700" w:type="dxa"/>
            <w:vAlign w:val="bottom"/>
            <w:gridSpan w:val="3"/>
          </w:tcPr>
          <w:p>
            <w:pPr>
              <w:jc w:val="center"/>
              <w:ind w:left="854"/>
              <w:spacing w:after="0"/>
              <w:rPr>
                <w:sz w:val="20"/>
                <w:szCs w:val="20"/>
                <w:color w:val="auto"/>
              </w:rPr>
            </w:pPr>
            <w:r>
              <w:rPr>
                <w:rFonts w:ascii="Times New Roman" w:cs="Times New Roman" w:eastAsia="Times New Roman" w:hAnsi="Times New Roman"/>
                <w:sz w:val="18"/>
                <w:szCs w:val="18"/>
                <w:color w:val="auto"/>
              </w:rPr>
              <w:t>3.23</w:t>
            </w:r>
          </w:p>
        </w:tc>
      </w:tr>
    </w:tbl>
    <w:p>
      <w:pPr>
        <w:spacing w:after="0" w:line="99" w:lineRule="exact"/>
        <w:rPr>
          <w:sz w:val="20"/>
          <w:szCs w:val="20"/>
          <w:color w:val="auto"/>
        </w:rPr>
      </w:pPr>
    </w:p>
    <w:p>
      <w:pPr>
        <w:ind w:left="300" w:hanging="216"/>
        <w:spacing w:after="0"/>
        <w:tabs>
          <w:tab w:leader="none" w:pos="3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during the three months ended March 31, 2024 and 2023.</w:t>
      </w:r>
    </w:p>
    <w:p>
      <w:pPr>
        <w:spacing w:after="0" w:line="43" w:lineRule="exact"/>
        <w:rPr>
          <w:rFonts w:ascii="Times New Roman" w:cs="Times New Roman" w:eastAsia="Times New Roman" w:hAnsi="Times New Roman"/>
          <w:sz w:val="15"/>
          <w:szCs w:val="15"/>
          <w:color w:val="auto"/>
        </w:rPr>
      </w:pPr>
    </w:p>
    <w:p>
      <w:pPr>
        <w:ind w:left="300" w:hanging="216"/>
        <w:spacing w:after="0"/>
        <w:tabs>
          <w:tab w:leader="none" w:pos="3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is based on the back-solved implied volatility of the Company's public warrants as of the valuation date.</w:t>
      </w:r>
    </w:p>
    <w:p>
      <w:pPr>
        <w:spacing w:after="0" w:line="43" w:lineRule="exact"/>
        <w:rPr>
          <w:rFonts w:ascii="Times New Roman" w:cs="Times New Roman" w:eastAsia="Times New Roman" w:hAnsi="Times New Roman"/>
          <w:sz w:val="15"/>
          <w:szCs w:val="15"/>
          <w:color w:val="auto"/>
        </w:rPr>
      </w:pPr>
    </w:p>
    <w:p>
      <w:pPr>
        <w:ind w:left="300" w:hanging="216"/>
        <w:spacing w:after="0"/>
        <w:tabs>
          <w:tab w:leader="none" w:pos="3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risk-free interest rate is based on the yield from U.S. Treasury bonds with an equivalent term to the time to maturity of the warrants.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recorded at fair value on a recurring basis as of March 31, 2024 and 2023, have been categorized based upon the fair value hierarchy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2024</w:t>
            </w: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C"/>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119,832</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120,278</w:t>
            </w:r>
          </w:p>
        </w:tc>
        <w:tc>
          <w:tcPr>
            <w:tcW w:w="100" w:type="dxa"/>
            <w:vAlign w:val="bottom"/>
          </w:tcPr>
          <w:p>
            <w:pPr>
              <w:spacing w:after="0"/>
              <w:rPr>
                <w:sz w:val="20"/>
                <w:szCs w:val="20"/>
                <w:color w:val="auto"/>
              </w:rPr>
            </w:pPr>
          </w:p>
        </w:tc>
      </w:tr>
      <w:tr>
        <w:trPr>
          <w:trHeight w:val="241"/>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Pr>
          <w:p>
            <w:pPr>
              <w:spacing w:after="0"/>
              <w:rPr>
                <w:sz w:val="20"/>
                <w:szCs w:val="20"/>
                <w:color w:val="auto"/>
              </w:rPr>
            </w:pPr>
          </w:p>
        </w:tc>
      </w:tr>
      <w:tr>
        <w:trPr>
          <w:trHeight w:val="237"/>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16"/>
        </w:trPr>
        <w:tc>
          <w:tcPr>
            <w:tcW w:w="3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0"/>
                <w:szCs w:val="20"/>
                <w:color w:val="auto"/>
              </w:rPr>
            </w:pPr>
          </w:p>
        </w:tc>
      </w:tr>
      <w:tr>
        <w:trPr>
          <w:trHeight w:val="247"/>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122,830</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122,830</w:t>
            </w:r>
          </w:p>
        </w:tc>
        <w:tc>
          <w:tcPr>
            <w:tcW w:w="100" w:type="dxa"/>
            <w:vAlign w:val="bottom"/>
          </w:tcPr>
          <w:p>
            <w:pPr>
              <w:spacing w:after="0"/>
              <w:rPr>
                <w:sz w:val="20"/>
                <w:szCs w:val="20"/>
                <w:color w:val="auto"/>
              </w:rPr>
            </w:pPr>
          </w:p>
        </w:tc>
      </w:tr>
      <w:tr>
        <w:trPr>
          <w:trHeight w:val="23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100" w:type="dxa"/>
            <w:vAlign w:val="bottom"/>
            <w:shd w:val="clear" w:color="auto" w:fill="CFF0FC"/>
          </w:tcPr>
          <w:p>
            <w:pPr>
              <w:spacing w:after="0"/>
              <w:rPr>
                <w:sz w:val="20"/>
                <w:szCs w:val="20"/>
                <w:color w:val="auto"/>
              </w:rPr>
            </w:pPr>
          </w:p>
        </w:tc>
      </w:tr>
      <w:tr>
        <w:trPr>
          <w:trHeight w:val="239"/>
        </w:trPr>
        <w:tc>
          <w:tcPr>
            <w:tcW w:w="3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1"/>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3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-2313940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-2313940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-2313940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-1670685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-1670685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-1670685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-487680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-487680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-487680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-170815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on a recurring basis during the three months ended March 31, 2024 and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Level 3 Liabilities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center"/>
              <w:ind w:right="141"/>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6"/>
          </w:tcPr>
          <w:p>
            <w:pPr>
              <w:jc w:val="center"/>
              <w:ind w:left="126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4"/>
                <w:szCs w:val="14"/>
                <w:color w:val="auto"/>
              </w:rPr>
            </w:pPr>
          </w:p>
        </w:tc>
      </w:tr>
      <w:tr>
        <w:trPr>
          <w:trHeight w:val="23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shd w:val="clear" w:color="auto" w:fill="CFF0FC"/>
          </w:tcPr>
          <w:p>
            <w:pPr>
              <w:spacing w:after="0"/>
              <w:rPr>
                <w:sz w:val="20"/>
                <w:szCs w:val="20"/>
                <w:color w:val="auto"/>
              </w:rPr>
            </w:pPr>
          </w:p>
        </w:tc>
      </w:tr>
      <w:tr>
        <w:trPr>
          <w:trHeight w:val="453"/>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Level 3 Liabilities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center"/>
              <w:ind w:right="141"/>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6"/>
          </w:tcPr>
          <w:p>
            <w:pPr>
              <w:jc w:val="center"/>
              <w:ind w:left="126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4"/>
                <w:szCs w:val="14"/>
                <w:color w:val="auto"/>
              </w:rPr>
            </w:pPr>
          </w:p>
        </w:tc>
      </w:tr>
      <w:tr>
        <w:trPr>
          <w:trHeight w:val="23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774"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CONTINGENT LIABILITIES</w:t>
      </w: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As of March 31, 2024, there were no pending material legal proceedings, claims or litigation.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Indemnification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customers against liabilities if there is a breach of a customer’s data or if the Company’s service infringes a third party’s intellectual property rights. To date, the Company has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CAPITAL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authorized capital stock consists of (a) 1,000,000,000 shares of common stock, par value $0.0001 per share; and (b) 100,000,000 shares of preferred stock, par value $0.0001 per share. As of March 31, 2024 and December 31, 2023 there were outstanding 12,780,000 Private Placement Warrants and 21,350,000 Public Warrants to purchase the Company’s common stock at an exercise price of $11.50 per share. As of March 31, 2024 and December 31, 2023, no shares of preferred stock were issued or outstanding.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which authorizes the repurchase of up to $15 million of the currently outstanding shares of the Company’s common stock over a period of twenty-four months beginning on March 1, 2024 (the “Repurchase Program”). As of March 31, 2024, no shares have been purchased under the Repurchase Program.</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repurchase shares through various methods, including open market purchases and privately-negotiated transactions, or otherwise in accordance with applicable federal securities laws, including Rule 10b-18 of the Securities Exchange Act of 1934 (the “Exchange Act”). Such purchases will be at times and in amounts as the Company deems appropriate, based on factors such as price, market conditions, corporate and regulatory requirements, constraints specified in any Rule 10b5-1 trading plans, alternative investment opportunities and other business considerations. All shares purchased will be canceled. The Repurchase Program does not obligate the Company to repurchase any dollar amount or number of shares, and may be suspended or terminated at any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Company adopted the 2021 Incentive Award Plan (the “2021 Plan”) under which the Company may grant cash and equity incentive awards to officers, employees, directors, consultants and service providers in order to attract, motivate and retain talent. The 2021 Plan replaced the Company's previous stock compensation plan.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stock-based awards are measured based on the grant date fair value and are generally recognized on a straight-line basis in the Company’s condensed consolidated statement of operations over the requisite service period (generally requiring a four-year vesting period).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share-based compensation expense related to stock options and restricted stock units included in the respective components of operating expenses in the condensed consolidated statements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4"/>
                <w:szCs w:val="14"/>
                <w:color w:val="auto"/>
              </w:rPr>
            </w:pPr>
          </w:p>
        </w:tc>
        <w:tc>
          <w:tcPr>
            <w:tcW w:w="15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80" w:type="dxa"/>
            <w:vAlign w:val="bottom"/>
            <w:vMerge w:val="continue"/>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FF0FC"/>
          </w:tcPr>
          <w:p>
            <w:pPr>
              <w:jc w:val="right"/>
              <w:ind w:right="106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520" w:type="dxa"/>
            <w:vAlign w:val="bottom"/>
            <w:gridSpan w:val="2"/>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operations, net</w:t>
            </w:r>
          </w:p>
        </w:tc>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3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40" w:type="dxa"/>
            <w:vAlign w:val="bottom"/>
            <w:tcBorders>
              <w:bottom w:val="single" w:sz="8" w:color="auto"/>
            </w:tcBorders>
            <w:shd w:val="clear" w:color="auto" w:fill="CFF0FC"/>
          </w:tcPr>
          <w:p>
            <w:pPr>
              <w:jc w:val="right"/>
              <w:ind w:right="106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3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8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6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ind w:right="559"/>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557"/>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(1,466 )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(8,758 )</w:t>
            </w:r>
          </w:p>
        </w:tc>
        <w:tc>
          <w:tcPr>
            <w:tcW w:w="0" w:type="dxa"/>
            <w:vAlign w:val="bottom"/>
          </w:tcPr>
          <w:p>
            <w:pPr>
              <w:spacing w:after="0"/>
              <w:rPr>
                <w:sz w:val="1"/>
                <w:szCs w:val="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3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168,846,946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161,797,781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(0.01 )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following were excluded from the calculation of diluted net loss per share since each would have had an anti-dilutive effect given the Company's net loss: 10,957,900 vested and non-vested stock options outstanding, 9,650,229 non-vested and outstanding restricted stock units, 12,780,000 Private Placement Warrants and 21,350,000 Public Warrants to purchase the Company’s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the following were excluded from the calculation of diluted income per share since each would have had an anti-dilutive effect given the Company's net loss: 14,746,915 vested and non-vested stock options outstanding, 11,549,261 non-vested and outstanding restricted stock units, 12,780,000 Private Placement Warrants and 21,350,000 Public Warrants to purchase the Company’s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included within accrued expenses and other current liabilities as of March 31,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4420" w:type="dxa"/>
            <w:vAlign w:val="bottom"/>
            <w:vMerge w:val="continue"/>
          </w:tcPr>
          <w:p>
            <w:pPr>
              <w:spacing w:after="0"/>
              <w:rPr>
                <w:sz w:val="14"/>
                <w:szCs w:val="14"/>
                <w:color w:val="auto"/>
              </w:rPr>
            </w:pPr>
          </w:p>
        </w:tc>
        <w:tc>
          <w:tcPr>
            <w:tcW w:w="22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3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 acquisition</w:t>
            </w: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727"/>
        </w:trPr>
        <w:tc>
          <w:tcPr>
            <w:tcW w:w="4420" w:type="dxa"/>
            <w:vAlign w:val="bottom"/>
            <w:tcBorders>
              <w:top w:val="single" w:sz="8" w:color="CFF0FC"/>
            </w:tcBorders>
          </w:tcPr>
          <w:p>
            <w:pPr>
              <w:spacing w:after="0"/>
              <w:rPr>
                <w:sz w:val="24"/>
                <w:szCs w:val="24"/>
                <w:color w:val="auto"/>
              </w:rPr>
            </w:pPr>
          </w:p>
        </w:tc>
        <w:tc>
          <w:tcPr>
            <w:tcW w:w="2280" w:type="dxa"/>
            <w:vAlign w:val="bottom"/>
            <w:tcBorders>
              <w:top w:val="single" w:sz="8" w:color="CFF0FC"/>
            </w:tcBorders>
          </w:tcPr>
          <w:p>
            <w:pPr>
              <w:jc w:val="right"/>
              <w:ind w:right="89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-993775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-976630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VARIABLE INTEREST ENTITIES ("VIEs")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holds a variable interest in Talkspace Provider Network, PA (“TPN”) and eight affiliated professional corporations (“PC entities”). The Company evaluates whether an entity in which it has a variable interest is considered a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direct the activities of the entity that most significantly impact the entity's economic performance through voting rights and a right to receive the expected residual returns of the entity or an obligation to absorb the expected losses of the entity). TPN and the PC entities are considered VIEs.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is able to direct the activities of TPN and the PC entities that most significantly impact their economic performance and it funds and absorbs all losses of these VIEs resulting in the Company being the primary beneficiary of these entities. Accordingly, the Company consolidates these VIEs.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and liabilities of the VIEs as of March 31, 2024 and December 31, 2023. The assets and liabilities in the table below are presented prior to consolidation and thus a portion of these assets and liabilities are eliminated in consolidation.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4420" w:type="dxa"/>
            <w:vAlign w:val="bottom"/>
            <w:vMerge w:val="continue"/>
          </w:tcPr>
          <w:p>
            <w:pPr>
              <w:spacing w:after="0"/>
              <w:rPr>
                <w:sz w:val="14"/>
                <w:szCs w:val="14"/>
                <w:color w:val="auto"/>
              </w:rPr>
            </w:pPr>
          </w:p>
        </w:tc>
        <w:tc>
          <w:tcPr>
            <w:tcW w:w="28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3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2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4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-1362075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-1344930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-1028065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as to “Talkspace,” the “Company,” “we,” “us” or “our” refer to the business of Talkspace, Inc. and its consolidated subsidiaries.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2023.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2023 and “Forward-Looking Statements” sections and elsewhere in this Quarterly Report, our actual results may differ materially from those anticipated in these forward-looking statements.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this section is to discuss and analyze our consolidated financial condition, liquidity and capital resources and results of operations for the three months ended March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Talkspace is a healthcare company offering its members convenient and affordable access to a fully-credentialed network of highly qualified providers. We are a leading virtual behavioral health company and, since Talkspace’s founding in 2012, we have connected millions of patients with licensed mental health providers across a wide and growing spectrum of care through virtual counseling, psychotherapy and psychiatry. We created a purpose-built platform to address the vast, unmet and growing demand for mental health services of our members, serving our payor customers (“Payor”), comprised of health plans and employee assistance programs such as Aetna, Cigna, and Optum, who offer their insured members access to our platform at in-network reimbursement rates; our Direct-to-Enterprise customers ("DTE") comprised of enterprises such as Google, the University of Kentucky and the New York City Department of Health and Mental Hygiene, who offer their enterprise members access to our platform while their enterprise is under an active contract with Talkspace; and individual consumers ("Consumer") who subscribe directly to our platform.</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we had approximately 131.4 million eligible lives compared to 98 million eligible lives as of March 31, 2023. As of March 31, 2024, we had over 11,100 consumer active members compared to 15,100 consumer active members as of March 31, 2023. For the three months ended March 31, 2024, our clinicians completed 284,200 sessions related to members covered under our Payor customers, compared to 171,700 completed sessions for the three months ended March 31, 2023. Please refer to the “Key Business Metrics” section below for a description of eligible lives and consumer active members.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 and Economic Conditions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demand for our solution is dependent on the general economy, which is in turn affected by geopolitical conditions, the stability of the global credit markets, inflationary pressures, increasing interest rates, the industries in which our Payor and DTE customers operate or serve, and other factors. Downturns in the general economy could disproportionately affect the demand for our solution and cause it to decrease.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could also be impacted by inflation and increased interest rates. Inflation did not have a material effect on our business, financial condition or results of operations for the three months ended March 31, 2024 and 2023. However, if our costs were to become subject to significant inflationary pressures (such as Provider cost), we may not be able to fully offset such higher costs through price increases or cost savings. Our inability or failure to do so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segment, which is how the chief operating decision maker (who is the chief executive officer) reviews financial performance and allocates resources.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69"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customers or otherwise indicated)</w:t>
            </w:r>
          </w:p>
        </w:tc>
        <w:tc>
          <w:tcPr>
            <w:tcW w:w="12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7720" w:type="dxa"/>
            <w:vAlign w:val="bottom"/>
            <w:vMerge w:val="continue"/>
          </w:tcPr>
          <w:p>
            <w:pPr>
              <w:spacing w:after="0"/>
              <w:rPr>
                <w:sz w:val="14"/>
                <w:szCs w:val="14"/>
                <w:color w:val="auto"/>
              </w:rPr>
            </w:pPr>
          </w:p>
        </w:tc>
        <w:tc>
          <w:tcPr>
            <w:tcW w:w="1200" w:type="dxa"/>
            <w:vAlign w:val="bottom"/>
            <w:tcBorders>
              <w:top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Number of eligible lives at period end </w:t>
            </w:r>
            <w:r>
              <w:rPr>
                <w:rFonts w:ascii="Times New Roman" w:cs="Times New Roman" w:eastAsia="Times New Roman" w:hAnsi="Times New Roman"/>
                <w:sz w:val="18"/>
                <w:szCs w:val="18"/>
                <w:i w:val="1"/>
                <w:iCs w:val="1"/>
                <w:color w:val="auto"/>
              </w:rPr>
              <w:t>(in millions)</w:t>
            </w:r>
          </w:p>
        </w:tc>
        <w:tc>
          <w:tcPr>
            <w:tcW w:w="12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completed Payor sessions during the period</w:t>
            </w:r>
          </w:p>
        </w:tc>
        <w:tc>
          <w:tcPr>
            <w:tcW w:w="1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Unique Payor active members during the period</w:t>
            </w:r>
          </w:p>
        </w:tc>
        <w:tc>
          <w:tcPr>
            <w:tcW w:w="12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health plan customers at period end</w:t>
            </w:r>
          </w:p>
        </w:tc>
        <w:tc>
          <w:tcPr>
            <w:tcW w:w="1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enterprise customers at period end</w:t>
            </w:r>
          </w:p>
        </w:tc>
        <w:tc>
          <w:tcPr>
            <w:tcW w:w="12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Consumer active members at period end</w:t>
            </w:r>
          </w:p>
        </w:tc>
        <w:tc>
          <w:tcPr>
            <w:tcW w:w="1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Eligible Lives: </w:t>
      </w:r>
      <w:r>
        <w:rPr>
          <w:rFonts w:ascii="Times New Roman" w:cs="Times New Roman" w:eastAsia="Times New Roman" w:hAnsi="Times New Roman"/>
          <w:sz w:val="18"/>
          <w:szCs w:val="18"/>
          <w:color w:val="auto"/>
        </w:rPr>
        <w:t>We consider eligible lives “eligible” if such persons are eligible to receive treatment on the Talkspace platform, in the case of our Payor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eligible lives calculation, which may cause this amount to reflect a higher number of eligible lives than we actually serve.</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Active Members: </w:t>
      </w:r>
      <w:r>
        <w:rPr>
          <w:rFonts w:ascii="Times New Roman" w:cs="Times New Roman" w:eastAsia="Times New Roman" w:hAnsi="Times New Roman"/>
          <w:sz w:val="18"/>
          <w:szCs w:val="18"/>
          <w:color w:val="auto"/>
        </w:rPr>
        <w:t>We consider consumer members “active” commencing on the date such member initiates contact with a provider on our platform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their monthly, quarterly or bi-annual subscription plan expires, unless terminated early.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Unique Payor Active Members: </w:t>
      </w:r>
      <w:r>
        <w:rPr>
          <w:rFonts w:ascii="Times New Roman" w:cs="Times New Roman" w:eastAsia="Times New Roman" w:hAnsi="Times New Roman"/>
          <w:sz w:val="18"/>
          <w:szCs w:val="18"/>
          <w:color w:val="auto"/>
        </w:rPr>
        <w:t>Represents unique users who had a session completed during the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revenues from services provided to individuals who are qualified to receive access to the Company's services through our commercial arrangements with health insurance plans, employee assistance organizations and enterprises. We also generate revenues from the sale of monthly, quarterly, bi-annual and annual membership subscriptions to the Company's therapy platform as well as supplementary a la carte offerings directly to individual consumers through a subscription plan. See Note 3, “Revenue Recognition” in the notes to the condensed consolidated financial statements for further details.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growth is generated from a combination of increasing our eligible covered lives through contracting with health insurance plans and employee assistance organizations, increasing utilization within eligible covered lives, expanding enterprise customers, and increasing membership subscriptions.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is comprised primarily of therapist payments. Cost of revenues is largely driven by number of sessions and the size of our provider network that is required to service the growth of our health plan and enterprise customers, in addition to the growth of our customer base.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Our employee providers receive a fixed-salary and discretionary bonuses, where applicable, all of which is included in cost of revenues.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expect to make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factors as well as pricing fluctuations.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consist of research and development, clinical operations, sales and marketing, and general and administrative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customers to generate greater awareness and utilization of our platform among our Payor and DTE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certain executives, finance, accounting, legal and human resources functions, as well as professional fees, occupancy costs, and other general overhead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(income), net includes the impact from (i) non-cash changes in the fair value of our warrant liabilities, (ii) interest earned on cash equivalents deposited in our money market accounts and (iii) other financial expenses in connection with bank charges.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Taxes on income consists primarily of foreign income taxes related to income generated by our subsidiary organized under the laws of Israel. Taxes on income were immaterial for the three months ended March 31, 2024 and 2023.</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three months ended March 31, 2024 and 2023 and the dollar and percentage change between the respective periods: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3640" w:type="dxa"/>
            <w:vAlign w:val="bottom"/>
            <w:tcBorders>
              <w:bottom w:val="single" w:sz="8" w:color="auto"/>
            </w:tcBorders>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00" w:type="dxa"/>
            <w:vAlign w:val="bottom"/>
            <w:tcBorders>
              <w:bottom w:val="single" w:sz="8" w:color="auto"/>
            </w:tcBorders>
          </w:tcPr>
          <w:p>
            <w:pPr>
              <w:spacing w:after="0"/>
              <w:rPr>
                <w:sz w:val="16"/>
                <w:szCs w:val="16"/>
                <w:color w:val="auto"/>
              </w:rPr>
            </w:pPr>
          </w:p>
        </w:tc>
      </w:tr>
      <w:tr>
        <w:trPr>
          <w:trHeight w:val="16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400" w:type="dxa"/>
            <w:vAlign w:val="bottom"/>
            <w:tcBorders>
              <w:top w:val="single" w:sz="8" w:color="auto"/>
            </w:tcBorders>
          </w:tcPr>
          <w:p>
            <w:pPr>
              <w:jc w:val="center"/>
              <w:ind w:left="52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top w:val="single" w:sz="8" w:color="auto"/>
            </w:tcBorders>
          </w:tcPr>
          <w:p>
            <w:pPr>
              <w:jc w:val="center"/>
              <w:ind w:left="52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185"/>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Payor revenue</w:t>
            </w:r>
          </w:p>
        </w:tc>
        <w:tc>
          <w:tcPr>
            <w:tcW w:w="1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$28,508</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$14,811</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r>
      <w:tr>
        <w:trPr>
          <w:trHeight w:val="176"/>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DTE revenue</w:t>
            </w: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9,913</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8,676</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76"/>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Consumer revenue</w:t>
            </w: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6,995</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45,416</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33,336</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12,080</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7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23,685</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16,588</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21,731</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16,748</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4,983</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w:t>
            </w:r>
          </w:p>
        </w:tc>
      </w:tr>
      <w:tr>
        <w:trPr>
          <w:trHeight w:val="17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75"/>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Clinical operations, net</w:t>
            </w: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76"/>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13,009</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13,469</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5"/>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5,364</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23,410</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25,787</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17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Financial (income), net</w:t>
            </w: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7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taxes on income</w:t>
            </w: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(8,615)</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r>
      <w:tr>
        <w:trPr>
          <w:trHeight w:val="175"/>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 on income</w:t>
            </w: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88"/>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$(8,758)</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r>
    </w:tbl>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increased by $12.1 million, or 36.2% to $45.4 million for the three months ended March 31, 2024 from $33.3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2023. The increase was principally due to a 92.5% increase in Payor revenue driven by a higher number of completed payor sessions, and a 14.3% growth in DTE revenue, partially offset by a 29.0% decline in Consumer revenue. Revenue from our Payor customers increased by $13.7 million, or 92.5%, to $28.5 million for the three months ended March 31, 2024 from $14.8 million for the three months ended March 31, 2023. Revenue from our DTE customers increased by $1.2 million, or 14.3% to $9.9 million for the three months ended March 31, 2024 from $8.7 million for the three months ended March 31, 2023. Consumer revenue decreased by $2.9 million, or 29.0%, to $7.0 million for the three months ended March 31, 2024 from $9.8 million for the three months ended March 31, 2023, due to the Company's intentional and strategic decision to optimize and focus marketing efforts on attracting payor members. While we no longer have marketing resources dedicated solely to the Consumer category, it continues to have a positive contribution to our financial results.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Costs of revenues. </w:t>
      </w:r>
      <w:r>
        <w:rPr>
          <w:rFonts w:ascii="Times New Roman" w:cs="Times New Roman" w:eastAsia="Times New Roman" w:hAnsi="Times New Roman"/>
          <w:sz w:val="18"/>
          <w:szCs w:val="18"/>
          <w:color w:val="auto"/>
        </w:rPr>
        <w:t>Cost of revenues increased by $7.1 million, or 42.8%, to $23.7 million for the three months ended March 31, 2024 from $16.6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 months ended March 31, 2023. The increase in cost of revenues for the three months ended March 31, 2024, was primarily due to increased hours worked by therapists to meet increased member engagement.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profit increased by $5.0 million, or 29.8%, to $21.7 million for the three months ended March 31, 2024 from $16.7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March 31, 2023. The increase in gross profit was primarily driven by an increase in the Company's revenues.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margin was 47.8% for the three months ended March 31, 2024, compared to 50.2% during the three months ended March 31, 2023. The decline in gross margin was driven by a shift in revenue mix towards Payor.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our operating expenses for the three months ended March 31, 2024 have decreased compared to the three months ended March 31, 2023 due to our efforts to achieve greater operational efficiency.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expenses decreased by $1.6 million, or 30.2% to $3.7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2024 from $5.3 million for the three months ended March 31, 2023. The decrease in research and development expenses for the three months ended March 31, 2024 was primarily due to a decrease in employee-related costs, inclusive of non-cash stock compensation expense.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Clinical operations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operations expenses decreased by $0.1 million, or 8.6% to $1.5 million for the three months ended March 31,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$1.6 million for the three months ended March 31, 2023. The decrease in clinical operations expenses for the three months ended March 31, 2024 was primarily due to employee-related costs, inclusive of non-cash stock compensation expense.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Sales and marketing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marketing expenses decreased by $0.5 million, or 3.4%, to $13.0 million for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from $13.5 million for the three months ended March 31, 2023. The decrease in sales and marketing expenses for the three months ended March 31, 2024 was primarily driven by a decrease in subcontractor costs and direct marketing and promotional costs, partially offset by an increase in employee-related costs, inclusive of non-cash stock compensation expense.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$0.2 million, or 3.1%, to $5.2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2024 from $5.4 million for the three months ended March 31, 2023. The decrease in general and administrative expenses for the three months ended March 31, 2024 was primarily due to a decrease in subcontractor costs, recruitment costs and employee-related costs, inclusive of non-cash stock compensation expense, partially offset by an increase in professional fees.</w:t>
      </w: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Financial (income), net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(income), net was $0.4 million for the three months ended March 31, 2024 and 2023. For the three months ended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2024 and 2023 financial income, net, primarily consisted of interest income earned on our money market accounts of $1.6 million and $0.6 million, respectively, partially offset by $1.1 million and $0.2 million, respectively, in non-cash losses resulting from the remeasurement of warrant liabilities.</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Taxes on income. </w:t>
      </w:r>
      <w:r>
        <w:rPr>
          <w:rFonts w:ascii="Times New Roman" w:cs="Times New Roman" w:eastAsia="Times New Roman" w:hAnsi="Times New Roman"/>
          <w:sz w:val="18"/>
          <w:szCs w:val="18"/>
          <w:color w:val="auto"/>
        </w:rPr>
        <w:t>Taxes on income consists primarily of foreign income taxes related to income generated by our subsidiary organized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Israel. Taxes on income were immaterial for the three months ended March 31, 2024 and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and our management uses it as a key performance measure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loss before income taxes, net loss, loss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is provided below for adjusted EBITDA to net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provide a forward-looking reconciliation of adjusted EBITDA guidance as the amount and significance of the reconciling items required to develop meaningful comparable GAAP financial measures cannot be estimated at this time without unreasonable efforts. These reconciling items could be meaningful.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adjusted EBITDA as net loss income adjusted to exclude (i) depreciation and amortization, (ii) interest and other expenses (income), net, (iii) tax benefit and expense, and (iv) stock-based compensation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the three months ended March 31, 2024 and 2023:</w:t>
      </w:r>
    </w:p>
    <w:p>
      <w:pPr>
        <w:spacing w:after="0" w:line="16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1740" w:type="dxa"/>
            <w:vAlign w:val="bottom"/>
            <w:tcBorders>
              <w:top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00" w:type="dxa"/>
            <w:vAlign w:val="bottom"/>
            <w:tcBorders>
              <w:top w:val="single" w:sz="8" w:color="auto"/>
            </w:tcBorders>
            <w:gridSpan w:val="2"/>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4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80" w:type="dxa"/>
            <w:vAlign w:val="bottom"/>
          </w:tcPr>
          <w:p>
            <w:pPr>
              <w:spacing w:after="0"/>
              <w:rPr>
                <w:sz w:val="19"/>
                <w:szCs w:val="19"/>
                <w:color w:val="auto"/>
              </w:rPr>
            </w:pPr>
          </w:p>
        </w:tc>
        <w:tc>
          <w:tcPr>
            <w:tcW w:w="172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i w:val="1"/>
                <w:iCs w:val="1"/>
                <w:color w:val="auto"/>
              </w:rPr>
              <w:t>Unaudited</w:t>
            </w:r>
          </w:p>
        </w:tc>
      </w:tr>
      <w:tr>
        <w:trPr>
          <w:trHeight w:val="24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$(8,758)</w:t>
            </w: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76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Financial (income), net </w:t>
            </w:r>
            <w:r>
              <w:rPr>
                <w:rFonts w:ascii="Times New Roman" w:cs="Times New Roman" w:eastAsia="Times New Roman" w:hAnsi="Times New Roman"/>
                <w:sz w:val="24"/>
                <w:szCs w:val="24"/>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4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8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120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1" w:lineRule="exact"/>
        <w:rPr>
          <w:sz w:val="20"/>
          <w:szCs w:val="20"/>
          <w:color w:val="auto"/>
        </w:rPr>
      </w:pPr>
    </w:p>
    <w:p>
      <w:pPr>
        <w:jc w:val="both"/>
        <w:ind w:left="1020" w:hanging="503"/>
        <w:spacing w:after="0" w:line="238" w:lineRule="auto"/>
        <w:tabs>
          <w:tab w:leader="none" w:pos="10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March 31, 2024, financial (income), net, primarily consisted of $1.6 million of interest income from our money market accounts partially offset by $1.1 million in losses resulting from the remeasurement of warrant liabilities. For the three months ended March 31, 2023, financial (income) net, primarily consisted of $0.6 million of interest income from our money market accounts partially offset by $0.2 million in losses resulting from the remeasurement of warrant liabilities.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we had $120.3 million of cash and cash equivalents ($123.9 million as of December 31, 2023), which we use to finance our operations and support a variety of growth initiatives and investments. We had no debt as of March 31,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next 12 months and thereafter for the foreseeable future using available cash and cash equivalent balances as of March 31, 2024.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Investing and 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condensed consolidated cash flow information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63"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00" w:type="dxa"/>
            <w:vAlign w:val="bottom"/>
            <w:vMerge w:val="continue"/>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ind w:right="536"/>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(3,391 )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(14,037 )</w:t>
            </w:r>
          </w:p>
        </w:tc>
        <w:tc>
          <w:tcPr>
            <w:tcW w:w="0" w:type="dxa"/>
            <w:vAlign w:val="bottom"/>
          </w:tcPr>
          <w:p>
            <w:pPr>
              <w:spacing w:after="0"/>
              <w:rPr>
                <w:sz w:val="1"/>
                <w:szCs w:val="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(385 )</w:t>
            </w:r>
          </w:p>
        </w:tc>
        <w:tc>
          <w:tcPr>
            <w:tcW w:w="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(13,462 )</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-187960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net cash used in operating activities was primarily driven by a lower net loss, an improvement in collections of receivables and a favorable timing of payments of accrued expenses for the three months ended March 31, 2024 compared to the three months ended March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increase in net cash used in investing activities was driven primarily by an increase in capitalized internal-use software costs which is included within purchase of property and equipment in the condensed consolidated statements of cash flows during the three months ended March 31, 2024 compared to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net cash provided by financing activities was driven primarily by an increase in taxes paid related to vested stock-based awards during the three months ended March 31, 2024 compared to March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did not have any short-term or long-term debt, or significant long-term liabilities. As of March 31, 2024, we have a non-material long-term operating lease for our office space in New York, 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As of March 31, 2024 there were no material legal proceedings, claims or litigation.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requiring us to indemnify customers against liabilities if there is a breach of a customer’s data or if our service infringes a third party’s intellectual property rights. To date, we have not incurred any material costs as a result of such indemnifications.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2023.</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accounting policies are essential to understanding and interpreting the financial results reported on the condensed consolidated financial statements. The significant accounting policies used in the preparation of the Company’s consolidated financial statements are summarized in Note 2 to those financial statements in the Company’s Annual Report on Form 10-K for the year ended December 31, 2023.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to matters discussed under the heading “Critical Accounting Policies and Estimates” in Part II, Item 7 of the Company’s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regarding recent accounting developments and their impact on our results can be found in Note 2, “Summary of Significant Accounting Policies and Estimates” in the audited consolidated financial statements included in the Company's Annual Report on Form 10-K for the year ended December 31, 2023 and in Note 2, “Significant Accounting Policies” in the notes to the condensed consolidated financial statements of this Quarterly Report on Form 10-Q.</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of the Company's Annual Report on Form 10-K for the fiscal year ended December 31, 2023. The forward-looking statements in this Quarterly Report are based upon information available to us as of the date of this Quarterly,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read this Quarterly Report and the risk factors discussed in Part I, Item 1A, “Risk Factors” of the Company’s Annual Report on Form 10-K for the fiscal year ended December 31, 2023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on Form 10-Q or any forward-looking statements we may publicly make from time-to-time, whether as a result of any new information, future events or otherwise.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to the information contained in Part II, Item 7A of the Company’s Annual Report on Form 10-K for the year ended December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their evaluation as of March 31, 2024, our management, including our Chief Executive Officer and Chief Financial Officer, have concluded that our disclosure controls and procedures (as defined in Exchange Act Rules 13a-15(e) and 15d-15(e)) were effective to provide reasonable assurance.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(as defined in Rules 13a-15(f) and 15d-15(f) of the Exchange Act) that occurred during the first quarter of fiscal year 2024 that have materially affected, or are reasonably likely to materially affect, our internal control over financial reporting. We will continue to evaluate each quarter whether there are changes that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Effectiveness of Controls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 material pending legal proceedings as of March 31, 2024, for more details see Note 5 “Commitments and Contingencies” in the Notes to Consolidated Financial Statements included in Part I, Item 1 of this Quarterly Report on Form 10-Q, which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factors discussed under Part I, Item 1A. “Risk Factors” in the Company’s Annual Report on Form 10-K for the year ended December 31, 2023.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three months ended March 31, 2024, there were no material changes to the information contained in Part I, Item 1A of the Company's Annual Report on Form 10-K for the year ended December 31, 2023.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“Rule 10b5- 1 trading arrangement” or “non-Rule 10b5-1 trading arrangement” (as the terms are defined in Item 408(a) of Regulation S-K of the Exchange Act) adopted, modified or terminated during the fiscal quarter ended March 31, 2024 by our directors and Section 16 officers.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4" w:name="page25"/>
    <w:bookmarkEnd w:id="2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3"/>
          <w:szCs w:val="23"/>
          <w:b w:val="1"/>
          <w:bCs w:val="1"/>
          <w:color w:val="auto"/>
        </w:rPr>
        <w:t>EXHIBIT INDEX</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Filed/</w:t>
            </w:r>
          </w:p>
        </w:tc>
      </w:tr>
      <w:tr>
        <w:trPr>
          <w:trHeight w:val="236"/>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Furnished</w:t>
            </w:r>
          </w:p>
        </w:tc>
      </w:tr>
      <w:tr>
        <w:trPr>
          <w:trHeight w:val="245"/>
        </w:trPr>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720" w:type="dxa"/>
            <w:vAlign w:val="bottom"/>
            <w:tcBorders>
              <w:bottom w:val="single" w:sz="8" w:color="auto"/>
            </w:tcBorders>
            <w:gridSpan w:val="3"/>
          </w:tcPr>
          <w:p>
            <w:pPr>
              <w:ind w:left="36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18"/>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 13a-14(a)/15d-14(a).</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Borders>
              <w:left w:val="single" w:sz="8" w:color="0000FF"/>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Chief Financial Officer pursuant to Rule 13a-14(a)/15d-14(a).</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23"/>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2</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42"/>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120" w:type="dxa"/>
            <w:vAlign w:val="bottom"/>
          </w:tcPr>
          <w:p>
            <w:pPr>
              <w:spacing w:after="0"/>
              <w:rPr>
                <w:sz w:val="21"/>
                <w:szCs w:val="21"/>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are embedded within the Inline XBRL document.</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5"/>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21"/>
                <w:szCs w:val="21"/>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Schema with Embedded Linkbase Documents.</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Cover Page Interactive Data File (as formatted as Inline XBRL and contained in Exhibit 101).</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Talkspace, Inc.</w:t>
            </w:r>
          </w:p>
        </w:tc>
      </w:tr>
      <w:tr>
        <w:trPr>
          <w:trHeight w:val="47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2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Cohen</w:t>
            </w:r>
          </w:p>
        </w:tc>
      </w:tr>
      <w:tr>
        <w:trPr>
          <w:trHeight w:val="205"/>
        </w:trPr>
        <w:tc>
          <w:tcPr>
            <w:tcW w:w="3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7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2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53"/>
        </w:trPr>
        <w:tc>
          <w:tcPr>
            <w:tcW w:w="3380" w:type="dxa"/>
            <w:vAlign w:val="bottom"/>
          </w:tcPr>
          <w:p>
            <w:pPr>
              <w:spacing w:after="0"/>
              <w:rPr>
                <w:sz w:val="24"/>
                <w:szCs w:val="24"/>
                <w:color w:val="auto"/>
              </w:rPr>
            </w:pPr>
          </w:p>
        </w:tc>
        <w:tc>
          <w:tcPr>
            <w:tcW w:w="2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w:t>
            </w:r>
          </w:p>
        </w:tc>
        <w:tc>
          <w:tcPr>
            <w:tcW w:w="5080" w:type="dxa"/>
            <w:vAlign w:val="bottom"/>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Cohen, certify that:</w:t>
      </w:r>
    </w:p>
    <w:p>
      <w:pPr>
        <w:spacing w:after="0" w:line="22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Cohen</w:t>
            </w:r>
          </w:p>
        </w:tc>
      </w:tr>
      <w:tr>
        <w:trPr>
          <w:trHeight w:val="205"/>
        </w:trPr>
        <w:tc>
          <w:tcPr>
            <w:tcW w:w="34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208"/>
        </w:trPr>
        <w:tc>
          <w:tcPr>
            <w:tcW w:w="34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Fulk, certify that:</w:t>
      </w:r>
    </w:p>
    <w:p>
      <w:pPr>
        <w:spacing w:after="0" w:line="2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08"/>
        </w:trPr>
        <w:tc>
          <w:tcPr>
            <w:tcW w:w="33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28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Cohen</w:t>
            </w:r>
          </w:p>
        </w:tc>
      </w:tr>
      <w:tr>
        <w:trPr>
          <w:trHeight w:val="205"/>
        </w:trPr>
        <w:tc>
          <w:tcPr>
            <w:tcW w:w="3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208"/>
        </w:trPr>
        <w:tc>
          <w:tcPr>
            <w:tcW w:w="33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9, 2024</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24"/>
        </w:trPr>
        <w:tc>
          <w:tcPr>
            <w:tcW w:w="33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2024-05-09T07:11:49Z</dcterms:created>
  <dcterms:modified xsi:type="dcterms:W3CDTF">2024-05-09T07:11:49Z</dcterms:modified>
</cp:coreProperties>
</file>