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205" w:lineRule="auto"/>
        <w:tabs>
          <w:tab w:leader="none" w:pos="480" w:val="left"/>
        </w:tabs>
        <w:numPr>
          <w:ilvl w:val="0"/>
          <w:numId w:val="1"/>
        </w:numPr>
        <w:rPr>
          <w:rFonts w:ascii="MS PGothic" w:cs="MS PGothic" w:eastAsia="MS PGothic" w:hAnsi="MS PGothic"/>
          <w:sz w:val="31"/>
          <w:szCs w:val="31"/>
          <w:color w:val="auto"/>
          <w:highlight w:val="black"/>
          <w:vertAlign w:val="superscript"/>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80" w:right="240" w:hanging="459"/>
        <w:spacing w:after="0" w:line="220" w:lineRule="auto"/>
        <w:tabs>
          <w:tab w:leader="none" w:pos="480" w:val="left"/>
        </w:tabs>
        <w:numPr>
          <w:ilvl w:val="0"/>
          <w:numId w:val="2"/>
        </w:numPr>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19" w:lineRule="exact"/>
        <w:rPr>
          <w:sz w:val="24"/>
          <w:szCs w:val="24"/>
          <w:color w:val="auto"/>
        </w:rPr>
      </w:pPr>
    </w:p>
    <w:p>
      <w:pPr>
        <w:ind w:left="402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TALKSPACE, INC.</w:t>
      </w:r>
    </w:p>
    <w:p>
      <w:pPr>
        <w:sectPr>
          <w:pgSz w:w="11900" w:h="16838" w:orient="portrait"/>
          <w:cols w:equalWidth="0" w:num="1">
            <w:col w:w="11240"/>
          </w:cols>
          <w:pgMar w:left="320" w:top="877"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84-4636604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sectPr>
          <w:pgSz w:w="11900" w:h="16838" w:orient="portrait"/>
          <w:cols w:equalWidth="0" w:num="2">
            <w:col w:w="7460" w:space="400"/>
            <w:col w:w="3380"/>
          </w:cols>
          <w:pgMar w:left="320" w:top="877" w:right="339" w:bottom="1440" w:gutter="0" w:footer="0" w:header="0"/>
          <w:type w:val="continuous"/>
        </w:sectPr>
      </w:pPr>
    </w:p>
    <w:tbl>
      <w:tblPr>
        <w:tblLayout w:type="fixed"/>
        <w:tblInd w:w="1480" w:type="dxa"/>
        <w:tblCellMar>
          <w:top w:w="0" w:type="dxa"/>
          <w:left w:w="0" w:type="dxa"/>
          <w:bottom w:w="0" w:type="dxa"/>
          <w:right w:w="0" w:type="dxa"/>
        </w:tblCellMar>
      </w:tblP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622 Third Avenue, New York, NY</w:t>
            </w:r>
          </w:p>
        </w:tc>
        <w:tc>
          <w:tcPr>
            <w:tcW w:w="26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2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TALK</w:t>
            </w:r>
          </w:p>
        </w:tc>
        <w:tc>
          <w:tcPr>
            <w:tcW w:w="10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TALKW</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(Title of class)</w:t>
      </w:r>
    </w:p>
    <w:p>
      <w:pPr>
        <w:spacing w:after="0" w:line="151" w:lineRule="exact"/>
        <w:rPr>
          <w:sz w:val="24"/>
          <w:szCs w:val="24"/>
          <w:color w:val="auto"/>
        </w:rPr>
      </w:pPr>
    </w:p>
    <w:p>
      <w:pPr>
        <w:ind w:right="1520"/>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6"/>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3"/>
        </w:trPr>
        <w:tc>
          <w:tcPr>
            <w:tcW w:w="2140" w:type="dxa"/>
            <w:vAlign w:val="bottom"/>
            <w:vMerge w:val="continue"/>
          </w:tcPr>
          <w:p>
            <w:pPr>
              <w:spacing w:after="0"/>
              <w:rPr>
                <w:sz w:val="8"/>
                <w:szCs w:val="8"/>
                <w:color w:val="auto"/>
              </w:rPr>
            </w:pPr>
          </w:p>
        </w:tc>
        <w:tc>
          <w:tcPr>
            <w:tcW w:w="3400" w:type="dxa"/>
            <w:vAlign w:val="bottom"/>
            <w:vMerge w:val="continue"/>
          </w:tcPr>
          <w:p>
            <w:pPr>
              <w:spacing w:after="0"/>
              <w:rPr>
                <w:sz w:val="8"/>
                <w:szCs w:val="8"/>
                <w:color w:val="auto"/>
              </w:rPr>
            </w:pPr>
          </w:p>
        </w:tc>
        <w:tc>
          <w:tcPr>
            <w:tcW w:w="5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83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of the Company on June 30, 2025 was $393.2 million based on the per share closing price of the Company's common stock on June 30, 2025 of $2.78.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March 10, 2026 was 167,076,010.</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Portions of the Company's definitive Proxy Statement for the 2026 Annual Meeting of Stockholders to be filed by the Company pursuant to Regulation 14A are incorporated by reference in Part III of this Annual Report on Form 10-K to the extent stated herein. Such Proxy Statement will be filed with the Securities and Exchange Commission within 120 days of the Company's fiscal year ended December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 xml:space="preserve">PCAOB ID: </w:t>
            </w:r>
            <w:r>
              <w:rPr>
                <w:rFonts w:ascii="Times New Roman" w:cs="Times New Roman" w:eastAsia="Times New Roman" w:hAnsi="Times New Roman"/>
                <w:sz w:val="15"/>
                <w:szCs w:val="15"/>
                <w:color w:val="auto"/>
              </w:rPr>
              <w:t>1281</w:t>
            </w:r>
          </w:p>
        </w:tc>
        <w:tc>
          <w:tcPr>
            <w:tcW w:w="5120" w:type="dxa"/>
            <w:vAlign w:val="bottom"/>
          </w:tcPr>
          <w:p>
            <w:pPr>
              <w:ind w:left="520"/>
              <w:spacing w:after="0"/>
              <w:rPr>
                <w:sz w:val="20"/>
                <w:szCs w:val="20"/>
                <w:color w:val="auto"/>
              </w:rPr>
            </w:pPr>
            <w:r>
              <w:rPr>
                <w:rFonts w:ascii="Times New Roman" w:cs="Times New Roman" w:eastAsia="Times New Roman" w:hAnsi="Times New Roman"/>
                <w:sz w:val="15"/>
                <w:szCs w:val="15"/>
                <w:b w:val="1"/>
                <w:bCs w:val="1"/>
                <w:color w:val="auto"/>
              </w:rPr>
              <w:t xml:space="preserve">Auditor Name:   </w:t>
            </w:r>
            <w:r>
              <w:rPr>
                <w:rFonts w:ascii="Times New Roman" w:cs="Times New Roman" w:eastAsia="Times New Roman" w:hAnsi="Times New Roman"/>
                <w:sz w:val="15"/>
                <w:szCs w:val="15"/>
                <w:color w:val="auto"/>
              </w:rPr>
              <w:t>Kost Forer Gabbay &amp; Kasierer, a member of EY</w:t>
            </w:r>
          </w:p>
        </w:tc>
        <w:tc>
          <w:tcPr>
            <w:tcW w:w="382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 xml:space="preserve">Auditor Location: </w:t>
            </w:r>
            <w:r>
              <w:rPr>
                <w:rFonts w:ascii="Times New Roman" w:cs="Times New Roman" w:eastAsia="Times New Roman" w:hAnsi="Times New Roman"/>
                <w:sz w:val="15"/>
                <w:szCs w:val="15"/>
                <w:color w:val="auto"/>
              </w:rPr>
              <w:t>Tel-Aviv, Israel</w:t>
            </w:r>
          </w:p>
        </w:tc>
      </w:tr>
      <w:tr>
        <w:trPr>
          <w:trHeight w:val="198"/>
        </w:trPr>
        <w:tc>
          <w:tcPr>
            <w:tcW w:w="2300" w:type="dxa"/>
            <w:vAlign w:val="bottom"/>
          </w:tcPr>
          <w:p>
            <w:pPr>
              <w:spacing w:after="0"/>
              <w:rPr>
                <w:sz w:val="17"/>
                <w:szCs w:val="17"/>
                <w:color w:val="auto"/>
              </w:rPr>
            </w:pPr>
          </w:p>
        </w:tc>
        <w:tc>
          <w:tcPr>
            <w:tcW w:w="5120" w:type="dxa"/>
            <w:vAlign w:val="bottom"/>
          </w:tcPr>
          <w:p>
            <w:pPr>
              <w:ind w:left="3040"/>
              <w:spacing w:after="0"/>
              <w:rPr>
                <w:sz w:val="20"/>
                <w:szCs w:val="20"/>
                <w:color w:val="auto"/>
              </w:rPr>
            </w:pPr>
            <w:r>
              <w:rPr>
                <w:rFonts w:ascii="Times New Roman" w:cs="Times New Roman" w:eastAsia="Times New Roman" w:hAnsi="Times New Roman"/>
                <w:sz w:val="15"/>
                <w:szCs w:val="15"/>
                <w:color w:val="auto"/>
              </w:rPr>
              <w:t>Global</w:t>
            </w:r>
          </w:p>
        </w:tc>
        <w:tc>
          <w:tcPr>
            <w:tcW w:w="3820" w:type="dxa"/>
            <w:vAlign w:val="bottom"/>
          </w:tcPr>
          <w:p>
            <w:pPr>
              <w:spacing w:after="0"/>
              <w:rPr>
                <w:sz w:val="17"/>
                <w:szCs w:val="17"/>
                <w:color w:val="auto"/>
              </w:rPr>
            </w:pPr>
          </w:p>
        </w:tc>
      </w:tr>
      <w:tr>
        <w:trPr>
          <w:trHeight w:val="150"/>
        </w:trPr>
        <w:tc>
          <w:tcPr>
            <w:tcW w:w="230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r>
        <w:trPr>
          <w:trHeight w:val="1195"/>
        </w:trPr>
        <w:tc>
          <w:tcPr>
            <w:tcW w:w="23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40" w:type="dxa"/>
            <w:vAlign w:val="bottom"/>
            <w:gridSpan w:val="8"/>
          </w:tcPr>
          <w:p>
            <w:pPr>
              <w:ind w:left="2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24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80" w:type="dxa"/>
            <w:vAlign w:val="bottom"/>
            <w:gridSpan w:val="1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52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100" w:type="dxa"/>
            <w:vAlign w:val="bottom"/>
            <w:tcBorders>
              <w:top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000000"/>
              </w:rPr>
              <w:t>]</w:t>
            </w:r>
          </w:p>
        </w:tc>
        <w:tc>
          <w:tcPr>
            <w:tcW w:w="1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4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2"/>
          </w:tcPr>
          <w:p>
            <w:pPr>
              <w:spacing w:after="0"/>
              <w:rPr>
                <w:sz w:val="17"/>
                <w:szCs w:val="17"/>
                <w:color w:val="auto"/>
              </w:rPr>
            </w:pPr>
          </w:p>
        </w:tc>
        <w:tc>
          <w:tcPr>
            <w:tcW w:w="282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20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84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14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12"/>
        </w:trPr>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make behavioral health care available to all and help people everywhere to heal.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Inc. together with its consolidated subsidiaries (referred to herein as the “Company,” “we,” “our,” “us,” or “Talkspace”) is a leading virtual behavioral healthcare company offering its members convenient and affordable access to a fully-credentialed network of highly qualified providers across a wide and growing spectrum of care through virtual psychotherapy and psychiatry. Founded in 2012, Talkspace pioneered message-based therapy, fulfilling an unmet desire of many people to connect with a licensed therapist from anywhere. Today we are a single destination for comprehensive mental health care, including therapy for individuals, couples, and teens, as well as psychiatric treatment and medication management (18+), and self-guided tools and resources. Most Americans have access to Talkspace through their health insurance plans, employee assistance programs, our partnerships with leading healthcare companies, or as a free benefit through their employer, school, or government agency. All care offered at Talkspace is delivered through an easy-to-use, fully-encrypted web and mobile platform that meets HIPAA, federal, and state regulatory requirements.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are comprised of the following:</w:t>
      </w:r>
    </w:p>
    <w:p>
      <w:pPr>
        <w:spacing w:after="0" w:line="144"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from commercial and government institutions, and employee assistance programs (“Payor”), who offer their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vast nationwide network of 5,700+ licensed providers, located across all 50 U.S. states and the District of Columbia, include therapists and psychiatric providers with specialized knowledge of more than 150 conditions and treatment modalities. Our psychiatry clinicians, may at their discretion, refer the member to a primary care provider or in-person psychiatrist if the clinical need arises, including to address potential needs for controlled substances. In accordance with the Drug Enforcement Administration (“DEA”) Ryan Haight Act, Talkspace providers do not prescribe controlled substances.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of fully-credentialed providers is sustained and enhanced by an attractive value proposition to providers, including flexibility, convenience, efficiency, professional development opportunities and compensation. We also believe that our platform provides other benefits to providers through expanded clinical reach, steady access to member referrals, reduced administrative burdens, more efficient time utilization and data-driven clinical insights. We designed our provider network to be scalable and to leverage a hybrid model of both employee providers and independently contracted providers to support multiple growth scenarios.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revenues were $228.9 million compared to $187.6 million for the year ended December 31, 2024. For the year ended December 31, 2025, our clinicians completed 1,617,000 sessions related to members covered under our Payor customers compared to 1,229,200 completed sessions for the year ended December 31, 2024. As of December 31, 2025, we had approximately 5,000 Consumer active members compared to 7,200 Consumer active members as of December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Universal Health Services, Inc.</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2026, we entered into a definitive Agreement and Plan of Merger (the “Merger Agreement”) with Universal Health Services, Inc., a Delaware corporation ("UHS"), and UHS Merger Subsidiary, Inc., a Delaware corporation and an indirect wholly owned subsidiary of UHS ("Merger Subsidiary"), pursuant to which, among other things, Merger Subsidiary will merge with and into us (the “Merger”), with us continuing as the surviving corporation and a wholly-owned subsidiary of UHS.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each issued and outstanding share of our common stock (subject to certain exceptions set forth in the Merger Agreement) will be cancelled and converted into the right to receive $5.25 per share in cash. Following completion of the Merger, we will be delisted from the NASDAQ Global Select Market and deregistered under the Securities Exchange Act of 1934.</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made customary representations and warranties in the Merger Agreement and have agreed to customary covenants regarding the operation of our business prior to the consummation of the Merger.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Consummation of the Merger is subject to customary closing conditions, including termination or expiration of any waiting periods required under the Hart-Scott-Rodino ("HSR") Act and certain specified state healthcare laws, approval by our stockholders and other customary closing conditions. The transaction is expected to close in the third quarter of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subject to, and qualified in its entirety by, the full text of the Merger Agreement, a copy of which is filed as Exhibit 2.1 to the Current Report on Form 8-K filed by us on March 9, 2026. For additional information related to the Merger Agreement, please also refer to the other relevant materials in connection with the transaction that we have filed and will file with the SEC and that will contain important information about us and the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Offerings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 which includes psychotherapy and psychiatry services.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Psychotherapy</w:t>
      </w:r>
      <w:r>
        <w:rPr>
          <w:rFonts w:ascii="Times New Roman" w:cs="Times New Roman" w:eastAsia="Times New Roman" w:hAnsi="Times New Roman"/>
          <w:sz w:val="18"/>
          <w:szCs w:val="18"/>
          <w:color w:val="auto"/>
        </w:rPr>
        <w:t>: In psychotherapy, or “talk therapy,” members work with a licensed therapist or counselor to treat specific mental health conditions like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depression or anxiety, trauma and other human challenges, including development of positive thinking and coping skills. We offer text, audio and video-based psychotherapy from licensed therapists.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Psychiatry</w:t>
      </w:r>
      <w:r>
        <w:rPr>
          <w:rFonts w:ascii="Times New Roman" w:cs="Times New Roman" w:eastAsia="Times New Roman" w:hAnsi="Times New Roman"/>
          <w:sz w:val="18"/>
          <w:szCs w:val="18"/>
          <w:color w:val="auto"/>
        </w:rPr>
        <w:t>: In psychiatry, members receive personalized, expert care from a prescriber who specializes in mental healthcare and prescription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packages include an initial video consultation and follow-up video appointments as needed based on clinical need. Like the traditional in-person medication management models, Talkspace providers can prescribe medication they deem necessary with the exception of controlled substances. If, in the provider’s discretion, the member requires in-person care in order to be prescribed a controlled substance or because their needs are unable to be met in a virtual care setting, referrals and coordination of care can be made with local providers.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pursuit of our mission to expand access to all individuals in need of behavioral healthcare services, we strive to deliver effective care to a diverse customer base, with members from all socioeconomic backgrounds, ages, genders, ethnicities, geographies and income level who are located across all 50 U.S. states and select international markets. Our customers include: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Payor: We contract with a number of health insurance plans from commercial and government institutions and employee assistance programs to provide virtual therapy to their members. Members receive care directly covered through their individual health insurance plan or employee assistance program where our providers are considered in-network or pay a flat rate per session or interaction.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DTE: We contract directly with enterprises to provide their enterprise members unlimited synchronous and asynchronous care primarily on a per-member-per-month (“PMPM”) or paid-per-use (“PPU”) basis or as a fixed monthly fee. Enterprises include employers, academic organizations, higher education, and government entities and their members include employees, military personnel, students, and teens.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Consumer: We offer monthly, quarterly, bi-annual and annual membership subscription as well as supplementary a la carte offerings to individual subscribers who subscribe directly to our platform through a subscription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virtual therapy offers an attractive opportunity to improve behavioral health through data science and machine learning. Through digital phenotyping and predictive modeling, the data imprint left by interactions on our platform opens a new, quantitative viewpoint into the behavioral health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use and disclose protected health information of the members who utilize our technology platform or therapeutic services, (ii) implement reasonable administrative, physical, and technical safeguards to protect such information from misuse or cyber-attacks, and (iii) assist our customers with certain duties such as access to information under the privacy standards, among other program elements. We require our agents and subcontractors who have access to such information to enter into written agreements that require them to meet the same standards for security and privacy. We obtain third-party examinations of our controls relating to security and data privacy. In particular, we regularly obtain a Type II Service Organization Control SOC 2 report (Reporting on Controls at a Service Organization relevant to security, availability and privacy). We also retain outside consultants to regularly assess our vulnerability through penetration testing and analysis of our compliance with the HIPAA Security Rule.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154305</wp:posOffset>
            </wp:positionV>
            <wp:extent cx="4877435" cy="2082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774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Matching algorithm</w:t>
      </w:r>
      <w:r>
        <w:rPr>
          <w:rFonts w:ascii="Times New Roman" w:cs="Times New Roman" w:eastAsia="Times New Roman" w:hAnsi="Times New Roman"/>
          <w:sz w:val="18"/>
          <w:szCs w:val="18"/>
          <w:color w:val="auto"/>
        </w:rPr>
        <w:t>: We utilize machine learning to create a custom match for each new member. Our matching algorithm combines information from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and unstructured sources to predict which therapists have the greatest chance of success with each patient. Our matching model concurrently gathers member and historical outcomes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Robust data ecosystem</w:t>
      </w:r>
      <w:r>
        <w:rPr>
          <w:rFonts w:ascii="Times New Roman" w:cs="Times New Roman" w:eastAsia="Times New Roman" w:hAnsi="Times New Roman"/>
          <w:sz w:val="18"/>
          <w:szCs w:val="18"/>
          <w:color w:val="auto"/>
        </w:rPr>
        <w:t>: We have a closed-loop data ecosystem providing a multi-dimensional view of the individuals who seek treatment on our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data provides a holistic picture of each user – diagnoses, treatment plans, medical history, personal history, and clinical outcomes. Our data contains over 8.6 billion words sent by millions of users via approximately 153 million anonymized messages. We have over 7.3 million completed psychological assessments. Our data contains information about members collected by therapists, including approximately 1.6 million diagnoses and approximately 6.2 million progress and psychotherapy notes. Our data also contains information about therapists reported by members, including over 3.6 million therapist ratings. We believe the size and depth of our clinical data is vast relative to the industry and is a differentiating element of our digitally-native modality.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Empowering providers to deliver enhanced care</w:t>
      </w:r>
      <w:r>
        <w:rPr>
          <w:rFonts w:ascii="Times New Roman" w:cs="Times New Roman" w:eastAsia="Times New Roman" w:hAnsi="Times New Roman"/>
          <w:sz w:val="18"/>
          <w:szCs w:val="18"/>
          <w:color w:val="auto"/>
        </w:rPr>
        <w:t>: Our providers are equipped with tools that allow them to optimize time utilization and improve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One of the leading challenges in behavioral healthcare is a patient’s premature termination of engagement with the provider and, thus, a core focus of our machine learning strategy is to drive member 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data intelligence platform, help providers to deliver effective treatments to their patients, and raise members’ awareness when tracking their own clinical progress.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Performance tracking and feedback</w:t>
      </w:r>
      <w:r>
        <w:rPr>
          <w:rFonts w:ascii="Times New Roman" w:cs="Times New Roman" w:eastAsia="Times New Roman" w:hAnsi="Times New Roman"/>
          <w:sz w:val="18"/>
          <w:szCs w:val="18"/>
          <w:color w:val="auto"/>
        </w:rPr>
        <w:t>: Our “Intro and Expectations” system detects whether providers have followed best practices in the crucial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as competitors those companies whose primary business is developing and marketing telehealth and virtual behavioral health platforms and services. Key competitive factors include technology, breadth and depth of functionality, range of associated services, operational experience, customer support, extent of customer and member bases and reputation, among other factors. Our key competitors in the telehealth and teletherapy markets are Teladoc Health, Inc., Lyra Health, Inc., American Well Corp., and Spring Care, Inc., among other industry participants.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virtual behavioral health tools and may provide these solutions to their consumers at discounted prices. In the future we may face competition from large technology companies, such as Apple, Meta, Verizon, or Microsoft, who may wish to develop their own virtual behavioral health solutions, as well as from large retailers like Walmart. We believe that the breadth of our existing customer and member bases, the depth of our technology platform, and our business-to-business focus on integrating freely with multiple platforms increases the likelihood that stakeholders seeking to develop virtual behavioral healthcare solutions will choose instead to collaborate with Talkspace.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Therapists, Physicians and Healthcare Professionals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Talkspace LLC, our wholly-owned subsidiary, is party to various agreements including Management Services Agreements (“MSAs”) with Talkspace Provider Network, PA (“TPN”), a Texas professional association entity, which in turn contracts with our other affiliated professional entities ("PC entities"), physicians, therapists, and other licensed professionals for clinical and professional services provided to our members. Pursuant to the MSAs, Talkspace LLC is the managing entity (the “Manager”) and provides management and administrative resources and services essential to the operations of these entities and receives a management fee for these services and reimbursement of expenses incurred. TPN and the PC entities in turn have the obligation under the MSAs to engage all licensed physicians and other health professionals to provide behavioral healthcare services to our customers.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structure in which we operate under various MSAs with professional associations and professional corporations authorized by state law to contract with affiliated professionals to deliver teletherapy services to our customers, helps ensure we are able to comply with all applicable regulatory requirements, including the corporate practice of medicine and fee-splitting laws, that are necessarily implicated by engaging in telehealth care that can only be delivered by physicians.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“Variable Interest Entities” in the notes to consolidated financial statements included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Overview</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workforce is critical to the creation and delivery of its services and the success of the Company. Our ability to attract, develop and retain talented employees and independent contractors with the skills and capabilities needed by our business is a key component of our long-term growth and our mission of providing more people with convenient access to quality, affordable behavioral healthcare. The Company views full-time employees and independently contracted providers as its total workforce, and each is eligible for the various formal and informal programs and resources to support, recruit, train and retain its team members. The Company's human capital network includes, but is not limited to, employee and independently contracted providers (licensed therapists, psychologists, psychiatrists), as well as employees in various support functions throughout the Company. The human capital needs and strategy of our business is overseen by the Company's Board of Directors and Chief Executive Officer and supported by the Company’s Human Resources Department, which reports directly to the Chief Executive Officer. As of December 31, 2025, we had 598 employees comprised of 349 providers and 249 professionals supporting the accounting, finance, technology, sales, marketing and other support functions and 5,396 independently contracted providers.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Tone at the top is what drives us. We are committed to maintaining a respectful, secure and supportive workplace culture with open communication and accessible, safe channels for feedback. Our Company’s Core Values are Innovation, Quality and Kindness. In addition, all employees are required to complete training and affirm compliance with the Talkspace Code of Business Conduct and Ethics (the “Code”), which confirms the Company’s policy to conduct its affairs in compliance with all applicable laws and regulations and observe the highest standards of business ethics. The Code is reviewed regularly by the Audit Committee and approved by the Board of Directors and is complemented by other policies and training. Any violations of our Code are encouraged to be immediately reported and are kept anonymously.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Talkspace is committed to creating and maintaining a workplace in which all employees have an opportunity to participate and contribute to the success of the business. Talkspace provides equal employment opportunities to all employees and applicants for employment without regard to race, color, ancestry, national origin, gender, sexual orientation, marital status, religion, age, disability, gender identity, results of genetic testing, or service in the military. Equal employment opportunity applies to all terms and conditions of employment, including hiring, placement, promotion, separation, transfers, compensation, and training. The Company is committed to cultivating diversity and broadening opportunities for inclusion across its business through its recruitment practices, employee development and mentoring and inclusivity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committed to hiring the most qualified candidates to fill open positions. Whenever appropriate and possible, open positions are filled with internal candidates to help team members in their career development and enrich a culture of growth. Compensation and benefits programs are focused on attracting, retaining and motivating the top talent necessary to achieve the Company’s mission in ways that reflect its diverse workforce’s needs and priorities. In addition to competitive salaries, the Company and its businesses have established short and long-term incentive programs including stock-based compensation awards and cash-based performance bonus awards, which are designed to motivate and reward performance against key business objectives and facilitate retention. Performance bonus allocations are provided based on the organization meeting its financial goals, the employee achieving goals set by their supervisor, and per the employment agreements and/or any other written agreement. In addition, the Company provides retirement benefits and other comprehensive benefit options to meet the needs of its employees, including healthcare benefits, 401(k) Company match, tax advantaged savings vehicles, life and disability insurance, paid time off, flexible working arrangements, generous parental leave policies and access to wellness programs.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growth mindset culture begins with valuing learning over knowing – seeking out new ideas, driving innovation, embracing challenges, learning from failure, and improving over time. The Company strives to provide mentorship and career development to existing employees to help everyone on the team reach their full potential and employees are encouraged to reach out to their supervisors if further development training is needed.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people leader learning and development, including self-paced learning modules, regular People Leader sessions and asynchronous learning and communication opportunities. In addition, the Company provides ongoing training in areas related to HIPAA, Cybersecurity, Security and Privacy Controls, Fraud Waste, and Abuse and Anti-Harassment and Discrimination training,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can become more restrictive,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an additional discussion of our regulatory environment, see “Risk Factors—Risk Related to Our Legal and Regulatory Environment” included in Part I, Item 1A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Telehealth and Teletherapy Provider Licensing, Medical Practice, Certification and Related Laws and Guidelines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and licensed professional services (including the provision of remote care), equipment, personnel, operating policies and procedures and the prerequisites for the prescription of medication and ordering of tests. The application of some of these laws to telehealth and teletherapy is evolving, and subject to ongoing rulemaking, regulatory guidance, and differing interpretations. Certain aspects of remote prescribing, including prescribing of controlled substances via telemedicine, are also subject to evolving federal requirements, including through agency rules and guidance, and state requirements.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Laws in the U.S.; Fee Splitting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contract with therapists directly, or through their affiliated professional entities, as well as with professional associations and, professional corporations owned by affiliated physicians (collectively, “PCs”), to provide access to our platform and to provide therapy to their patients. We have entered into MSAs with TPN and the PC entities pursuant to which we provide billing, scheduling and a wide range of other administrative and management services in exchange for management and other service fees. These contractual relationships are subject to various state laws that prohibit fee splitting or the corporate practice of the applicable professional services by lay entities or persons and that are intended to prevent unlicensed persons from interfering with or influencing a licensed professional’s clinical judgment. Activities other than those directly related to the delivery of healthcare may be considered an element of the practice of the applicable profession in many states. Under the corporate practice of doctrines of certain states, decisions and activities such as contracting, setting rates and the hiring and management of personnel may fall under the restrictions on the corporate practice prohibition.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corporate practice doctrines and fee splitting laws and rules vary from state to state.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Fraud and Abuse Laws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enrollment in Medicare, some services are currently reimbursed by government healthcare programs, which could expose our business to broadly applicable fraud and abuse laws and other healthcare laws and regulations that would regulate the business. Applicable and potentially applicable U.S. federal and state healthcare laws and regulations include, but are not limited to, those discussed below.</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federal self-referral prohibitions, commonly known as the Stark Law. Where applicable, this law prohibits a physician from referring Medicare patients to an entity providing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$26,125 per claim submitted and twice the value of each such service and exclusion from the federal healthcare programs.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$174,172 for a circumvention scheme.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the PC entities or our affiliated physicians could have a material adverse effect on our business, financial condition and results of operations.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the federal Anti-Kickback Statute for services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$105,563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$13,508 to $27,018 for each false claim, plus up to three times the amount of damages sustained by the federal government. An FCA violation may provide the basis for exclusion from the federally funded healthcare programs.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 Fraud and Abuse Laws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FCA established several separate criminal penalties for making false or fraudulent claims to insurance companies and other non-governmental payers of healthcare services. Under FCA,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 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Furthermore,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Federal Health Information Privacy and Security Laws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including health information. In particular, HIPAA imposes a number of requirements on covered entities and their business associates relating to the use, disclosure and safeguarding of protected health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 information.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expectations regarding administrative, technical, and physical safeguards continue to evolve, including through regulatory guidance and proposed updates to HIPAA security requirements.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Violations of HIPAA may result in civil and criminal penalties. However, a single breach incident can result in violations of multiple standards, including privacy, security, and breach notification requirements. Our management responsibilities to TPN and the PC entities include assisting it with its obligations under HIPAA’s breach notification rule. Under the breach notification rule, covered entities must notify affected individuals without unreasonable delay and no later than 60 days following the discovery of a breach of unsecured protected health information (“PHI”), which may compromise the privacy, security or integrity of the PHI. In addition, notification must be provided to the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customers of breaches by the business associate. State attorneys general may also enforce HIPAA violations, and overlapping state laws may impose additional obligations.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protective/restrictive than HIPAA, we must comply with the state laws we are subject to, in addition to HIPAA. In certain cases, it may be necessary to modify our existing or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could change rapidly, and there is currently a new federal privacy law or federal breach notification law under consideration to which we may be subject.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Additionally, the California Privacy Rights Act (“CPRA”), which came into effect on January 1, 2023, significantly amends and expands the CCPA, including by providing consumers with additional rights with respect to their personal information. The CPRA also creates a new state agency that will be vested with authority to implement and enforce the CCPA and the CPRA. Laws similar to the CCPA and CPRA have passed in Colorado, Connecticut, Iowa, Indiana, Montana, Tennessee, Texas, Oregon, Utah, Virginia, and Washington and are expected in other states and at the federal level, reflecting a trend toward more stringent privacy legislation in the United States.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states have adopted or may adopt laws that regulate consumer health data specifically and may impose requirements beyond those applicable to other categories of personal information. In recent years, there have been a number of well publicized data breaches involving the improper use and disclosure of personal information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providing credit monitoring services and/or other relevant services to impacted individuals. In addition, under HIPAA, breach notification laws and pursuant to the related contracts that we enter into with our customers who are covered entities, we must report breaches of unsecured PHI to our customers following discovery of the breach. Notification must also be made in certain circumstances to affected individuals, federal authorities and others.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our business that we establish intellectual property and maintain, protect and enforce our intellectual property rights. We rely on a combination of patent, copyright, trademark and trade secret laws, as well as confidentiality procedures and contractual provisions and other legal rights to establish and enforce our brand, proprietary technology and other intellectual property rights.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13, 2026, the Company has been approved for one patent in the United States related to “System and Method in Monitoring Engagement” which relates to the tracking of therapeutic progress between therapist and customer. We also have one patent that is pending and several other provisional applications in the United States. We intend to continue to apply for additional patents relating to our software and technology. We cannot assure whether any of our patent applications will result in the issuance of a patent or whether the examination process will require us to narrow our claims.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Sentia AI, LLC is Talkspace’s wholly-owned subsidiary dedicated to proprietary AI development. “Sentia” refers to Talkspace’s behavioral-health-focused large language model (“LLM”) that Talkspace intends to utilize in future products, primarily where a member has a conversation with an agent. Other products that may use the LLM could be using the model in other healthcare systems, creating a special condition-based agent, or other use cases. Sentia is also the name of the user-facing product, currently in beta testing, that enables people to chat with the Sentia LLM about their mental health and well-being (the “Sentia Project”). The Sentia Project incorporates several other subsystems, including risk models, quality models, and the quality management system. Talkspace has developed a proprietary Clinical Quality Model to evaluate the quality of the content the Sentia LLM produces. More specifically, we use this algorithm to assess the Sentia LLM’s alignment with what a well-trained, skilled, and licensed therapist would say in a given clinical setting — recognizing that the Sentia Project is not therapy and is not intended to diagnose, treat, cure, or prevent any disease. The Sentia Project instead utilizes five distinct risk algorithms to automatically assess the potential presence of clinical risk based on the user’s asynchronous communications with the model. At this point, the system can flag chat sessions needing elevated therapy service.</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and use trademarks and service marks on or in connection with our business and services, including both registered marks and unregistered trademarks in the United States. In addition, we rely on other forms of intellectual property protection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Although we take steps to protect our trade secrets and know-how, third parties may independently develop or otherwise gain access to our trade secrets and know-how by lawful means. We require our employees, consultants and certain of our contractors to execute confidentiality agreements in connection with their employment or consulting relationships with us but we cannot guarantee that we have executed such agreements with all applicable counterparties. Furthermore, these agreements may be breached, and we may not have an adequate remedy for any such breach. We also require our employees and consultants to disclose and assign to us inventions conceived during the term of their employment or engagement while using our property or which relate to our business. We also license certain intellectual property rights that are used in our business from third parties.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intellectual property arising in the ordinary course of our business, including opposition to our applications for patents, trademarks,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place of business is at 622 Third Avenue, New York, NY 10017 and its telephone number is (212) 284-7206. The Company's website address is talkspace.com. The Company makes available free of charge on the investors section of its website the Annual Reports on Form 10-K, Quarterly Reports on Form 10-Q, Current Reports on Form 8-K, Proxy Statements and other SEC filings and all amendments to those reports filed or furnished to the SEC pursuant to Section 13(a), 14 or 15(d) of the Exchange Act, as soon as reasonably practicable after we file or furnish such materials to the SEC. The SEC also maintains a website (www.sec.gov) that contains these reports, proxy, information statements and other information. The information on our website is not, and will not be deemed to be, a part of this Annual Report on Form 10-K or incorporated into any of our other filings with the SEC, except where we expressly incorporated such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Certain statements in “Risk Factors” are forward-looking statements, see “Forward-Looking Statements” in Part II Item 7.</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as to “Talkspace,” the “Company,” “we,” “us” or “our” refer to the business of Talkspace, Inc. and its consolidated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risks known to us. Please carefully consider the following risk factors together with all other information included in this Form 10-K and our other publicly filed documents when investing in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Merger with Universal Health Services, Inc.</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 may result in disruptions to our business, divert management's attention, disrupt our relationships with third parties and employees, and result in negative publicity, customer concerns, or legal proceedings, any of which could negatively impact our operating results and ongoing business.</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Merger could negatively impact our stock price and future business. The Merger is subject to several closing conditions, including the approval by our stockholders, regulatory clearances, and other customary closing conditions, which may not be satisfied at all or in the anticipated timeframe.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provisions that limit our ability to pursue alternative transactions and may require us to pay a substantial termination fee.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targets of securities class action and derivative lawsuits, which could result in substantial costs and may prevent or delay consummation of the Merger, divert management’s attention, and otherwise materially harm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direct and indirect costs as a result of the Merger.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consummated, our stock price may decline, and we will have incurred substantial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w:t>
      </w:r>
    </w:p>
    <w:p>
      <w:pPr>
        <w:spacing w:after="0" w:line="67"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indicate growth, and we may experience difficulties in managing our growth and expanding our operations, which could have a material adverse effect on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in our industry presents us with significant risks and challenges.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financial condition and results of operations will be harmed.</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material portion of our revenue from our largest customers. The loss, termination, or renegotiation of any contract with such customers could negatively impact our results.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secure customers' contract renewals, our business, financial condition and results of operations will be harmed.</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and profitability of our business will depend in large part upon the effectiveness and efficiency of our marketing efforts, and our ability to develop brand awareness cost-effectively.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achieving broad market education and changing consumer purchasing habits.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 that we provide services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affecting spending by the healthcare industry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and social media engagement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medical liability claims, which could cause us to incur significant expenses and may require us to pay significant damages if not covered by insurance.</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prevalence of enterprise-sponsored healthcare or the emergence of new technologies may adversely impact our DTE business or require us to expend significant resources in order to remain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platforms such as the Apple App Store and the Google Play App Store, to distribute our platform and offerings.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data center providers, Internet infrastructure, bandwidth providers, third-party computer hardware and software, other third parties and our own systems for providing services to our customers and members, and any failure or interruption in the services provided by these third parties or our own systems could expose us to litigation and negatively impact our relationships with customers and members, adversely affecting our brand and our business.</w:t>
      </w:r>
    </w:p>
    <w:p>
      <w:pPr>
        <w:spacing w:after="0" w:line="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vendors have experienced cybersecurity incidents from time to time. If our or our vendors’ security measures fail or are breached in the future and unauthorized access to a customer’s data or information systems is obtained, our services may be perceived as insecure, we may incur significant liabilities, our reputation may be harmed, and we could lose sales, customers and members.</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adverse tax, legal and other consequences if the employment status of providers on our platform is challenged.</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1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certain other attributes may be subject to certain limitations.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key employees or an inability to attract and retain highly skilled employees could adversely affect our business.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21" w:lineRule="exact"/>
        <w:rPr>
          <w:sz w:val="20"/>
          <w:szCs w:val="20"/>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legal challenges to our business model or by actions restricting our ability to provide the full range of our services in certain jurisdictions.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government regulations may result in increased costs or adversely affect our results of operations.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customers are found to violate state laws prohibiting the corporate practice of medicine or fee splitting.</w:t>
      </w:r>
    </w:p>
    <w:p>
      <w:pPr>
        <w:spacing w:after="0" w:line="17"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ongoing healthcare legislation and other changes in the healthcare industry and in healthcare spending is currently unknown, but may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protected health information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customer base and member bases and revenue.</w:t>
      </w:r>
    </w:p>
    <w:p>
      <w:pPr>
        <w:spacing w:after="0" w:line="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enforce or defend our intellectual property rights could impair our ability to protect our technology and our brand.</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challenge the validity of our trademarks and patents or oppose trademark and patent applications. Companies with other patents could require us to stop using or pay to use required technology.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as a result of any claim of infringement of another party’s intellectual property rights.</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software may not operate properly, which could damage our reputation, give rise to claims against us or divert application of our resources from other purposes, any of which could harm out business, financial conditions and results of operations.</w:t>
      </w:r>
    </w:p>
    <w:p>
      <w:pPr>
        <w:spacing w:after="0" w:line="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our Warrants and Operating as a Public Company</w:t>
      </w:r>
    </w:p>
    <w:p>
      <w:pPr>
        <w:spacing w:after="0" w:line="121"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resales of our common stock may cause the market price of our securities to drop significantly, even if our business is doing well.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investor's percentage of ownership in the Company may be diluted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warrants prior to their exercise at a time that is disadvantageous to you, thereby making your warrants worthless.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MERGER WITH UNIVERSAL HEALTH SERVICES, INC.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may result in disruptions to our business, divert management's attention, disrupt our relationships with third parties and employees any of which could negatively impact our operating results and ongoing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generally requires us to operate our business in the ordinary course, consistent with past practices, subject to certain exceptions, including as required by applicable law, pending consummation of the Merger, and restricts us from taking certain actions without UHS’s consent until the Merger is completed or the Merger Agreement is terminated in accordance with its terms. These limitations include, among other things, restrictions on our ability to acquire other businesses and assets, dispose of our assets, enter into certain contracts, repurchase or issue securities, pay dividends, make capital expenditures, take certain actions relating to intellectual property, amend our organizational documents, and incur indebtedness. These restrictions may prevent us from pursuing strategic business opportunities, making new significant capital expenditures, or reacting to changing market conditions and may affect our ability to execute our business strategies and attain financial and other goals and may impact our financial condition, results of operations and cash flows.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proposed Merger could cause disruptions to our business or business relationships with our existing and potential Payors, enterprise clients customers, other business partners and therapy providers, and this could have an adverse impact on our results of operations. Parties with which we have business relationships may experience uncertainty as to the future of such relationships and may delay or defer certain business decisions, seek alternative relationships with third parties, or seek to negotiate changes or alter their present business relationships with us. Parties with whom we otherwise may have sought to establish business relationships may seek alternative relationships with third parties.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pending Merger, our current and prospective employees may experience uncertainty about their future roles with us following the Merger, which may materially adversely affect our ability to attract and retain key personnel and other employees while the Merger is pending. Key employees may depart because of issues relating to the uncertainty or a desire not to remain with us following the Merger, and may depart prior to the consummation of the Merger. Accordingly, no assurance can be given that we will be able to attract and retain key employees to the same extent that we have been able to in the past.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pursuit of the Merger may place a significant burden on management and internal resources, which may have a negative impact on our ongoing business. It may also divert management’s time and attention from the day-to-day operation of our remaining businesses and the execution of our other strategic initiatives. This could adversely affect our financial results. In addition, we have incurred and will continue to incur other costs, expenses, and fees for professional services and other transaction costs in connection with the proposed Merger.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 foregoing, individually or in combination, could materially and adversely affect our business, our financial condition and our results of operations and prospects.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our stock price and future business. The Merger is subject to several closing conditions, including the approval by our stockholders, regulatory clearances, and other customary closing conditions, which may not be satisfied at all or in the anticipated timeframe.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the completion of the Merger is subject to customary conditions. Satisfaction of certain of the conditions is not within our control, and difficulties in otherwise satisfying the conditions may prevent, delay or otherwise materially adversely affect the consummation of the Merger. It also is possible that an event, occurrence, revelation or development of a state of circumstances or facts since the date of the Merger Agreement may have or reasonably be expected to have a “Material Adverse Effect” (as defined in the Merger Agreement) on us, the non-occurrence of which is a condition to the consummation of the Merger. We cannot predict with certainty whether and when any of the required conditions will be satisfied (or waived, if applicable). If the Merger does not receive, or timely receive, the required regulatory approvals and clearances, including antitrust clearance under the HSR Act or approval under state healthcare laws, or if another event occurs delaying or preventing the Merger, such delay or failure to complete the Merger may create uncertainty or otherwise have negative consequences that may materially and adversely affect our financial condition and results of operations, as well as the price per share for our common stock. If the Merger is not completed within the expected timeframe or at all, we may be subject to a number of material risks, including:</w:t>
      </w:r>
    </w:p>
    <w:p>
      <w:pPr>
        <w:spacing w:after="0" w:line="140" w:lineRule="exact"/>
        <w:rPr>
          <w:sz w:val="20"/>
          <w:szCs w:val="20"/>
          <w:color w:val="auto"/>
        </w:rPr>
      </w:pPr>
    </w:p>
    <w:p>
      <w:pPr>
        <w:ind w:left="1020" w:hanging="503"/>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decline significantly, as the current market price may reflect the market assumption that the Merger will be completed and, thus, an "acquisition premium".</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ability to remain an independent, viable competitor in the virtual behavioral health space may be diminished.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publicity and/or reactions from our investors, Payors, enterprise clients customers, other business partners, therapy providers and employees.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limit our ability to pursue alternative transactions and may require us to pay a substantial termination fee.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includes “no-shop” restrictions that prohibit us from soliciting alternative takeover proposals from third parties or engaging in discussions regarding such proposals, subject to limited fiduciary exceptions. If the Merger Agreement is terminated under specified circumstances, including if the Board changes its recommendation or if we terminate the agreement to enter into a “Superior Proposal” (as defined in the Merger Agreement), we will be required to pay UHS a termination fee of $32.4 million. These provisions could discourage potential third-party acquirers from proposing a transaction that might be more favorable to our stockholders.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targets of securities class action and derivative lawsuits, which could result in substantial costs and may prevent or delay consummation of the Merger, divert management’s attention, and otherwise materially harm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companies and their directors often face security class action and derivative lawsuits after having entered into acquisition, merger, or other business combination agreements like the Merger Agreement. Among other remedies, the plaintiffs in these lawsuits may seek damages or to enjoin the Merger. There can be no assurances that we will be successful in the outcome of any lawsuits challenging the Merger.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the outcome of any pending or future litigation related to the Merger, such litigation can be costly, time-consuming, may distract our management from running the day-to-day operations of our business and could delay the completion of the Merger, which could prevent the Merger from becoming effective, or otherwise negatively impact our business, operating results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direct and indirect costs as a result of the Merger.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already incurred, and expect to continue to incur, substantial non-recurring costs in connection with the Merger. These costs include:</w:t>
      </w:r>
    </w:p>
    <w:p>
      <w:pPr>
        <w:spacing w:after="0" w:line="171" w:lineRule="exact"/>
        <w:rPr>
          <w:sz w:val="20"/>
          <w:szCs w:val="20"/>
          <w:color w:val="auto"/>
        </w:rPr>
      </w:pPr>
    </w:p>
    <w:p>
      <w:pPr>
        <w:ind w:left="1020" w:right="140" w:hanging="503"/>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and Professional Fees: Significant financial advisory, legal, and accounting fees that are payable regardless of whether the Merger is consummated.</w:t>
      </w:r>
    </w:p>
    <w:p>
      <w:pPr>
        <w:spacing w:after="0" w:line="1" w:lineRule="exact"/>
        <w:rPr>
          <w:rFonts w:ascii="Times New Roman" w:cs="Times New Roman" w:eastAsia="Times New Roman" w:hAnsi="Times New Roman"/>
          <w:sz w:val="18"/>
          <w:szCs w:val="18"/>
          <w:color w:val="auto"/>
        </w:rPr>
      </w:pPr>
    </w:p>
    <w:p>
      <w:pPr>
        <w:ind w:left="1020" w:right="460" w:hanging="503"/>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Compensation: Costs associated with retention bonuses or other payments to key executives and employees to ensure business continuity through the expected completion of the Merger in the third quarter of 2026.</w:t>
      </w:r>
    </w:p>
    <w:p>
      <w:pPr>
        <w:spacing w:after="0" w:line="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Significant management time and internal resources have been, and will continue to be, diverted from our long-term strategic plan (such as expanding our Payor network) to focus on the merger integration and regulatory approvals.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expenses will reduce our cash reserves and could adversely affect our financial condition and results of operations in the quarters leading up to the completion of the Merger. If the Merger is not completed, we will have spent significant sums without realizing any of the benefits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 is not consummated, our stock price may decline, and we will have incurred substantial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is not completed for any reason, we will remain an independent public company. In such an event:</w:t>
      </w:r>
    </w:p>
    <w:p>
      <w:pPr>
        <w:spacing w:after="0" w:line="171" w:lineRule="exact"/>
        <w:rPr>
          <w:sz w:val="20"/>
          <w:szCs w:val="20"/>
          <w:color w:val="auto"/>
        </w:rPr>
      </w:pPr>
    </w:p>
    <w:p>
      <w:pPr>
        <w:ind w:left="1020" w:right="200" w:hanging="503"/>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Our stock price may decline to the extent that the current market price reflects the market assumption that the Merger will be completed and, thus, an "acquisition premium".</w:t>
      </w:r>
    </w:p>
    <w:p>
      <w:pPr>
        <w:spacing w:after="0" w:line="1"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We will have incurred significant legal, financial, and advisory fees regardless of whether the Merger closes, diverting significant resources from other strategic opportunities and ongoing business activities without realizing the anticipated benefits of the Merger.</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Failure to complete the Merger could result in negative perceptions among investors and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indicate growth, and we may experience difficulties in managing our growth and expanding our operations, which could have a material adverse effect on the market price of our common stock.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the last several years, and therefore our recent revenue growth rate and financial performance should not be considered indicative of our future performance. From 2023 to 2024 and 2024 to 2025, our revenue grew at a compound annual rate of 25.0% and 22.0%, respectively.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Even if our key metrics suggest potential growth, we may not continue to grow our revenue or generate net income.</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growth will depend, in part, on our ability to grow our revenue from existing customers and members, to acquire potential future customers and members, especially our Payor and DTE customers, and to expand our customer, member and provider bases. We can provide no assurances that we will be successful in executing on these growth strategies. Our ability to execute on our existing sales pipeline, create additional sales pipelines, and expand our customer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customers and members may be slower to adopt our services than we currently anticipate, which could adversely affect our results of operations and growth prospects.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managing growth and expanding our operations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If we fail to maintain effective internal control over financial reporting in the future, our ability to produce accurate and timely financial statements could be impaired, which may adversely affect investor confidence in us and, as a result, the value of our common stock. Additionally, rapid growth in our business may place a strain on our human and capital resources as well as our systems and controls. Any inability to effectively scale our operations or maintain robust controls could materially and adversely affect our business, financial condition, results of operations, and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our industry presents us with significant risks and challenges.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virtual behavioral health market is characterized by rapid technological change, changing consumer requirements, short product lifecycles and evolving industry standards. Currently, the virtual behavioral health sector is undergoing a transformation in technological capabilities. As LLMs and ML architectures evolve at an unprecedented pace, market leadership depends on the ability to integrate next-generation intelligence that anticipates—rather than just reacts to—changing consumer needs. Our success is tethered to our agility: we must not only refine our current ecosystem but aggressively pioneer and acquire the breakthrough technologies that define the future of clinical engagement.</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Sentia AI, LLC, our wholly-owned subsidiary focused on proprietary AI development, has created a behavioral-health-specialized LLM named “Sentia” designed to power the next generation of member-agent interactions. Sentia currently exists as a beta-tested, user-facing interface product where members engage with our LLM regarding their mental well-being. This model does not replace clinicians but extends their reach, adhering to strict clinical standards while identifying millions of new users who may require human intervention. While we believe this integration will enhance member engagement and reduce clinician burnout, the cost of compute resources associated with LLMs may impact our technology and development expenses. Furthermore, if the AI-generated outputs fail to meet clinical or regulatory standards, it could result in increased liability or decreased user trust, reputational harm, additional regulatory scrutiny, and reduced demand for our services.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be able to utilize our resources successfully and avoid technological or market obsolescence. Further, there can be no assurance that advancements in artificial intelligence and machine-learning by one or more of our competitors or future competitors, will not result in our present or future software-based products and services becoming uncompetitive or obsolete.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virtual behavioral health market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Teladoc Health, Inc., Lyra Health, Inc., American Well Corp., and Spring Care, Inc., among other small industry participants.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telehealth and teletherapy tools and may provide these solutions to their consumers at discounted prices. Competition may also increase from large technology companies, such as Apple, Meta, Google, Verizon, or Microsoft, who may wish to develop their own virtual behavioral health solutions, as well as from large retailers like Walmart.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expect our competitors to continue to improve their technology infrastructure, including with the use of AI and ML solutions, to interact with customers, members and insurance companies, sell their services, utilize (and even monetize) their data and support and grow their customer base. Our ability to innovate our own technology infrastructure and appropriately address user experience will affect our ability to compete. In addition, new developments in cloud computing, AI, and machine learning have made it easier to enter our markets due to lower up-front technology costs.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customers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material portion of our revenue from our largest customers. The loss, termination, or renegotiation of any contract with such customers could negatively impact our results.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a material portion of our revenue from our largest customers. The loss, termination, or renegotiation of any contract with such customers could negatively impact our results. For the year ended December 31, 2025, four customers each represented 10% or more of the Company’s total revenue. For the year ended December 31, 2024, three customers each represented 10% or more of the Company’s total revenue. The loss of business from any of the Company’s significant customers, as a result of competition, customer needs, or other factors beyond the Company’s control, could have a material adverse effect on our business, financial condition and results of operations.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rely on a limited number of our largest customers for a material portion of our revenue, we depend on the creditworthiness of these customers. If the financial condition of our customers declines, our credit risk could increase. Should one or more of our significant customers declare bankruptcy, be declared insolvent, or otherwise be restricted by state or federal laws or regulation from continuing in some or all of their operations, this could adversely affect our ongoing revenue, the collectability of our accounts receivable, affect our bad debt reserves and negatively impact our net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secure customers' contract renewals, our business, financial condition and results of operations will be harmed.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generate a significant portion of our revenues from our Payor and DTE customers. Payor contracts include annual evergreen clauses and generally may be terminated by either party typically upon advance notice per the terms of the contract. DTE contracts are one to three years in length. Consumer subscriptions generally have stated initial terms of one-to-six months and members may cancel their subscription at any time and will receive a pro-rata refund for the subscription price. Most of our customers and members have no obligation to renew their subscriptions for our services after the initial term expires. In addition, our customers may negotiate terms that are less advantageous to us upon renewal, which may reduce our revenue from these customers. Additionally, our future results of operations depend, in part, on our ability to expand our services and offerings, including broadening our continuum of care. If our customers and members fail to renew their contracts, renew their contracts upon less favorable terms or at lower fee levels or fail to purchase new products and services from us, our revenue may decline or our future revenue growth may be constrained.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factors that could affect our ability to sell products and services include, but are not limited to:</w:t>
      </w:r>
    </w:p>
    <w:p>
      <w:pPr>
        <w:spacing w:after="0" w:line="11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performance and functionality of our solution;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price, performance and functionality of competing solutions;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performance and security of our hosting infrastructure and hosting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marketing laws, regulations or trends.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consequences could lower retention and have a material adverse effect on our business, financial condition and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growth and profitability of our business will depend in large part upon the effectiveness and efficiency of our marketing efforts, and our ability to develop brand awareness cost-effectively.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solution and attracting new customers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customers and members necessary to realize a sufficient return on our brand-building efforts or to achieve the widespread brand awareness that is critical for broad adoption of our brands.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broad market education and changing consumer purchasing habits.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future growth largely depend on our ability to increase consumer awareness of virtual behavioral therapy in general and our platform and offerings, in particular, and on the willingness of current and potential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customers,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that we provide services to.</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existing and future relationships with third parties, such as third-party Payor customers, including government agencies, as well as our ability to expand our DTE business. Identifying potential customers,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customers by our competitors could result in a decrease in the number of our current and potential customers and members, as our customers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customer use of our services or increased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virtual behavioral healthcare strategies depend on our ability to maintain and expand our network of therapists, psychiatrists and other providers.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do so, our future growth would be limited and our business, financial condition and results of operations would be harmed.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is dependent upon our continued ability to grow and maintain a network of highly trained and qualified therapists, psychiatrists and other providers, especially since our providers are generally not exclusive to our platform. If we are unable to recruit and retain licensed therapists, psychiatrists and other providers, it would have a material adverse effect on our business and ability to grow and would adversely affect our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any particular market, providers could demand higher payments or take other actions that could result in higher medical costs, less attractive service for our customers or members or difficulty meeting regulatory or accreditation requirements.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develop and maintain satisfactory relationships with providers also may be negatively impacted by other factors not associated with us, such as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customer and member bases, higher costs, less attractive services for our customers and members and/or difficulty in meeting regulatory or accreditation requirements, any of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affecting spending by the healthcare industry could adversely affect our business.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54"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budget proposals and/or approvals impacting funding for government health care programs, such as Medicare and Medicaid;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payors or providers or other healthcare industry participants.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We cannot assure you that the demand for our solutions and services will continue to exist at current levels or that we will have adequate technical, financial, and marketing resources to react to changes in the healthcare industry.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and social media engagement could adversely affect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or our platform could materially adversely affect our reputation.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customers, members, other consumers, or employees, and result in decreased revenue, which would materially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and members may engage with us online through our social media pages, including, for example, our presence on Facebook, Instagram and X,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business entails the risk of medical liability claims. Although our affiliate, TPN, and our other affiliated professionals carry or will carry insurance covering medical malpractice claims in amounts that we believe are appropriate in light of the risks attendant to the services rendered, successful medical liability claims could result in substantial damage awards that exceed the limits of the insurance coverage. TPN carries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enterprise-sponsored healthcare or the emergence of new technologies may adversely impact our DTE business or require us to expend significant resources in order to remain competitive.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healthcare industry is massive, with a number of large market participants with conflicting agendas, and it is subject to significant government regulation and is currently undergoing significant change. Some experts have predicted that future healthcare reform will encourage enterprise-sponsored health insurance to become significantly less prevalent as enterprise members migrate to obtain their own insurance over the state-sponsored insurance marketplaces. Were this to occur, there is no guarantee that we would be able to compensate for the loss in revenue from enterprises by increasing sales of our solution to health insurance companies or to individuals or government agencies. In such a case, our results of operations would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Apple App Store and Google Play App Store, to distribute our platform and offerings.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apps are accessed and operated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adversely impact the ability of consumers to download or access our apps and other information, it could have a material adverse effect on our brand and reputation, as well as our business, financial condition and operating results.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data center providers, Internet infrastructure, bandwidth providers, third-party computer hardware and software, other third parties and our own systems for providing services to our customers and members, and any failure or interruption in the services provided by these third parties or our own systems could expose us to litigation and negatively impact our relationships with customers and members, adversely affecting our brand and our business.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serve all of our customers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customers, including us, could adversely affect the experience of our customers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customers and members’ stored files or result in lengthy interruptions in our services. Interruptions in our services may reduce our revenue, cause us to issue refunds to customers and members for prepaid and unused subscriptions, subject us to potential liability or adversely affect customer retention.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customers and members.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rely on these services of third-party vendors could be impaired as a result of the failure of such providers to comply with applicable laws, regulations and contractual covenants. In addition, 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Certain natural events may become more frequent or intense as a result of climate change.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vendors have experienced cybersecurity incidents from time to time. If our or our vendors’ security measures fail or are breached in the future and unauthorized access to a customer’s data or information systems is obtained, our services may be perceived as insecure, we may incur significant liabilities, our reputation may be harmed, and we could lose sales, customers and members.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services involve the storage and transmission of our customers’ and members’ proprietary information, sensitive or confidential data, including valuable intellectual property and personal information of employees, customers, members and others, as well as the PHI of our customers and members. We are subject to laws and regulations relating to the collection, use, retention, security and transfer of this information, including to vendors.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malicious actors such as denial-of-service and phishing attacks, failures during the process of upgrading or replacing software and databases, power outages, hardware failures, telecommunication failures, or catastrophic events.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security risks have generally increased in recent years because of the proliferation of new technologies, including the increased adoption of AI technologies, and the increased sophistication and activities of perpetrators of cyber-attacks. Malicious actors are increasingly sophisticated and operating large-scale and complex automated attacks, including on companies within the healthcare industry. The techniques, sources and targets of these attacks change and are often not recognized until such attacks are launched or have been in place for some time. In an increasing amount of cases, these malicious actors are or are acting on behalf of state sponsors which further increases the risk of sophistication, capability and funding for the attack. As cyber threats continue to evolve, we may be required to expend additional resources to further enhance our information security measures, develop additional protocols and/or to investigate and remediate any information security vulnerabilities. Although the cybersecurity incidents we and our third-party vendors have experienced to date have been non-material, if our or our third-party vendors’ security measures fail or are breached in the future, it could result in unauthorized persons accessing sensitive customer or member data (including PHI), a loss of or damage to our data, an inability to access data sources, or process data or provide our services to our customers and members. Such failures or breaches of our or our third-party vendors’ security measures, or our or our third-party vendors’ inability to effectively resolve such failures or breaches in a timely manner, could severely damage our reputation, adversely affect customer, member or investor confidence in us, and reduce the demand for our services from existing and potential customers and members. In addition, we could face litigation, damages for contract breach, monetary penalties, or regulatory actions for violation of applicable laws or regulations and incur significant costs for remedial measures to prevent future occurrences and mitigate past violations.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potential future security breach could result in increased costs associated with liability for stolen assets or information, repairing system damage that may have been caused by such breaches, incentives offered to customers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maintain insurance covering certain security and privacy damages and claim expenses, we may not carry insurance or maintain coverage sufficient to compensate for all liability and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In any event, insurance coverage would not address the reputational damage that could result from a security incident.</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 While we and third parties we utilize have experienced, and expect to continue to experience, cybersecurity incidents that could lead to other disruptions of the Company's and the third parties' information and operational technology systems and infrastructure, we do not believe that any such cybersecurity incidents have had a material impact on the Company to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adverse tax, legal and other consequences if the employment status of providers on our platform is challenged.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An actual or alleged misclassification determination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evolving EU and UK privacy national laws, including rules related to cookies and similar technologies. There may be enforcement actions or regulatory scrutiny reflecting evolving guidance and interpretations which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limitations on the use or effectiveness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marketplace concerns about the usage of third-party cookies and web beacons to track user behaviors, providers of major browsers have included features that allow users to limit the collection of certain data generally or from specified websites. In addition, various software tools and applications have been developed that can block advertisements from a consumer’s screen or allow consumers to shift the location in which advertising appears on webpages or opt out of display, search and internet-based advertising entirely. These developments, among others, could impair our ability to collect user information, including personal data and usage information, that helps us provide more targeted advertising to our current and prospective consumers, which could adversely affect our business, given our use of cookies and similar technologies to target our marketing and personalize the consumer experience.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will be impaired, and our results of operations and financial condition would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current federal income tax rules, net operating loss carryovers (“NOLs”) generated in tax years beginning after December 31, 2017 generally may be carried forward indefinitely, but the amount that may be utilized in a given year is generally limited to 80% of taxable income. In addition, our ability to utilize NOLs and certain other attributes could be restricted under Sections 382 and 383 of the Internal Revenue Code if we experience an “ownership change.” State law changes may also limit or delay utilization; for example, California has suspended the NOL deduction for taxable years 2024 through 2026 for taxpayers above specified income thresholds (generally $1 million), which could delay our ability to benefit from California NOLs.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members of senior management. These members of senior management are at-will employees and therefore they may terminate their employment with us at any time with no advance notice. We also rely on our leadership team in the areas of research and development, marketing, clinical operations, and general and administrative functions. From time to time, there may be changes in our management team resulting from the hiring or departure of executives, which could disrupt our business. The replacement of one or more of our executive officers or other key employees will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employment arrangements with a limited number of key executives, these do not guarantee that the services of these or suitable successor executives will continue to be available to us.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Failure to attract new personnel or failure to retain and motivate our current personnel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as a result of unanticipated costs or liabilities, difficulty converting the customers of the acquired business onto our platform and contract terms, diversion of management’s attention from other business concerns and employee retention issues, among other reasons.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telehealth and teletherapy services through our network of providers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licensing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In addition,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practice of medicine and therapy, including telehealth and prescribing medication online, in one or more jurisdictions may change in a manner deleterious to our business. For instance, a few states have imposed different, and, in some cases, additional, standards regarding the provision of services via telehealth and teletherapy. The unpredictability of this regulatory landscape means that sudden changes in policy regarding standards of care and reimbursement are possible. If a successful legal challenge or an adverse change in the relevant laws were to occur, and we or an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government regulations may result in increased costs or adversely affect our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certain areas of government regulation that, if changed, would be costly to us. These include rules governing the practice of medicine by physicians and other licensed professionals;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customers,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expanding additional resources to monitor developments in applicable rules and ensure compliance. The failure to adequately comply with these future laws and regulations may delay or possibly prevent some of our products or services from being offered to members and customers, which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jurisdictions globally have proposed or enacted laws governing AI development and use, which may increase compliance costs, trigger regulatory actions, or require business practice changes. AI or ML models may contain inaccuracies or biases that could adversely impact individuals' rights or access to services. Restrictions on AI use could impact our service offerings, reduce business efficiency, or place us at a competitive disadvantage.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with many technological innovations, AI and ML present risks and challenges that could affect its adoption, and therefore our business. AI and ML present emerging ethical issues and if we enable or offer solutions that draw controversy due to their perceived or actual impact on society, we may experience brand or reputational harm, competitive harm or legal liability. Potential government regulation in the space of AI and ML ethics also may increase the burden and cost of research and development in this area, subjecting us to brand or reputational harm, competitive harm or legal liability. Failure to address AI and ML ethics issues by us or others in our industry could undermine public confidence in AI and ML and slow adoption of AI and ML in our products and services.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customers are found to violate state laws prohibiting the corporate practice of medicine or fee splitting.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various agreements with TPN and other affiliated PC entities.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other professional services)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own TPN or the PC entities; TPN and the PC entities are 100% owned by an independent licensed physician qualified to own TPN and such professional entities in the respective states of incorporation.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 corporate practice of medicine doctrines also often impose penalties on physicians themselves for aiding the corporate practice of medicine, which could discourage physicians from participating in our network of providers and contracting structure.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management fee. The PC entities, physicians, therapists and other licensed professionals who provide clinical and professional services to our members through contracts with TPN,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providers to comply with these statutes, could eliminate customers located in certain states from the market for our services. Furthermore, these arrangements could subject us to additional scrutiny by federal and state regulatory bodies regarding federal and state fraud and abuse laws. Any scrutiny, investigation, adverse determination or litigation with regard to our arrangements with TPN and the PC entities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on us of ongoing healthcare legislation and other changes in the healthcare industry and in healthcare spending is currently unknown, but may adversely affect our business, financial condition and results of operations.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dependent on the healthcare industry and could be affected by changes in healthcare spending, reimbursement and policy. The healthcare industry is subject to changing political, regulatory and other influences. The ACA made major changes in how healthcare is delivered and reimbursed, and it increased access to health insurance benefits to the uninsured and underinsured population of the United States.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It is uncertain the extent to which any such changes may impact our business or financial condition.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pursuant to the federal budget legislation that began in 2013, and are schedule to remain in effect through 2030, with limited exceptions,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2022, the No Surprises Act went into effect to prevent surprise medical bills to non-federal healthcare program patients. 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third-party payers will pay for healthcare products and services, which could adversely affect our business, financial condition and results of operations.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Reimbursement from federal and/or state healthcare programs could expose our business to broadly applicable fraud and abuse laws and other healthcare laws and regulations that would regulate the business. As we enter the teen behavioral health market, we will encounter parental consent rules and regulations that vary by state, creating another level of compliance risks.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customers, our marketing activities and other aspects of our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summary of the potential applicable U.S. federal and state healthcare laws, see, “Item 1. Business – U.S. Regulation.”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these laws and other laws can result in civil and criminal penalties such as fines, damages, overpayment recoupment, loss of enrollment status and, exclusion from these programs if applicable to government health care services.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ourselves against it, could cause us to incur significant legal expenses, divert our management’s attention from the operation of our business and result in adverse publicity.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by us, our employees, affiliates, partners or others with whom we work to comply with applicable laws and regulations could result in administrative, civil, commercial or criminal liabilities, including exclusion from participation in government healthcare programs, including Medicare and Medicaid. Any such penalties could have a material adverse effect on our reputation, our ability to compete for other contracts and our financial position, results of operations and/or cash flows.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customer base and member bases and revenue.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privacy and security of personal information stored, maintained, received or transmitted electronically is subject to regulatory scrutiny in the United States and internationally. While we strive to comply with all applicable privacy and security laws and regulations, as well as our own posted privacy policies and legal standards for privacy, any failure or perceived failure to comply with such requirements may result in proceedings or actions against us by government entities or private parties, or could cause us to lose customers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 information or other privacy-related matters, even if unfounded and even if we are in compliance with applicable laws, could damage our reputation and harm our business.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govern collection, storage, dissemination, use, retention, transfer, disposal, security and confidentiality of personal information, including but, not limited to, HIPAA; U.S. state privacy, security and breach notification and healthcare information laws; the California Consumer Protection Act (“CCPA”); and other data protection laws.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requires us to maintain policies and procedures governing PHI that are used or disclosed, and to implement administrative, physical and technical safeguards to protect PHI, including PHI maintained, used and disclosed in electronic form. Ongoing implementation and oversight of these measures involves significant time, effort and expense.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also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Further, if a breach affects 500 patients or more, it must be reported to the U.S. Department of Health and Human Services Office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or following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also authorizes state attorneys general to file suit on behalf of their residents and HIPAA's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the U.S. federal government and various states and governmental agencies have adopted or are considering adopting various laws, regulations and standards regarding the collection, use, retention, security, disclosure, transfer and other processing of sensitive and personal information, to which we are or may become subject. For example, California implemented the California Consumer Privacy Act, or CCPA, which came into effect in 2020, and the California Privacy Rights Act (“CPRA”), which came into effect on January 1, 2023, which we are subject. The CCPA imposes obligations and restrictions on businesses regarding their collection, use, processing, retaining and sharing of personal information and provides new and enhanced data privacy rights to California residents. Protected health information that is subject to HIPAA is excluded from the CCPA; however, information we hold about individual residents of California that is not subject to HIPAA would be subject to the CCPA. The CPRA significantly amends and expands the CCPA, including by providing consumers with additional rights with respect to their personal information. The CPRA also creates a new state agency that will be vested with authority to implement and enforce the CCPA and the CPRA. We expect states to continue to enact legislation similar to the CCPA and CPRA that provides consumers with new privacy rights and increases the privacy and security obligations of entities handling certain personal information of such consumers. Laws similar to the CCPA and CPRA have passed in Virginia and Colorado, and have been proposed in other states and at the federal level, reflecting a trend toward more stringent privacy legislation in the United States.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we are subject to certain other state laws such as the California Confidentiality of Medical Information Act, which imposes restrictive requirements regulating the use and disclosure of health information and other personal information. Such laws and regulations are not necessarily preempted by HIPAA, particularly if a state affords greater protection to individuals than HIPAA. Where state laws are more protective, we have to comply with the stricter provisions. Further, in addition to fines and penalties imposed upon violators, some of these state laws, such as the CCPA, also afford private rights of action to individuals who believe their personal information has been misused.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aggregate, state-based data privacy and security laws and regulations may impact our business. All of these evolving compliance and operational requirements impose significant costs that are likely to increase over time, may require us to modify our data processing practices and policies, divert resources from other initiatives and projects, could restrict the way services involving data are offered and could subject us to additional liabilities, all of which may adversely affect our results of operations, business, and financial condition.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there are numerous foreign laws, regulations and directives regarding privacy and the collection, storage, transmission, use, processing, disclosure and protection of personal information, the scope of which is continually evolving and subject to differing interpretations. If we provide services to users outside the United States, we may be subject to such laws, regulations, directives and obligations in relation to processing of personal information, and we may be subject to significant consequences, including penalties, fines and contractual liability, for our failure to comply. We are subject to the EU GDPR and the UK data privacy regime consisting primarily of the UK General Data Protection Regulation and the UK Data Protection Act 2018 (the “UK GDPR”) (the EU GDPR and the UK GDPR, collectively the “GDPR”), which impose a strict data protection compliance regime including stringent data protection requirements. EU Member States and the UK are also able to legislate separately on sensitive data (i.e., mental health), and we must comply with these local laws where we offer our services.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EEA and the UK, including to the United States. The European Commission has published revised standard contractual clauses for data transfers from the EEA. We continue to monitor updates and we may be required to implement new or revised documentation and processes in relation to our data transfers subject to the UK GDPR, within the relevant time frames. As supervisory authorities issue further guidance on data export mechanisms, including circumstances where the standard contractual clauses cannot be used, and/or start taking enforcement action, we could suffer additional costs, complaints and/or regulatory investigations or fines, and/or if we are otherwise unable to transfer personal information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€20,000,000/ £17.5 million or up to 4% of our total worldwide annual revenue for the preceding financial year, whichever is higher.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publish statements to our customers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customers and/or members, any of which could have an adverse effect on our 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significant change to applicable laws, regulations or industry practices regarding the collection, use, retention, security or disclosure of our users’ personal information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users' personal information data or develop new services and features.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have limited international operations, we may be or may become subject to compliance obligations under anti-corruption laws and regulations imposed by governmental authorities around the world with jurisdiction over our operations. As a U.S. corporation, we are subject to the regulations imposed by the FCPA, which generally prohibits U.S. companies and their intermediaries from making improper payments to foreign officials for the purpose of obtaining or maintaining business.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enforce or defend our intellectual property rights could impair our ability to protect our technology and our brand.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customers or members or the public, of the source code to such proprietary software. Any such disclosure would have a negative effect on our business and the value of our proprietary software.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challenge the validity of our trademarks and patents or oppose trademark and patent applications. Companies with other patents could require us to stop using or pay to use required technology.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 and brand names to distinguish our products and services from the products and services of our competitors, and we have registered or applied to register many of these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If we are unable to secure or maintain patent coverage, our technology could become subject to competition from the sale of similar competing products. 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customers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customers against certain third-party claims, which may include claims that our solution infringes the intellectual property rights of such third parties. Our business could be adversely affected by any significant disputes between us and our customers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7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any of the other actions noted above as a result of any intellectual property infringement claims against us or any obligation to indemnify our customers for such claims, such payments or costs could have a material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customer expectations in terms of performance, customers could assert liability claims against us or attempt to cancel their contracts with us. This could damage our reputation and impair our ability to attract or maintain customers. 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the interface of our solution with systems and data that we did not develop and the function of which is outside of our control or from issues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customers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a transaction or arrangement or may need to purchase such rights at a premium.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OUR WARRANTS AND OPERATING AS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establish and maintain internal controls over financial reporting and, pursuant to Section 404 of the Sarbanes-Oxley Act, we are required to provide a report by management on, among other things, the effectiveness of our internal control over financial reporting for our annual reports on Form 10-K filed with the SEC. In addition, Section 404 of the Sarbanes-Oxley Act also generally requires an attestation from our independent registered public accounting firm on the effectiveness of our internal control over financial reporting.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maintain internal control over financial reporting could limit our ability to prevent or detect a misstatement of our financial results, limit our ability to report financial information on a timely and accurate basis, lead to a loss of investor confidence and have a negative impact on the trading price of our common stock and could subject us to sanctions or investigations by Nasdaq, the SEC or other regulatory authorities. A failure to implement and maintain effective control systems could also restrict our future access to the capital markets.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Company’s internal control over financial reporting may not prevent or detect misstatements because of its inherent limitations, including the possibility of human error, the circumventions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organizational documents and the Delaware General Corporation Law ("DGCL") contain provisions that could have the effect of rendering more difficult, delaying, or preventing an acquisition that stockholders may consider favorable, including transactions in which stockholders might otherwise receive a premium for their shares.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7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 the same or similar business activities or lines of business as us;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resales of our common stock may cause the market price of our securities to drop significantly, even if our business is doing well.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issue additional common stock or other equity securities without the approval of investors, including for among other purposes to raise capital or pay for an acquisition, which would dilute investors’ ownership interests and may depress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investor's percentage of ownership in the Company may be diluted in the future.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any publicly traded company, an investor’s percentage ownership in the Company may be diluted in the future because of equity issuances for acquisitions, capital markets transactions, or other circumstances, including the equity awards that the Company has and will continue to grant its directors, officers and employees. Certain holders also have outstanding warrants to purchase shares of common stock that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among other things, the purpose of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securities may fluctuate due to a variety of factors, including:</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services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securities available for public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our customers operate could disproportionately affect the demand for our solution and negatively impact our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worldwide economic and geopolitical conditions have experienced significant volatility during the last ten years, and market volatility and uncertainty remain widespread, making it potentially very difficult for our customers and us to accurately forecast and plan future business activities. The demand for our service is dependent on the general economy, which is in turn affected by geopolitical conditions and the stability of the global credit markets. The ongoing and potential future impacts of escalating global conflicts, including those between Russia and Ukraine as well as rising tensions between China and Taiwan, has heightened global economic and geopolitical uncertainty. During challenging economic times, our customers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customers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19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believe our cash and cash equivalents on hand,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operating results and financial condition.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in other jurisdictions, and our tax position depends on the application of complex and evolving laws, regulations, administrative guidance, and treaties. Changes in law, the issuance of new guidance, or changes in enforcement or interpretation could increase our effective tax rate, reduce cash flows, or increase compliance costs and could require us to revise our tax accounting, including deferred tax assets and liabilities. Recent U.S. legislative and administrative developments—including the One Big Beautiful Bill Act enacted July 4, 2025, which modified aspects of the U.S. international tax rules (including changes to Net CFC Tested Income (formerly Global Intangible Low-Taxed Income) and Foreign-Derived Deduction Eligible Income (formerly Foreign-Derived Intangible Income)) effective for taxable years beginning after December 31, 2025 —could increase our tax liabilities or limit our ability to utilize credits and deductions.</w:t>
      </w:r>
    </w:p>
    <w:p>
      <w:pPr>
        <w:spacing w:after="0" w:line="13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the OECD Pillar Two global minimum tax continues to evolve. Although the U.S. executive branch disavowed prior commitments to the Pillar Two framework on January 20, 2025, the OECD released administrative guidance in January 2026 (the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package) that may reduce exposure of certain U.S.-parented groups to some foreign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taxes, but its effect depends on adoption and implementation by relevant jurisdictions and does not eliminate other Pillar Two-related obligations (including QDMTTs and reporting in many cases).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remain subject to provisions of the Inflation Reduction Act, including the 15% Corporate Alternative Minimum Tax and the 1% excise tax on certain stock repurchases. Additional IRS notices and other guidance could change the manner in which these taxes apply to us, including in connection with transactions and reorganizations.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which is expensive, time-consuming and could divert management attention.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payor audits, investigations, and claims that arise in the ordinary course of business such as claims brought by our customers in connection with commercial disputes or employment claims made by our current or former associates. Litigation disputes, including the disputes we are currently facing, could cause us to incur unforeseen expenses, result in content unavailability, and otherwise occupy a significant amount of our management’s time and attention, any of which could negatively affect our business operations and financial position. While the ultimate outcome of investigations, inquiries, information requests and legal proceedings is difficult to predict, such matters can be expensive, time-consuming and distracting, and adverse resolutions or settlements of those matters may result in, among other things, modification of our business practices, reputational harm or costs and significant payments, any of which could negatively affect our business operations and financial position.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losses or liability not covered by insurance.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risks that are inherent in the provision of virtual behavioral healthcare. If customers,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customers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recognizes the importance of assessing, identifying, and managing material risks associated with cybersecurity threats as a vital component to the success of our business. We have established policies and processes for assessing, identifying, and managing the material risk from cybersecurity threats which may include, among other things, operational risks; fraud; extortion; harm to our business, employees or customers; violation of privacy or security laws and other litigation and legal risk; and reputational risks.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routinely assess material risks from cybersecurity threats, which include unauthorized access to our information systems that may result in adverse effects on the confidentiality, integrity, or availability of such systems or any information residing therein. Our process for identifying and assessing material risks from cybersecurity threats operates alongside our broader overall risk assessment process, covering all company risks. For additional information regarding risks from cybersecurity threats, please refer to Item 1A, “Risk Factors,” in this annual report on Form 10-K.</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 cybersecurity specific risk assessment process, which helps identify residual risk from cybersecurity threats. Our risk assessments include the identification of reasonably foreseeable internal and external information security and cybersecurity risks, the likelihood that such events may occur and the impact or potential damage that could result from such risks. The assessments examine the adequacy of our policies, procedures, systems, and the safeguards in place to manage and mitigate the identified risks. The impact of these assessments is the refinement of existing safeguards and the implementation of new safeguards to improve our cybersecurity protections; reasonably address any identified gaps in existing safeguards; and ensure that we regularly monitor the effectiveness of those safeguards.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above processes, we engage with a third-party to review our information security program and related cybersecurity safeguards to help identify areas for continued focus, improvement, and/or compliance. Along with these third parties we ensure that the appropriate personnel collaborate with subject matter specialists, as necessary, to gather insights for identifying and assessing material cybersecurity threat risks, their impact and potential mitigations. We have implemented the following activities (among others) to mitigate risk:</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risk assessments to identify and assess cybersecurity risks and vulnerabilities in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prior to hire;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data at rest and in transit;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and event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to monitor for malicious activity and anomalous behavior;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Malware protection and restricting connections to malicious websites;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loss protection mechanisms;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penetration testing and internal vulnerability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assessments of our third-party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by internal and external audit of the effectiveness of information security-related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emerging data protection laws and implement changes to our processes designed to comply as needed;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incident response plan, as implemented by management, coordinates the activities we take to prepare for, detect, contain, eradicate, and recover from cybersecurity incidents as well as to comply with potentially applicable legal obligations and mitigate brand and reputational damage. The incident response plan also outlines the appropriate communication flow and response for certain categories of potential cybersecurity incidents. The Chief Technology Officer escalates material events, including to the Chief Executive Officer and Board.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require all employees to participate in cybersecurity awareness, privacy, security training annually and provide mechanisms to report potential threats.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use a third-party phishing awareness vendor to increase employee awareness of cybersecurity threats.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Third-party risks are included within our broader overall risk assessment process, as well as our cybersecurity-specific risk identification program. In addition, cybersecurity considerations affect the selection and oversight of our third-party service providers and we continually monitor cybersecurity threat risks identified through such diligence.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our policies and procedures will be effective. Although our risk factors include further detail about the material cybersecurity risks we face and how cybersecurity incidents may affect our business, management has not determined that any cybersecurity incidents the Company has experienced to date have resulted in, or are reasonably likely to result in, a material impact to our financial condition, results of operations, or business strategy. We can provide no assurances that there will not be additional incidents in the future or that they will not materially affect us, including our business strategy, results of operations, or financial condition. See “Item 1A. Risk Factors” for further information about these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increasing focus for our Board and management. Our Audit Committee is responsible for the oversight of risks from cybersecurity threats. At least quarterly, and more frequently as relevant, the Audit Committee receives an overview from management covering topics such as security posture, results from third-party assessments, progress towards pre-determined risk-mitigation-related goals, and material cybersecurity threat risks or incidents and developments, as well as the steps management has taken to respond to such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Audit Committee are also encouraged to regularly engage in ad hoc conversations with management on cybersecurity-related news and discuss any updates to our cybersecurity risk management and strategy programs. Material cybersecurity risks are also considered during separate Board meeting discussions of important matters like risk management, and other relevant matters. Management or the Audit Committee will provide a comprehensive update to the Board on cybersecurity threats and risk mitigation generally at least annually, and more frequently as relevant.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information security and cybersecurity program is managed by our Chief Information Security Officer (CISO) and our Chief Technology Officer (CTO). The CISO and the Senior Director Information Security are responsible for our overall security and assessing and managing cybersecurity risks and threats. The CISO has over 21 years of information security, privacy, auditing and compliance experience and holds numerous certifications. The Senior Director of Information Security has over 16 years of experience in information security, and holds numerous certifications. The CTO has over 21 years of experience and leads our Company’s information systems and technological advancements. The SVP of Engineering has over 21 years of experience in IT and has specialized knowledge in systems and network infrastructure. The Director of Site Reliability Engineering and Security has 10 years of experience and has principal responsibility for our network operations and system administration.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members of management are informed about and monitor the prevention, mitigation, detection, and remediation of cybersecurity incidents through their management of, and participation in, the cybersecurity risk management and strategy processes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headquarters, located in midtown Manhattan, NYC, is available to NYC-area employees who typically work a hybrid schedule. As of December 31, 2025, the majority of our employees are working remotely.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limited operations outside the United States. We have one foreign subsidiary located in Israel which leases its operating facilities under a month-to-month operating lease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view any of our leased facilities as material to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no material pending legal proceedings as of December 31, 2025, however 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8, “Commitments and Contingent Liabilities,” in the notes to the consolidated financial statements included in Part II, Item 8 of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Talkspace, Inc.'s common stock and warrants are listed and traded on Nasdaq under the symbols “TALK” and “TALKW,”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166,718,150 shares of common stock issued and outstanding, and 12,757,500 Private Placement Warrants and 20,722,500 Public Warrants to purchase the Company’s common stock at an exercise price of $11.50 per share. As of December 31, 2025, there were 9,090,150 and 5,525,326 shares underlying outstanding stock options and non-vested restricted stock units,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10, 2026, there were 63 holders of record of our common stock and 12 holders of record of our warrants. However, because many of our shares of common stock are held by brokers and other institutions on behalf of stockholders, we believe there are substantially more beneficial holders of our common stock than record holders. The number of record holders also does not include stockholders whose shares may be held in trust by other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of directors. Our ability to declare dividends may be limited by the terms of financing or other agreements entered into by us or our subsidiaries from time to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stock-based compensation plan under which the Company may grant cash and equity incentive awards to officers, employees, directors, consultants and service providers and one employee stock purchase plan under which employees of the Company and its participating subsidiaries are provided with the opportunity to purchase Talkspace common stock at a discount through accumulated payroll deductions during successive offering periods. As of December 31, 2025, no shares of common stock have been issued under the employee stock purchase plan. For additional information regarding our stock-based compensation plans see Note 10, “Stock-based Compensation,” in the notes to the consolidated financial statements included in Part II, Item 8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its Common Stock during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73025</wp:posOffset>
            </wp:positionV>
            <wp:extent cx="93980" cy="4711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47117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73025</wp:posOffset>
            </wp:positionV>
            <wp:extent cx="93980" cy="4711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47117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73025</wp:posOffset>
            </wp:positionV>
            <wp:extent cx="93980" cy="4711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47117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Borders>
              <w:top w:val="single" w:sz="8" w:color="auto"/>
            </w:tcBorders>
          </w:tcPr>
          <w:p>
            <w:pPr>
              <w:jc w:val="center"/>
              <w:ind w:lef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1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Purchased as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Approximate Dollar Value of</w:t>
            </w:r>
          </w:p>
        </w:tc>
      </w:tr>
      <w:tr>
        <w:trPr>
          <w:trHeight w:val="135"/>
        </w:trPr>
        <w:tc>
          <w:tcPr>
            <w:tcW w:w="3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 of Publicly</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that May Yet Be</w:t>
            </w:r>
          </w:p>
        </w:tc>
      </w:tr>
      <w:tr>
        <w:trPr>
          <w:trHeight w:val="128"/>
        </w:trPr>
        <w:tc>
          <w:tcPr>
            <w:tcW w:w="3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8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Average Price Paid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lef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Announced Plans or</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Purchased Under the Program</w:t>
            </w:r>
          </w:p>
        </w:tc>
      </w:tr>
      <w:tr>
        <w:trPr>
          <w:trHeight w:val="162"/>
        </w:trPr>
        <w:tc>
          <w:tcPr>
            <w:tcW w:w="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80" w:type="dxa"/>
            <w:vAlign w:val="bottom"/>
          </w:tcPr>
          <w:p>
            <w:pPr>
              <w:spacing w:after="0"/>
              <w:rPr>
                <w:sz w:val="14"/>
                <w:szCs w:val="14"/>
                <w:color w:val="auto"/>
              </w:rPr>
            </w:pPr>
          </w:p>
        </w:tc>
        <w:tc>
          <w:tcPr>
            <w:tcW w:w="114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Programs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3"/>
                <w:szCs w:val="13"/>
                <w:b w:val="1"/>
                <w:bCs w:val="1"/>
                <w:color w:val="auto"/>
                <w:w w:val="94"/>
              </w:rPr>
              <w:t xml:space="preserve">or Plan (in Thousands) </w:t>
            </w:r>
            <w:r>
              <w:rPr>
                <w:rFonts w:ascii="Times New Roman" w:cs="Times New Roman" w:eastAsia="Times New Roman" w:hAnsi="Times New Roman"/>
                <w:sz w:val="16"/>
                <w:szCs w:val="16"/>
                <w:b w:val="1"/>
                <w:bCs w:val="1"/>
                <w:color w:val="auto"/>
                <w:w w:val="94"/>
                <w:vertAlign w:val="superscript"/>
              </w:rPr>
              <w:t>(1)</w:t>
            </w:r>
          </w:p>
        </w:tc>
      </w:tr>
      <w:tr>
        <w:trPr>
          <w:trHeight w:val="115"/>
        </w:trPr>
        <w:tc>
          <w:tcPr>
            <w:tcW w:w="428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Period</w:t>
            </w:r>
          </w:p>
        </w:tc>
        <w:tc>
          <w:tcPr>
            <w:tcW w:w="1500" w:type="dxa"/>
            <w:vAlign w:val="bottom"/>
            <w:tcBorders>
              <w:top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9"/>
        </w:trPr>
        <w:tc>
          <w:tcPr>
            <w:tcW w:w="42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October 1, 2025 to October 31, 2025</w:t>
            </w:r>
          </w:p>
        </w:tc>
        <w:tc>
          <w:tcPr>
            <w:tcW w:w="1500" w:type="dxa"/>
            <w:vAlign w:val="bottom"/>
          </w:tcPr>
          <w:p>
            <w:pPr>
              <w:ind w:left="13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tcPr>
          <w:p>
            <w:pPr>
              <w:jc w:val="right"/>
              <w:ind w:right="10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November 1, 2025 to November 30, 2025</w:t>
            </w:r>
          </w:p>
        </w:tc>
        <w:tc>
          <w:tcPr>
            <w:tcW w:w="1500" w:type="dxa"/>
            <w:vAlign w:val="bottom"/>
            <w:shd w:val="clear" w:color="auto" w:fill="CFF0FC"/>
          </w:tcPr>
          <w:p>
            <w:pPr>
              <w:ind w:left="13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1"/>
                <w:szCs w:val="11"/>
                <w:color w:val="auto"/>
              </w:rPr>
            </w:pPr>
          </w:p>
        </w:tc>
        <w:tc>
          <w:tcPr>
            <w:tcW w:w="2820" w:type="dxa"/>
            <w:vAlign w:val="bottom"/>
            <w:gridSpan w:val="4"/>
            <w:shd w:val="clear" w:color="auto" w:fill="CFF0FC"/>
          </w:tcPr>
          <w:p>
            <w:pPr>
              <w:jc w:val="right"/>
              <w:ind w:right="15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December 1, 2025 to December 31, 2025</w:t>
            </w:r>
          </w:p>
        </w:tc>
        <w:tc>
          <w:tcPr>
            <w:tcW w:w="1500" w:type="dxa"/>
            <w:vAlign w:val="bottom"/>
          </w:tcPr>
          <w:p>
            <w:pPr>
              <w:ind w:left="13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1"/>
                <w:szCs w:val="11"/>
                <w:color w:val="auto"/>
              </w:rPr>
            </w:pPr>
          </w:p>
        </w:tc>
        <w:tc>
          <w:tcPr>
            <w:tcW w:w="2820" w:type="dxa"/>
            <w:vAlign w:val="bottom"/>
            <w:gridSpan w:val="4"/>
          </w:tcPr>
          <w:p>
            <w:pPr>
              <w:jc w:val="right"/>
              <w:ind w:right="15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11,797</w:t>
            </w:r>
          </w:p>
        </w:tc>
        <w:tc>
          <w:tcPr>
            <w:tcW w:w="120" w:type="dxa"/>
            <w:vAlign w:val="bottom"/>
          </w:tcPr>
          <w:p>
            <w:pPr>
              <w:spacing w:after="0"/>
              <w:rPr>
                <w:sz w:val="11"/>
                <w:szCs w:val="11"/>
                <w:color w:val="auto"/>
              </w:rPr>
            </w:pPr>
          </w:p>
        </w:tc>
      </w:tr>
      <w:tr>
        <w:trPr>
          <w:trHeight w:val="169"/>
        </w:trPr>
        <w:tc>
          <w:tcPr>
            <w:tcW w:w="4280" w:type="dxa"/>
            <w:vAlign w:val="bottom"/>
            <w:tcBorders>
              <w:bottom w:val="single" w:sz="8" w:color="CFF0FC"/>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500" w:type="dxa"/>
            <w:vAlign w:val="bottom"/>
            <w:tcBorders>
              <w:top w:val="single" w:sz="8" w:color="auto"/>
              <w:bottom w:val="single" w:sz="8" w:color="auto"/>
            </w:tcBorders>
            <w:shd w:val="clear" w:color="auto" w:fill="CFF0FC"/>
          </w:tcPr>
          <w:p>
            <w:pPr>
              <w:ind w:left="13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 All shares repurchased will be retired.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an aggregate of 6,577,115 shares of its common stock for a total consideration of $17.2 million ($2.62 per share). As of December 31, 2025, $11.8 million remained available under the Share Repurchase Program.</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 The program does not obligate the Company to repurchase any dollar amount or number of shares, and may be modified, suspended, or discontinued at any time at the Company’s discretion without prior notice.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as consideration for the acquisition of a business, we issued 551,066 shares of common stock to the seller in connection with the closing in reliance on exemption from the registration requirements of the Securities Act of 1933 pursuant to Section 4(a)(2) thereof because the issuance of securities did not involve a public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and table illustrate the cumulative total return from June 23, 2021 through December 31, 2025, for (i) our common stock, (ii) the Standard &amp; Poor’s 500 Index, (iii) the Standard &amp; Poor’s 500 Healthcare Index and (iv) the Russell 2000 Composite Index. The graph and the table assume that $100 was invested on June 23, 2021 in each of our common stock, the Standard &amp; Poor’s 500 Index, the Standard &amp; Poor’s 500 Healthcare Index and the Russell 2000 Composite Index, and that any dividends were reinvested.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76835</wp:posOffset>
            </wp:positionV>
            <wp:extent cx="3960495" cy="31203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6049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Annual Report. This discussion contains forward-looking statements that reflect our plans, estimates, and beliefs that involve risks and uncertainties. As a result of many factors, such as those discussed in the “Risk Factors” and “Forward-Looking Statements” sections and elsewhere in this Annual Report, our actual results may differ materially from those anticipated in these forward-looking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years ended December 31, 2025 and 2024. For a discussion of our results of operations, liquidity and capital resources for the year ended December 31, 2023, see “Management's Discussion and Analysis of Financial Condition and Results of Operations” in Part II, Item 7 of our Annual Report on Form 10-K for the fiscal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Talkspace is a leading virtual behavioral healthcare company offering its members convenient and affordable access to a fully-credentialed network of highly qualified providers across a wide and growing spectrum of care through virtual psychotherapy and psychiatry. All care offered at Talkspace is delivered through an easy-to-use, fully-encrypted web and mobile platform that meets HIPAA, federal, and state regulatory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are comprised of the following:</w:t>
      </w:r>
    </w:p>
    <w:p>
      <w:pPr>
        <w:spacing w:after="0" w:line="158"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from commercial and government institutions, and employee assistance programs (“Payor”), who offer their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revenues were $228.9 million compared to $187.6 million for the year ended December 31, 2024. For the year ended December 31, 2025, our clinicians completed 1,617,000 sessions related to members covered under our Payor customers compared to 1,229,200 completed sessions for the year ended December 31, 2024. As of December 31, 2025, we had approximately 5,000 Consumer active members compared to 7,200 Consumer active members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Universal Health Services, Inc.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2026, we entered into a definitive Agreement and Plan of Merger (the “Merger Agreement”) with Universal Health Services, Inc., a Delaware corporation (“UHS”), and UHS Merger Subsidiary, Inc., a Delaware corporation and an indirect wholly owned subsidiary of UHS (“Merger Subsidiary”), pursuant to which, among other things, Merger Subsidiary will merge with and into us (the “Merger”), with us continuing as the surviving corporation and a wholly-owned subsidiary of UHS.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each issued and outstanding share of our common stock (subject to certain exceptions set forth in the Merger Agreement) will be cancelled and converted into the right to receive $5.25 per share in cash. Following completion of the Merger, we will be delisted from the NASDAQ Global Select Market and deregistered under the Securities Exchange Act of 1934.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made customary representations and warranties in the Merger Agreement and have agreed to customary covenants regarding the operation of our business prior to the consummation of the Merger.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Consummation of the Merger is subject to customary closing conditions, including termination or expiration of any waiting periods required under the Hart-Scott-Rodino (“HSR”) Act and certain specified state healthcare laws, approval by our stockholders and other customary closing conditions. The transaction is expected to close in the third quarter of 2026.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transaction-related costs, including financial advisory, legal, and accounting fees, which will be recognized as expense in the periods incurred during fiscal year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subject to, and qualified in its entirety by, the full text of the Merger Agreement, which was filed as Exhibit 2.1 to the Current Report on Form 8-K filed by us on March 9, 2026. For additional information related to the Merger Agreement, please also refer to the other relevant materials in connection with the transaction that we will file with the SEC and that will contain important information about us and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Automation and Artificial Intelligence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Sentia AI, LLC is Talkspace’s wholly-owned subsidiary dedicated to proprietary Artificial Intelligence (“AI”) development. “Sentia” refers to Talkspace’s behavioral-health-focused large language model (“LLM”) that Talkspace intends to utilize in future products, primarily where a member has a conversation with an agent. Sentia currently exists as a beta-tested, user-facing interface product where members engage with our LLM regarding their mental well-being. This model does not replace clinicians but extends their reach, adhering to strict clinical standards while identifying millions of new users who may require human intervention. While we believe this integration will enhance member engagement and reduce clinician burnout, the cost of compute resources associated with LLMs may impact our technology and development expenses. Furthermore, if the AI-generated outputs fail to meet clinical or regulatory standards, it could result in increased liability or decreased user trust, reputational harm, additional regulatory scrutiny, and reduced demand for our services.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2025, Talkspace acquired Wisdo Health,a clinically-proven and AI-powered social health and peer support platform. Social health and the presence of supportive human connections are critical components of overall health and the acquisition of Wisdo better positions Talkspace to address loneliness and isolation, conditions that affect nearly half of U.S. adults, drive significant costs, and were declared a public health crisis by the U.S. Surgeon General. Backed by peer-reviewed research, Wisdo has demonstrated significant improvements in health outcomes, including reductions in loneliness and depression. The results of this acquisition is included in the Company’s consolidated financial statements from the date of acquisition. Refer to Note 2, “Summary of Significant Accounting Policies and Estimates” in notes to the consolidated financial statements included in Part II, Item 8 of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 and Economic Conditions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could also be impacted by inflation and higher interest rates. Inflation did not have a material effect on our business, financial condition or results of operations for the years ended December 31, 2025 and 2024.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Big Beautiful Bill Act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Act (“OBBBA”) was enacted, introducing amendments to the U.S. federal income tax code. The OBBBA permanently restores 100% bonus depreciation for qualified property acquired and placed in service after January 19, 2025, and allows immediate expensing of domestic research and experimental expenditures for tax years beginning after December 31, 2024. Although we continue to maintain a full valuation allowance against our U.S. deferred tax assets as of December 31, 2025, we expect these provisions to increase available deductions and extend the period during which future taxable income may be sheltered, improving liquidity to the extent we generate taxable income.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Fluctuations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results may fluctuate from period-to-period as a result of a variety of factors, many of which are outside of our control, including, without limitation, the factors described in this section. Most of our revenue in any given quarter is derived from contracts entered into with our customers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customers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which is how the chief operating decision maker (“CODM”),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540" w:type="dxa"/>
            <w:vAlign w:val="bottom"/>
            <w:gridSpan w:val="3"/>
          </w:tcPr>
          <w:p>
            <w:pPr>
              <w:jc w:val="center"/>
              <w:ind w:lef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254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1700" w:type="dxa"/>
            <w:vAlign w:val="bottom"/>
            <w:tcBorders>
              <w:bottom w:val="single" w:sz="8" w:color="auto"/>
            </w:tcBorders>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completed Payor sessions during the year</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Number of health plan customers at year end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enterprise customers at year end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Number of Consumer active members at year end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7520" w:type="dxa"/>
            <w:vAlign w:val="bottom"/>
          </w:tcPr>
          <w:p>
            <w:pPr>
              <w:spacing w:after="0"/>
              <w:rPr>
                <w:sz w:val="24"/>
                <w:szCs w:val="24"/>
                <w:color w:val="auto"/>
              </w:rPr>
            </w:pPr>
          </w:p>
        </w:tc>
        <w:tc>
          <w:tcPr>
            <w:tcW w:w="2540" w:type="dxa"/>
            <w:vAlign w:val="bottom"/>
            <w:gridSpan w:val="3"/>
          </w:tcPr>
          <w:p>
            <w:pPr>
              <w:jc w:val="cente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520" w:type="dxa"/>
            <w:vAlign w:val="bottom"/>
          </w:tcPr>
          <w:p>
            <w:pPr>
              <w:spacing w:after="0"/>
              <w:rPr>
                <w:sz w:val="15"/>
                <w:szCs w:val="15"/>
                <w:color w:val="auto"/>
              </w:rPr>
            </w:pPr>
          </w:p>
        </w:tc>
        <w:tc>
          <w:tcPr>
            <w:tcW w:w="254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Borders>
              <w:bottom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Unique Payor active members during the period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-156845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Consumer 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until the term of their monthly, quarterly or bi-annual subscription plan expires, unless terminated early.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revenues from services provided to individuals who are qualified to receive access to the Company's services through our arrangements with health insurance plans, employee assistance organizations and enterprises. We also generate revenues from the sale of monthly, quarterly, bi-annual and annual membership subscriptions to the Company's therapy platform as well as supplementary a la carte offerings directly to individual consumers through a subscription plan. Revenue growth is generated from a combination of increasing utilization within our Payor members and expanding enterprise customers. See Note 2, “Summary of Significant Accounting Policies and Estimates” in notes to the consolidated financial statements for further details.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Cost of revenue is comprised primarily of therapist payments. Cost of revenue is largely driven by the number of sessions and the size of our provider network that is required to service the growth of our Payor and DTE customers, in addition to the growth of our customer base.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scale our provider network, we also expect increased efficiencies and economies of scale. Our cost of revenue as a percentage of revenue is expected to fluctuate from period to period depending on the interplay of these factors as well as pricing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participation in trade shows, brand messaging and costs of communications materials that are produced for our customers to generate greater awareness and utilization of our platform among our Payor and DTE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 primarily of depreciation expense on computer and equipment, and amortization of capitalized internal use-software costs and intangible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interest earned in investments in marketable securities and other highly liquid investments, (ii) non-cash changes in the fair value of our warrant liabilities, and (iii) other financial expenses in connection with bank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consists of U.S. State income taxes related to income generated by our U.S. subsidiaries and foreign income taxes related to income generated by our subsidiary organized under the laws of Israel.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years ended December 31, 2025 and 2024 and the dollar and percentage change between the respective years: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gridSpan w:val="3"/>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8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41"/>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20"/>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81"/>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Payor revenue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171,518</w:t>
            </w:r>
          </w:p>
        </w:tc>
        <w:tc>
          <w:tcPr>
            <w:tcW w:w="32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124,339</w:t>
            </w:r>
          </w:p>
        </w:tc>
        <w:tc>
          <w:tcPr>
            <w:tcW w:w="18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DTE revenue</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39,880</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revenue</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(7,315)</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228,871</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187,593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 excluding</w:t>
            </w:r>
          </w:p>
        </w:tc>
        <w:tc>
          <w:tcPr>
            <w:tcW w:w="8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130,522</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29,211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(736)</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Clinical operations, net</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21,767</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22,573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(806)</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3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225,719</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192,090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(4,497)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(5,215)</w:t>
            </w:r>
          </w:p>
        </w:tc>
        <w:tc>
          <w:tcPr>
            <w:tcW w:w="4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(5,739)</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32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8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2025 compared to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Overall, the increase in revenue for the year ended December 31, 2025 compared to year ended December 31, 2024 was predominantly volume-driven reflecting a shift in revenue mix towards Payor.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increased by $41.3 million, or 22.0%, to $228.9 million for the year ended December 31, 2025 from $187.6 million for the year ended December 31, 2024, primarily due to a 37.9% increase in Payor revenue, which was driven by a 31.5% increase in the number of completed Payor sessions, partially offset by a 29.5% decline in Consumer revenue. The increase in Payor sessions is primarily due to a 29.7% increase in active payor members and a 29.6% increase in the number of health plan customers. Consumer subscription revenue decreased by $7.3 million, or 29.5%, to $17.5 million for the year ended December 31, 2025 from $24.8 million for the year ended December 31, 2024, primarily due to a 30.0% decline in Consumer active members due to the Company's intentional and strategic decision to optimize and focus marketing efforts on attracting Payor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excluding depreciation and amortization, increased by $29.2 million or 28.8%, to $130.5 million for the year ended December 31, 2025 from $101.3 million for the year ended December 31, 2024, primarily due to a 21.7% increase in hours worked by therapists as a result of increased Payor sessions.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$0.7 million, or 7.2%, to $9.5 million for the year ended December 31, 2025 from $10.3 million for the year ended December 31, 2024, primarily due to a $0.8 million decrease in employee-related costs, as a result of the exclusion of amounts reflected as capitalized internal-use software development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operations expenses increased by $0.7 million, or 10.2%, to $7.2 million for the year ended December 31, 2025 from $6.5 million for the year ended December 31, 2024, primarily due to a $0.6 million increase in employee-related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$3.3 million, or 6.5%, to $53.8 million for the year ended December 31, 2025 from $50.5 million for the year ended December 31, 2024. The increase in sales and marketing expenses was primarily driven by a $4.6 million increase in direct marketing and promotional costs, partially offset by a $1.0 million decrease in employee-related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$0.8 million, or 3.6%, to $21.8 million for the year ended December 31, 2025 from $22.6 million for the year ended December 31, 2024. The decrease in general and administrative expenses was primarily due to a $1.1 million decrease in employee-related costs, partially offset by a $0.4 million increase in software tools and subscriptions.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by $2.0 million to $2.9 million for the year ended December 31, 2025 from $0.9 million for the year ended December 31, 2024. The increase in depreciation and amortization expense was primarily due a $1.8 million increase in amortization expense related to capitalized internal-use software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income, net decreased by $0.5 million, or 9.1%, to $5.2 million for the year ended December 31, 2025 from $5.7 million for the year ended December 31, 2024. The decrease in financial income, net was primarily due to a $1.6 million decrease in interest income earned on marketable securities and other highly liquid investments due to a reduction in interest rates, partially offset by a $1.3 million unrealized gain on the remeasurement of 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increased by $0.5 million, or 510.6%, to $0.6 million for the year ended December 31, 2025 from $0.1 million for the year ended December 31, 2024, mainly due to U.S. State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2024 compared to December 31,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 results for the year ended December 31, 2024 compared to the year ended December 31, 2023, please refer to the “Management's Discussion and Analysis of Financial Condition and Results of Operations” in Part II, Item 7 of our Annual Report on Form 10-K for the fiscal year ended December 31, 2024 filed on March 12, 2025.</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and other GAAP results.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income,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(i) depreciation and amortization, (ii) stock-based compensation expense, (iii) financial income, net, (iv) income tax expense, and (v) certain non-recurring expenses, where applicable.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income for the years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4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(5,215)</w:t>
            </w:r>
          </w:p>
        </w:tc>
        <w:tc>
          <w:tcPr>
            <w:tcW w:w="5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(1)</w:t>
            </w:r>
          </w:p>
        </w:tc>
        <w:tc>
          <w:tcPr>
            <w:tcW w:w="4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32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ind w:left="1020" w:right="160" w:hanging="503"/>
        <w:spacing w:after="0" w:line="241"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year-ended December 31, 2025, non-recurring expenses primarily consisted of acquisition related expenses and severance costs related to the departure of a key executive of the Company. For the year-ended December 31, 2024, non-recurring expenses primarily consisted of severance costs related to the departure of key executives of the Company and other related costs.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maintained a strong capital position with $92.6 million in cash, cash equivalents, and short-term marketable securities ($117.8 million as of December 31, 2024), which we use to finance our operations and support a variety of growth initiatives and investments. We have no debt as of December 31, 2025 and December 31, 2024.</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healthcare services. Additionally, we may enter into arrangements to acquire or invest in complementary businesses, services and technologies.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12 months and thereafter for the foreseeable future using available cash and cash equivalent balances.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24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 All shares repurchased will be retired. Refer to Note 9, “Capital Stock” in notes to the consolidated financial statements included in Part II, Item 8 of this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years ended December 31, 2025 and 2024:</w:t>
      </w:r>
    </w:p>
    <w:p>
      <w:pPr>
        <w:spacing w:after="0" w:line="111"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8,534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11,704</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(46,732)</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(12,188)</w:t>
            </w:r>
          </w:p>
        </w:tc>
        <w:tc>
          <w:tcPr>
            <w:tcW w:w="0" w:type="dxa"/>
            <w:vAlign w:val="bottom"/>
          </w:tcPr>
          <w:p>
            <w:pPr>
              <w:spacing w:after="0"/>
              <w:rPr>
                <w:sz w:val="1"/>
                <w:szCs w:val="1"/>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(39,340)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(47,216)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$8.5 million for the year ended December 31, 2025 compared to $11.7 million for the year ended December 31, 2024. The decline in net cash provided by operating activities was primarily due to timing of customer payments which increased accounts receivable, partially offset by higher net income during the year ended December 31, 2025 compared to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$28.9 million for the year ended December 31, 2025 compared to $46.7 million for the year ended December 31, 2024. The decrease in net cash used in investing activities was driven primarily by higher proceeds from maturities of marketable securities, partially offset by purchases of marketable securities, capitalized internal-use software development costs and the acquisition of Wisdo Health.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$19.0 million for the year ended December 31, 2025 compared to $12.2 million for the year ended December 31, 2024. The increase in net cash used in financing activities was driven primarily by an increase in repurchases of common stock for retirement, partially offset by a decrease in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did not have any short-term or long-term debt, or any significant long-term liabilities. As of December 31, 2025, we have a non-material long-term operating lease for our office space in New York, 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there were no material legal proceedings, claims or litigation. 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policies are essential to understanding and interpreting the financial results reported on the consolidated financial statements. The significant accounting policies used in the preparation of our consolidated financial statements are summarized in Note 2, “Summary of Significant Accounting Policies and Estimates” in the notes to the consolidated financial statements. Certain of those policies are considered to be particularly important to the presentation of our financial results because they require management to make difficult, complex or subjective judgments, often as a result of matters that are inherently uncertain. The following is a discussion of these estimates: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revenues in accordance with ASC 606, “Revenue from Contracts with Customers”. Revenues are recognized when we satisfy our performance obligation to perform our defined contractual obligations to provide virtual behavioral healthcare services. The transaction price is determined based on the consideration to which we will be entitled in exchange for the service rendered. To the extent the transaction price includes variable consideration, we estimate the amount of variable consideration that is included in the transaction price at contract inception and reassesses this estimate at each reporting date. Variable consideration is included in the transaction price if it is probable that a significant reversal of cumulative revenue recognized will not occur when the uncertainty associated with the variable consideration is subsequently resolved. Variable consideration estimate is primarily based on actual historical collection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Internal-use Software Costs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capitalize certain costs related to the development of our proprietary virtual behavioral health platform and clinical automation tools, including those incorporating generative AI. In accordance with ASC 350-40, Internal Use Software, software development activities generally consist of three stages (i) the preliminary project stage, (ii) the application development stage, and (iii) the post-implementation operational stage. Costs incurred during the preliminary project stage and during the post-implementation operational stage are expensed as incurred. Eligible costs incurred during the application development stage of the project are capitalized and are amortized on a straight-line basis over the software’s estimated useful life, generally 3 years. Maintenance costs are expensed as incurred.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718, “Compensation - Stock Compensation”. Compensation costs for share-based awards are measured at the fair value on the grant date and recognized as expense using the straight-line method for service-based awards over the requisite service period. The fair value of stock options is determined using the Black-Scholes-Merton option pricing model. The option-pricing model requires a number of assumptions, of which the most significant is the expected stock price volatility and the expected option term. Expected volatility is calculated based upon our historical share price movements as well as similar traded companies’ historical share price movements as adequate historical experience is not available to provide a reasonable estimate based only on our share price. Expected term is calculated based on the simplified method as adequate historical experience is not yet available to provide a reasonable estimate. The simplified method will continue to apply until enough historical experience is available to provide a reasonable estimate of the expected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and Estimates” in notes to the consolidated financial statements for information regarding recent accounting developments and their impact on our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stock-based compensation, revenue recognition, business strategy, plans and market growth.</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and other such statements we publicly make from time 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2025.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and the documents that we reference herein and have filed as exhibits to this Annual Report on Form 10-K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or any forward-looking statements we may publicly make from time-to-time,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totaling $37.4 million and $55.2 million in marketable securities, which are held for a variety of growth initiatives and investments as well as working capital purposes. We do not have any indebtedness for borrowed money outstanding.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that a hypothetical increase or decrease of 100 basis points in interest rates would have a material effect on our business, financial condition or results of operations. However, our earnings on cash equivalents are subject to market risk due to changes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a substantial majority of our revenue from customer arrangements has been denominated in U.S. dollars. We have limited operations outside the United States. Accordingly, we believe we do not have a material exposure to foreign currency risk. In the future, we may choose to focus on international expansion, which may increase our exposure to foreign currency exchange risk.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834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r>
      <w:tr>
        <w:trPr>
          <w:trHeight w:val="885"/>
        </w:trPr>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80" w:type="dxa"/>
            <w:vAlign w:val="bottom"/>
          </w:tcPr>
          <w:p>
            <w:pPr>
              <w:spacing w:after="0"/>
              <w:rPr>
                <w:sz w:val="24"/>
                <w:szCs w:val="24"/>
                <w:color w:val="auto"/>
              </w:rPr>
            </w:pPr>
          </w:p>
        </w:tc>
      </w:tr>
      <w:tr>
        <w:trPr>
          <w:trHeight w:val="540"/>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gridSpan w:val="9"/>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580" w:type="dxa"/>
            <w:vAlign w:val="bottom"/>
          </w:tcPr>
          <w:p>
            <w:pPr>
              <w:spacing w:after="0"/>
              <w:rPr>
                <w:sz w:val="24"/>
                <w:szCs w:val="24"/>
                <w:color w:val="auto"/>
              </w:rPr>
            </w:pPr>
          </w:p>
        </w:tc>
      </w:tr>
      <w:tr>
        <w:trPr>
          <w:trHeight w:val="391"/>
        </w:trPr>
        <w:tc>
          <w:tcPr>
            <w:tcW w:w="120" w:type="dxa"/>
            <w:vAlign w:val="bottom"/>
          </w:tcPr>
          <w:p>
            <w:pPr>
              <w:spacing w:after="0"/>
              <w:rPr>
                <w:sz w:val="24"/>
                <w:szCs w:val="24"/>
                <w:color w:val="auto"/>
              </w:rPr>
            </w:pPr>
          </w:p>
        </w:tc>
        <w:tc>
          <w:tcPr>
            <w:tcW w:w="4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20" w:type="dxa"/>
            <w:vAlign w:val="bottom"/>
            <w:tcBorders>
              <w:bottom w:val="single" w:sz="8" w:color="0000EE"/>
            </w:tcBorders>
          </w:tcPr>
          <w:p>
            <w:pPr>
              <w:spacing w:after="0"/>
              <w:rPr>
                <w:sz w:val="24"/>
                <w:szCs w:val="24"/>
                <w:color w:val="auto"/>
              </w:rPr>
            </w:pPr>
          </w:p>
        </w:tc>
        <w:tc>
          <w:tcPr>
            <w:tcW w:w="5220" w:type="dxa"/>
            <w:vAlign w:val="bottom"/>
            <w:gridSpan w:val="6"/>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196"/>
        </w:trPr>
        <w:tc>
          <w:tcPr>
            <w:tcW w:w="120" w:type="dxa"/>
            <w:vAlign w:val="bottom"/>
          </w:tcPr>
          <w:p>
            <w:pPr>
              <w:spacing w:after="0"/>
              <w:rPr>
                <w:sz w:val="17"/>
                <w:szCs w:val="17"/>
                <w:color w:val="auto"/>
              </w:rPr>
            </w:pPr>
          </w:p>
        </w:tc>
        <w:tc>
          <w:tcPr>
            <w:tcW w:w="9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1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Income Statements for the years ended December 31, 2025, 2024 and 2023</w:t>
            </w: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2025, 2024 and 2023</w:t>
            </w: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20" w:type="dxa"/>
            <w:vAlign w:val="bottom"/>
          </w:tcPr>
          <w:p>
            <w:pPr>
              <w:spacing w:after="0"/>
              <w:rPr>
                <w:sz w:val="17"/>
                <w:szCs w:val="17"/>
                <w:color w:val="auto"/>
              </w:rPr>
            </w:pPr>
          </w:p>
        </w:tc>
        <w:tc>
          <w:tcPr>
            <w:tcW w:w="828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260" w:type="dxa"/>
            <w:vAlign w:val="bottom"/>
          </w:tcPr>
          <w:p>
            <w:pPr>
              <w:spacing w:after="0"/>
              <w:rPr>
                <w:sz w:val="17"/>
                <w:szCs w:val="17"/>
                <w:color w:val="auto"/>
              </w:rPr>
            </w:pP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758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960" w:type="dxa"/>
            <w:vAlign w:val="bottom"/>
            <w:gridSpan w:val="2"/>
          </w:tcPr>
          <w:p>
            <w:pPr>
              <w:spacing w:after="0"/>
              <w:rPr>
                <w:sz w:val="17"/>
                <w:szCs w:val="17"/>
                <w:color w:val="auto"/>
              </w:rPr>
            </w:pP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40" w:type="dxa"/>
            <w:vAlign w:val="bottom"/>
            <w:tcBorders>
              <w:top w:val="single" w:sz="8" w:color="0000FF"/>
            </w:tcBorders>
            <w:gridSpan w:val="5"/>
          </w:tcPr>
          <w:p>
            <w:pPr>
              <w:spacing w:after="0"/>
              <w:rPr>
                <w:sz w:val="17"/>
                <w:szCs w:val="17"/>
                <w:color w:val="auto"/>
              </w:rPr>
            </w:pPr>
          </w:p>
        </w:tc>
        <w:tc>
          <w:tcPr>
            <w:tcW w:w="2640" w:type="dxa"/>
            <w:vAlign w:val="bottom"/>
            <w:gridSpan w:val="3"/>
          </w:tcPr>
          <w:p>
            <w:pPr>
              <w:spacing w:after="0"/>
              <w:rPr>
                <w:sz w:val="17"/>
                <w:szCs w:val="17"/>
                <w:color w:val="auto"/>
              </w:rPr>
            </w:pPr>
          </w:p>
        </w:tc>
        <w:tc>
          <w:tcPr>
            <w:tcW w:w="1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101"/>
        </w:trPr>
        <w:tc>
          <w:tcPr>
            <w:tcW w:w="652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Talkspace,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Talkspace, Inc. (the Company) as of December 31, 2025 and 2024, the related consolidated income statements,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13, 2026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Estimation of transaction price and variable consideration for revenue recognition</w:t>
      </w:r>
    </w:p>
    <w:p>
      <w:pPr>
        <w:spacing w:after="0" w:line="67" w:lineRule="exact"/>
        <w:rPr>
          <w:sz w:val="20"/>
          <w:szCs w:val="20"/>
          <w:color w:val="auto"/>
        </w:rPr>
      </w:pPr>
    </w:p>
    <w:p>
      <w:pPr>
        <w:jc w:val="both"/>
        <w:ind w:left="40" w:right="40" w:firstLine="1472"/>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of the consolidated financial statements, the Company recognizes revenues from contracted insurance payors </w:t>
      </w:r>
      <w:r>
        <w:rPr>
          <w:rFonts w:ascii="Times New Roman" w:cs="Times New Roman" w:eastAsia="Times New Roman" w:hAnsi="Times New Roman"/>
          <w:sz w:val="18"/>
          <w:szCs w:val="18"/>
          <w:i w:val="1"/>
          <w:iCs w:val="1"/>
          <w:color w:val="auto"/>
        </w:rPr>
        <w:t xml:space="preserve">Description of the </w:t>
      </w:r>
      <w:r>
        <w:rPr>
          <w:rFonts w:ascii="Times New Roman" w:cs="Times New Roman" w:eastAsia="Times New Roman" w:hAnsi="Times New Roman"/>
          <w:sz w:val="18"/>
          <w:szCs w:val="18"/>
          <w:color w:val="auto"/>
        </w:rPr>
        <w:t>and employee assistance organizations at a point in time based on contracted rates, net of implicit price concessions, as virtual therapy</w:t>
      </w:r>
    </w:p>
    <w:p>
      <w:pPr>
        <w:jc w:val="both"/>
        <w:ind w:left="1520" w:right="40" w:hanging="1479"/>
        <w:spacing w:after="0" w:line="255"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or psychiatry session is rendered ("payor revenues"). The Company estimates the amount of variable consideration that is included in the transaction price mainly by estimating claims denials by insurance payor, primarily based on actual historical collection experience by insurance payor. For the year ended December 31, 2025, payor revenues were $171.5 million.</w:t>
      </w:r>
    </w:p>
    <w:p>
      <w:pPr>
        <w:spacing w:after="0" w:line="132" w:lineRule="exact"/>
        <w:rPr>
          <w:sz w:val="20"/>
          <w:szCs w:val="20"/>
          <w:color w:val="auto"/>
        </w:rPr>
      </w:pPr>
    </w:p>
    <w:p>
      <w:pPr>
        <w:jc w:val="both"/>
        <w:ind w:left="1520" w:right="40"/>
        <w:spacing w:after="0" w:line="266" w:lineRule="auto"/>
        <w:rPr>
          <w:sz w:val="20"/>
          <w:szCs w:val="20"/>
          <w:color w:val="auto"/>
        </w:rPr>
      </w:pPr>
      <w:r>
        <w:rPr>
          <w:rFonts w:ascii="Times New Roman" w:cs="Times New Roman" w:eastAsia="Times New Roman" w:hAnsi="Times New Roman"/>
          <w:sz w:val="18"/>
          <w:szCs w:val="18"/>
          <w:color w:val="auto"/>
        </w:rPr>
        <w:t>Auditing management's determination of the transaction price, including variable consideration, was complex and judgmental due to significant data inputs and subjective assumptions used in the process. In determining the transaction price, management develops estimates based on actual historical collection experience by insurance payor.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24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estimating the amount of variable consideration included in the transaction price, including management’s review of the assumptions used, results of calculations, and assessment of the underlying data.</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the estimate of variable consideration, our audit procedures also included, assessing the methodology and testing the underlying data used by the Company in its analysis. We compared the collection rates used by management to historical collection trends and evaluated whether changes in the Company’s business model, payor mix, and other factors would affect the estimate of variable consideration. We also assessed the historical accuracy of management’s estimates and performed a sensitivity analysis to evaluate changes in variable consideration resulting from changes in the expected collection rates used and the corresponding effect on revenues.</w:t>
      </w:r>
    </w:p>
    <w:p>
      <w:pPr>
        <w:spacing w:after="0" w:line="200" w:lineRule="exact"/>
        <w:rPr>
          <w:sz w:val="20"/>
          <w:szCs w:val="20"/>
          <w:color w:val="auto"/>
        </w:rPr>
      </w:pPr>
    </w:p>
    <w:p>
      <w:pPr>
        <w:sectPr>
          <w:pgSz w:w="11900" w:h="16838" w:orient="portrait"/>
          <w:cols w:equalWidth="0" w:num="2">
            <w:col w:w="1300" w:space="220"/>
            <w:col w:w="968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Talkspace, Inc.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Talkspace, Inc.'s internal control over financial reporting as of December 31, 2025, based on criteria established in Internal Control— Integrated Framework issued by the Committee of Sponsoring Organizations of the Treadway Commission (2013 framework) (the COSO criteria). In our opinion, Talkspace, Inc. (the Company) maintained, in all material respects, effective internal control over financial reporting as of December 31, 2025, based on the COSO criteria.</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income statements, comprehensive income (loss), stockholders’ equity and cash flows for each of the three years in the period ended December 31, 2025, and the related notes and our report dated March 13, 2026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111,062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8"/>
                <w:szCs w:val="18"/>
                <w:color w:val="auto"/>
              </w:rPr>
            </w:pPr>
          </w:p>
        </w:tc>
      </w:tr>
      <w:tr>
        <w:trPr>
          <w:trHeight w:val="25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134,863</w:t>
            </w: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138,677</w:t>
            </w:r>
          </w:p>
        </w:tc>
        <w:tc>
          <w:tcPr>
            <w:tcW w:w="100" w:type="dxa"/>
            <w:vAlign w:val="bottom"/>
            <w:shd w:val="clear" w:color="auto" w:fill="CFF0FC"/>
          </w:tcPr>
          <w:p>
            <w:pPr>
              <w:spacing w:after="0"/>
              <w:rPr>
                <w:sz w:val="21"/>
                <w:szCs w:val="21"/>
                <w:color w:val="auto"/>
              </w:rPr>
            </w:pPr>
          </w:p>
        </w:tc>
      </w:tr>
      <w:tr>
        <w:trPr>
          <w:trHeight w:val="197"/>
        </w:trPr>
        <w:tc>
          <w:tcPr>
            <w:tcW w:w="75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of $0.0001 par value — Authorized: 1,000,000,000 shares at December 31, 2025 and</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Issued and outstanding: 166,718,150 and 168,849,591 shares at December 31, 2025 and 2024,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386,612</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(269,236)</w:t>
            </w:r>
          </w:p>
        </w:tc>
      </w:tr>
      <w:tr>
        <w:trPr>
          <w:trHeight w:val="216"/>
        </w:trPr>
        <w:tc>
          <w:tcPr>
            <w:tcW w:w="7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117,395</w:t>
            </w:r>
          </w:p>
        </w:tc>
        <w:tc>
          <w:tcPr>
            <w:tcW w:w="100" w:type="dxa"/>
            <w:vAlign w:val="bottom"/>
          </w:tcPr>
          <w:p>
            <w:pPr>
              <w:spacing w:after="0"/>
              <w:rPr>
                <w:sz w:val="18"/>
                <w:szCs w:val="18"/>
                <w:color w:val="auto"/>
              </w:rPr>
            </w:pPr>
          </w:p>
        </w:tc>
      </w:tr>
      <w:tr>
        <w:trPr>
          <w:trHeight w:val="23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134,863</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138,677</w:t>
            </w:r>
          </w:p>
        </w:tc>
        <w:tc>
          <w:tcPr>
            <w:tcW w:w="100" w:type="dxa"/>
            <w:vAlign w:val="bottom"/>
            <w:shd w:val="clear" w:color="auto" w:fill="CFF0FC"/>
          </w:tcPr>
          <w:p>
            <w:pPr>
              <w:spacing w:after="0"/>
              <w:rPr>
                <w:sz w:val="19"/>
                <w:szCs w:val="19"/>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-3136900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-2553970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8" w:lineRule="exact"/>
        <w:rPr>
          <w:sz w:val="20"/>
          <w:szCs w:val="20"/>
          <w:color w:val="auto"/>
        </w:rPr>
      </w:pPr>
    </w:p>
    <w:p>
      <w:pPr>
        <w:jc w:val="both"/>
        <w:ind w:left="1020" w:hanging="503"/>
        <w:spacing w:after="0" w:line="236"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Talkspace, Inc's consolidated balance sheets include assets of consolidated variable interest entities (“VIEs”) that can only be used to settle obligations of these VIEs and liabilities of consolidated VIEs for which creditors do not have recourse to Talkspace, Inc. or its affiliates. At December 31, 2025 and December 31, 2024, assets of these consolidated VIEs totaled $13,562 and $6,875, respectively. At December 31, 2025 and December 31, 2024, liabilities of these consolidated VIEs totaled $3,755 and $2,528, respectively. See Note 13, “Variable Interest Entities,”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228,871</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187,593</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75,219</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Clinical operations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r>
      <w:tr>
        <w:trPr>
          <w:trHeight w:val="20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225,719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192,090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(23,209)</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(5,215)</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(4,245)</w:t>
            </w:r>
          </w:p>
        </w:tc>
      </w:tr>
      <w:tr>
        <w:trPr>
          <w:trHeight w:val="20"/>
        </w:trPr>
        <w:tc>
          <w:tcPr>
            <w:tcW w:w="6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(18,964)</w:t>
            </w:r>
          </w:p>
        </w:tc>
      </w:tr>
      <w:tr>
        <w:trPr>
          <w:trHeight w:val="21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r>
      <w:tr>
        <w:trPr>
          <w:trHeight w:val="20"/>
        </w:trPr>
        <w:tc>
          <w:tcPr>
            <w:tcW w:w="6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167,089,060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168,906,900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100" w:type="dxa"/>
            <w:vAlign w:val="bottom"/>
            <w:shd w:val="clear" w:color="auto" w:fill="CFF0FC"/>
          </w:tcPr>
          <w:p>
            <w:pPr>
              <w:spacing w:after="0"/>
              <w:rPr>
                <w:sz w:val="18"/>
                <w:szCs w:val="18"/>
                <w:color w:val="auto"/>
              </w:rPr>
            </w:pP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173,648,431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176,495,872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-1709420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-1709420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-1709420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-1426845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-1426845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-1426845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-1143635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-1143635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-1143635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unrealized gains on marketable debt securities</w:t>
            </w:r>
          </w:p>
        </w:tc>
        <w:tc>
          <w:tcPr>
            <w:tcW w:w="9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9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-316230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161,155,030</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378,722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(251,202)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4,592,195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2,681,631</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(810)</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(19,182)</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(19,182)</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168,428,856</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(270,384)</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1,710,285</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2,621,709</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(3,196)</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(3,911,259)</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(11,003)</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(11,003)</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168,849,591</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386,612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(269,236)</w:t>
            </w: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1,167,495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2,727,113</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(2,707)</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(6,577,115)</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(17,289)</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(17,289)</w:t>
            </w:r>
          </w:p>
        </w:tc>
        <w:tc>
          <w:tcPr>
            <w:tcW w:w="0" w:type="dxa"/>
            <w:vAlign w:val="bottom"/>
          </w:tcPr>
          <w:p>
            <w:pPr>
              <w:spacing w:after="0"/>
              <w:rPr>
                <w:sz w:val="1"/>
                <w:szCs w:val="1"/>
                <w:color w:val="auto"/>
              </w:rPr>
            </w:pPr>
          </w:p>
        </w:tc>
      </w:tr>
      <w:tr>
        <w:trPr>
          <w:trHeight w:val="18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as consideration for</w:t>
            </w: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551,066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166,718,150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378,384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(261,443)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-2236470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-2236470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-2236470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-2236470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-2236470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-2236470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an amount lower than $1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0"/>
        </w:trPr>
        <w:tc>
          <w:tcPr>
            <w:tcW w:w="2840" w:type="dxa"/>
            <w:vAlign w:val="bottom"/>
            <w:tcBorders>
              <w:bottom w:val="single" w:sz="8" w:color="auto"/>
            </w:tcBorders>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36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left w:val="single" w:sz="8" w:color="CFF0FC"/>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r>
      <w:tr>
        <w:trPr>
          <w:trHeight w:val="198"/>
        </w:trPr>
        <w:tc>
          <w:tcPr>
            <w:tcW w:w="6500" w:type="dxa"/>
            <w:vAlign w:val="bottom"/>
            <w:gridSpan w:val="4"/>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discount on marketable securities, net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8"/>
                <w:szCs w:val="18"/>
                <w:color w:val="auto"/>
              </w:rPr>
            </w:pP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(1,286)</w:t>
            </w: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(4,437)</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(4,034)</w:t>
            </w: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27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(16,393)</w:t>
            </w:r>
          </w:p>
        </w:tc>
      </w:tr>
      <w:tr>
        <w:trPr>
          <w:trHeight w:val="190"/>
        </w:trPr>
        <w:tc>
          <w:tcPr>
            <w:tcW w:w="650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tcBorders>
              <w:lef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720" w:type="dxa"/>
            <w:vAlign w:val="bottom"/>
            <w:tcBorders>
              <w:top w:val="single" w:sz="8" w:color="CFF0FC"/>
            </w:tcBorders>
            <w:gridSpan w:val="3"/>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(49,344)</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(40,701)</w:t>
            </w:r>
          </w:p>
        </w:tc>
        <w:tc>
          <w:tcPr>
            <w:tcW w:w="3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(5,443)</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(28,877)</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(46,315)</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169"/>
        </w:trPr>
        <w:tc>
          <w:tcPr>
            <w:tcW w:w="6500" w:type="dxa"/>
            <w:vAlign w:val="bottom"/>
            <w:tcBorders>
              <w:top w:val="single" w:sz="8" w:color="CFF0FC"/>
            </w:tcBorders>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1"/>
        </w:trPr>
        <w:tc>
          <w:tcPr>
            <w:tcW w:w="27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(3,195)</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65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(11,003)</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(12,188)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8"/>
                <w:szCs w:val="18"/>
                <w:color w:val="auto"/>
              </w:rPr>
            </w:pPr>
          </w:p>
        </w:tc>
      </w:tr>
      <w:tr>
        <w:trPr>
          <w:trHeight w:val="210"/>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(39,340)</w:t>
            </w: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(47,216)</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(14,637)</w:t>
            </w:r>
          </w:p>
        </w:tc>
      </w:tr>
      <w:tr>
        <w:trPr>
          <w:trHeight w:val="216"/>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tcPr>
          <w:p>
            <w:pPr>
              <w:spacing w:after="0"/>
              <w:rPr>
                <w:sz w:val="18"/>
                <w:szCs w:val="18"/>
                <w:color w:val="auto"/>
              </w:rPr>
            </w:pPr>
          </w:p>
        </w:tc>
      </w:tr>
      <w:tr>
        <w:trPr>
          <w:trHeight w:val="250"/>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540" w:type="dxa"/>
            <w:vAlign w:val="bottom"/>
            <w:tcBorders>
              <w:lef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24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shd w:val="clear" w:color="auto" w:fill="CFF0FC"/>
          </w:tcPr>
          <w:p>
            <w:pPr>
              <w:spacing w:after="0"/>
              <w:rPr>
                <w:sz w:val="21"/>
                <w:szCs w:val="21"/>
                <w:color w:val="auto"/>
              </w:rPr>
            </w:pPr>
          </w:p>
        </w:tc>
      </w:tr>
      <w:tr>
        <w:trPr>
          <w:trHeight w:val="196"/>
        </w:trPr>
        <w:tc>
          <w:tcPr>
            <w:tcW w:w="27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6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paid during the year for income taxes, net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16"/>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activity:</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5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capitalized as part of capitalization of internal-use software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lef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as consideration for acquisition</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540" w:type="dxa"/>
            <w:vAlign w:val="bottom"/>
            <w:tcBorders>
              <w:lef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Excise tax liability incurred for repurchase of common stock</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-3799840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-3799840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-3799840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-2677160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-2677160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-2677160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-2119630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-2119630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-2119630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-1408430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-1391285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-1408430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-1391285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-1408430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-1391285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Since its founding in 2012, the Company has connected millions of patients with licensed mental health providers across a wide and growing spectrum of care through virtual counseling, psychotherapy and psychiatry.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 has wholly-owned subsidiaries and holds a variable interest in professional associations and professional corporations, which have been established pursuant to the requirements of their respective domestic jurisdiction governing the corporate practice of medicine. These entities are considered Variable Interest Entities (“VIEs”). See Note 13, “Variable Interest Entities,” for further details.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U.S. generally accepted accounting principles (“U.S. GAAP”). In management’s opinion, the consolidated financial statements reflect all adjustments of a normal recurring nature that are necessary for a fair presentation of the results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consolidated financial statements. The Company’s significant estimates and assumptions used in these consolidated financial statements include, but are not limited to, the recognition of revenue, stock-based compensation awards and internal-use software costs.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 presentation. These reclassifications had no effect on the reported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provides virtual behavioral healthcare services through its online platform for one-on-one therapy delivered via messaging, audio and video. The Company's chief operating decision maker ("CODM") is the Chief Executive Officer, who manages the Company by reviewing consolidated results. Accordingly, the Company operates as one operating and reportable segment. The CODM uses the Company’s consolidated net income to assess the financial performance of the Company and allocate resources. Since the Company operates in one operating segment, financial information, including consolidated net income information evaluated by the CODM, can be found in the consolidated income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assets are managed on a consolidated basis. For total asset information please refer to the consolidated balance sheets included within the consolidated financial statements. Most of the Company's long-lived tangible assets, as well as the Company's operating lease right-of-use asset, are located in the United States. Other financial information regarding the Company's operating segment is presented elsewhere in the consolidated financial statements.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all of the Company’s revenue was generated from customers located in the United States. For the types of services from which the reportable segment derives its revenue refer to Note 3, “Revenue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repurchases its common stock from time to time pursuant to a board-authorized share repurchase program. Stock repurchases are accounted under ASC 505-30, Treasury Stock. The Company's policy is to retire all stock repurchased immediately after the transaction is completed. The Company records the amounts repurchased in excess of par value as a reduction to additional paid in capital. See Note 9, “Capital Stock,”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operations are based in the United States. Most of the Company’s revenues and costs are denominated in United States dollars (“dollar”). The Company’s management believes that the dollar is the primary currency of the economic environment in which the Company and each of its subsidiaries operate. Thus, the dollar is the Company’s functional and reporting currency.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non-dollar denominated transactions and balances have been re-measured into the functional currency in accordance with ASC 830, “Foreign Currency Matters”. These transactions were not material for the years ended December 31, 2025,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 The Company’s cash and cash equivalents generally consist of bank deposits and investments in money market funds, U.S. treasury securities and commercial paper.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invested in major banks in the United States. Generally, these cash and cash equivalents and deposits may be redeemed upon demand. The Company deposits may exceed federally insured limits; however management believes that the financial institutions that hold the Company’s and its subsidiaries’ cash and cash equivalents are institutions with high credit standing, and accordingly, minimal credit risk exists with respect to these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invests excess cash primarily in U.S. treasury securities, U.S. government securities, corporate debt securities, certificates of deposit and commercial paper. These investments represent investments of cash which are available to support current operations as such the Company classifies all marketable securities that have effective maturities of three months or less from the date of purchase as cash equivalents and those with effective maturities of greater than three months, including highly liquid securities with maturities beyond twelve months, as marketable securities within current assets on the consolidated balance sheets. As the Company may sell these investments prior to their effective maturities, these investments are classified and accounted for as available for sale securities. The Company determines the appropriate classification of these investments at the time of purchase and reevaluates such designation at each balance sheet date.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these at fair value and determines any realized gains or losses on the sale of these investments on a specific identification method, and includes such gains or losses in financial income, net, in the consolidated income statements. Unrealized gains and losses are excluded from earnings and reported as a component of other comprehensive income (loss).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each reporting period, the Company evaluates whether declines in fair value below carrying value are due to expected credit losses, as well as the ability and intent to hold the investment until a forecasted recovery occurs, in accordance with ASC 326. Allowance for credit losses on available for sale debt securities are recognized as a charge in financial income, net, in the consolidated income statements. See Note 5, “Fair Value Measurements,” for further details.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average useful life used for the Company's fixed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26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Average Useful Life (years)</w:t>
            </w:r>
          </w:p>
        </w:tc>
        <w:tc>
          <w:tcPr>
            <w:tcW w:w="100" w:type="dxa"/>
            <w:vAlign w:val="bottom"/>
          </w:tcPr>
          <w:p>
            <w:pPr>
              <w:spacing w:after="0"/>
              <w:rPr>
                <w:sz w:val="15"/>
                <w:szCs w:val="15"/>
                <w:color w:val="auto"/>
              </w:rPr>
            </w:pPr>
          </w:p>
        </w:tc>
      </w:tr>
      <w:tr>
        <w:trPr>
          <w:trHeight w:val="209"/>
        </w:trPr>
        <w:tc>
          <w:tcPr>
            <w:tcW w:w="8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bl>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Fixed assets are stated at cost, net of accumulated depreciation. Depreciation is calculated using the straight-line method over the average useful lives of the assets. See Note 6, “Fixed Assets, net,”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costs related to software acquired, developed, or modified solely to meet its internal requirements with no substantive plans to market such software at the time of development. In accordance with ASC 350-40, Internal Use Software, software development activities generally consist of three stages (i) the preliminary project stage, (ii) the application development stage, and (iii) the post-implementation operational stage. Costs incurred during the preliminary project stage and during the post-implementation operational stage are expensed as incurred. Eligible costs incurred during the application development stage of the project are capitalized and are amortized on a straight-line basis over the software’s estimated useful life, generally 3 years. Maintenance costs are expensed as incurred. Capitalized costs include employee-related costs, inclusive of non-cash stock compensation expense for employees who are directly associated with and who devote time to software projects. See Note 6, “Fixed Assets, net,” for further details.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842, “Leases”. The right-of-use (“ROU”) asset represents the Company’s right to use an underlying asset for the lease term and the lease liability represents an obligation to make payments based on the present value of lease payments over the lease term. The Company uses incremental borrowing rates based on the estimated rate of interest for collateralized borrowing over a similar term of the lease payments at commencement date. The lease term includes options to extend or terminate the lease when it is reasonably certain these will be exercised.</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not to record operating lease ROU assets and lease liabilities for leases with an initial term of 12 months or less. The Company also elected the practical expedient to not separate lease and non-lease components for its leases. The Company's lease assets and liabilities were immaterial as of December 31, 2025 and 2024. The Company's ROU lease asset is included within other long-term assets on the consolidated balance sheet. The short-term portion of the lease liability is included within accrued expenses and other current liabilities and the long-term portion of the lease liability is included within other long-term liabilities on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under ASC 805. Under this method, the purchase price (consideration transferred) is allocated to the identifiable assets acquired and liabilities assumed based on their estimated fair values at the date of acquisition. The excess of the total consideration over the net fair value of identifiable assets acquired is recognized as Goodwill. All acquisition-related costs (e.g., legal fees, due diligence, advisory fees) are expensed as incurred and are not included in the purchase price.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The estimates and assumptions used to determine the fair values and useful lives of identified intangible assets could change due to numerous factors, including market conditions, technological developments, economic conditions, and competition. In connection with determination of fair values, the Company may engage a third-party valuation specialist to assist with the valuation of intangible and certain tangible assets acquired and certain obligations assumed.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 2025 (the “Acquisition Date”), Talkspace acquired Wisdo Health, a digital social health and peer support platform, for a total consideration of $4.9 million in cash and $1.5 million in common stock. The Company recognized $3.3 million of goodwill as a result of this acquisition. All acquisition-related costs were expensed as incurred and were not included in the total consideration. The results of this acquisition are included in the Company’s consolidated financial statements from the date of acquisition. Pro forma results of operations related to this acquisition have not been presented because they are not material to the Company’s consolidated income statements and consolidated statements of comprehensive income (loss).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intangible assets and their estimated amortization period, and goodwill recognized as a result of this acquisition: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5"/>
                <w:szCs w:val="15"/>
                <w:color w:val="auto"/>
              </w:rPr>
            </w:pPr>
          </w:p>
        </w:tc>
        <w:tc>
          <w:tcPr>
            <w:tcW w:w="2140" w:type="dxa"/>
            <w:vAlign w:val="bottom"/>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5"/>
                <w:szCs w:val="15"/>
                <w:color w:val="auto"/>
              </w:rPr>
            </w:pP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Amortization period (years)</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6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FF0FC"/>
          </w:tcPr>
          <w:p>
            <w:pPr>
              <w:spacing w:after="0"/>
              <w:rPr>
                <w:sz w:val="18"/>
                <w:szCs w:val="18"/>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320" w:type="dxa"/>
            <w:vAlign w:val="bottom"/>
          </w:tcPr>
          <w:p>
            <w:pPr>
              <w:spacing w:after="0"/>
              <w:rPr>
                <w:sz w:val="20"/>
                <w:szCs w:val="20"/>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infinite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instead, it is tested for impairment at least annually on October 1 (or more frequently if a "triggering event" occurs) at the reporting unit level. These events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the Company's market capitalization, as indicated by its publicly quoted share price.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testing goodwill for impairment, the Company has the option of first performing a qualitative assessment to determine whether it is more likely than not that the fair value of its reporting unit is less than its carrying amount. If the Company elects to bypass the qualitative assessment, or if a qualitative assessment indicates it is more likely than not that carrying value exceeds its fair value, the Company performs a quantitative goodwill impairment test. Under the quantitative goodwill impairment test, if the Company’s reporting unit’s carrying amount exceeds its fair value, the Company will record an impairment charge based on that difference.</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reporting unit and the fair value of the reporting unit is estimated using quoted market prices of the Company’s stock in active markets.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The Company's intangible assets are included within other long-term assets on the consolidated balance sheets. See Note 4, “Intangible Assets, net” for further details.</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 Assets subject to Amortization, including ROU Lease Asset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 assets, internal-use software, intangible assets and ROU lease assets are reviewed for impairment in accordance with ASC 360, “Accounting for the Impairment or Disposal of Long-Lived Assets”, whenever events or changes in circumstances indicate that the carrying amount of an asset group may not be recoverable. If indicators are present, management performs a recoverability test by comparing the sum of the estimated undiscounted future cash flows attributable to the asset to its carrying amount. If the undiscounted cash flows used in the test for recoverability are less than the carrying amount of the asset, the impairment to be recognized is measured by the amount by which the carrying amount of the asset exceeds the fair value of the asset. There are no impairment charges for the years ended December 31, 2025, 2024 and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customers are comprised of the following:</w:t>
      </w:r>
    </w:p>
    <w:p>
      <w:pPr>
        <w:spacing w:after="0" w:line="158" w:lineRule="exact"/>
        <w:rPr>
          <w:sz w:val="20"/>
          <w:szCs w:val="20"/>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from commercial and government institutions, and employee assistance programs (“Payor”), who offer their insured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comprised of enterprises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Payor</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health insurance plans and employee assistance programs to provide therapy and psychiatry services to their eligible members. Revenue is recognized at a point in time, as virtual therapy or psychiatry sessions are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actual historical collection experience for each Payor. Revenue is presented net of implicit price concessions. Contracts include annual evergreen clauses and generally may be terminated by either party upon advance notice per the terms of the contract.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DTE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contracts with enterprises to provide access to the Company's therapist platform for their enterprise members, primarily based on a per-member-per-month (“PMPM”) or paid-per-use (“PPU”) basis or as a fixed monthly fee. Revenues from access fees is recognized ratably over the contract term, as the customer simultaneously receives and consumes the benefits provided by our performance as we provide access to our platform. To the extent the transaction price includes variable consideration, revenue is recognized using the variable consideration allocation exception, or, if the allocation exception is not met, the Company recognizes revenue ratably over the contract term based on estimates of the variable consideration to the extent it is probable that a significant reversal of cumulative revenue recognized will not occur when the uncertainty associated with the variable consideration is subsequent resolved. The majority of the contracts typically range in length from one to three years and are generally non-cancelable during the initial contractual term.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as the customer simultaneously receives and consumes the benefits provided by our performance as we provide access to our platform. The Company recognizes revenues from supplementary a la carte offerings at a point in time, as virtual therapy sessions are rendered. Members may cancel their subscription at any time and will receive a pro-rata refund for the subscription price. The transaction price includes variable consideration in the form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sheets. The refund liability was immaterial as of December 31, 2025 and 2024. Revenue from Consumer members is presented net of refunds.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“Revenue Recognition,” for further details.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is stated net of credit losses allowance. The Company’s methodology for estimating expected credit losses is generally based on historical collection experience, customer creditworthiness, and an assessment of current and future economic and market conditions. Additionally, specific allowance amounts are established to for customers with a higher probability of default. Accounts receivable are written off after all reasonable means of collection have been exhausted. See Note 3, “Revenue Recognition,” for further details.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from customers are received in advance of the Company's performance obligations to provide services. As of December 31, 2025 and 2024, deferred revenue related mainly to Consumer subscriptions. The Company expects to satisfy the majority of its performance obligations associated with deferred revenue within one year or less. See Note 3, “Revenue Recognition,”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if these costs are determined to be recoverable. Capitalized contract costs are expensed over the life the contract. As of December 31, 2025 and 2024, capitalized contract costs were immaterial.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Compensation costs for share-based awards are measured at the fair value on the grant date and recognized as expense using the straight-line method for service-based awards over the requisite service period. The Company recognizes forfeitures of awards as they occur.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Black-Scholes-Merton option pricing model. The option-pricing model requires a number of assumptions, of which the most significant is the expected stock price volatility and the expected option term. Expected volatility is calculated based upon the Company's historical share price movements as well as similar traded companies’ historical share price movements as adequate historical experience is not available to provide a reasonable estimate based only on the Company's share price.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The Company has historically not paid dividends and has no foreseeable plans to pay dividends. The fair value of restricted stock units is measured as the grant-date closing price of the Company’s common stock. See Note 10, “Stock-based Compensation,” for further details.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within sales and marketing expenses. Advertising costs were $30.5 million, $26.1 million and $25.2 million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costs.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 401(k) plan that qualifies as a deferred compensation arrangement under Section 401 of the Internal Revenue Code. All U.S. employees over the age of 21 are eligible to participate in the plan. The Company contributes 100% of eligible employees’ elective deferral up to 4% of eligible earnings. The Company's matching contributions to participants’ accounts were immaterial for the years ended December 31, 2025,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 Accounting guidance for the fair value measurement establishes a framework for measuring fair value, establishes a fair value measurement hierarchy, and requires certain fair value measurement disclosures. The fair value hierarchy established by this accounting guidance prioritizes the inputs used in valuation techniques into the following three categories (highest to lowest priority):</w:t>
      </w:r>
    </w:p>
    <w:p>
      <w:pPr>
        <w:spacing w:after="0" w:line="75"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117"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4"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marketable securities are recorded at fair value and are generally classified within Level 1 or Level 2 of the fair value hierarchy using quoted market prices or quotes from market makers or broker-dealers. Marketable securities classified within Level 1 are valued based on quoted market prices in active markets and consist of commercial paper. Level 2 marketable securities primarily consist of investment grade and high-yield corporate debt, U.S. Treasury securities, U.S. Government securities, certificates of deposit and commercial paper. Financial instruments classified as Level 2 are valued based on quoted market prices for similar assets of liabilities or quoted prices in markets that are not active; or other inputs that are observable or can be corroborated by observable market data for substantially the full term of the assets or liabilities.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2021, the Company assumed Public Warrants, issued equity warrants to certain consultants and issued Private Placement Warrants as a result of a business combination. Private Placement Warrants are accounted for as liabilities in accordance with ASC 815-40 and are presented within other current liabilities in the accompanying consolidated balance sheets. The warrants were measured at fair value at inception and thereafter on a recurring, quarterly basis, with changes in fair value presented within financial income, net, in the consolidated income statements. Private Placement Warrants are classified within Level 3 in the fair value hierarchy. These warrants were valued using the Black-Scholes-Merton Model, which is considered to be a Level 3 fair value measurement.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 See Note 5, “Fair Value Measurements,” for further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(“DTAs”) and liabilities (“DTLs”) for the expected future tax consequences of events that have been included in the financial statements. Under this method, DTAs and DTLs are determined based on the differences between the financial statement and tax bases of assets and liabilities using enacted tax rates in effect for the year in which the differences are expected to reverse.</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 valuation allowance to reduce its DTAs to the amount that is more-likely-than-not to be realized. In making this determination, management evaluates all available evidence, both positive and negative, including projected future taxable income, tax planning strategies, and history of cumulative losses. If the Company determines it is more-likely-than-not that it will not be able to realize all or part of its DTAs in the future, an adjustment is made to the valuation allowance, with a corresponding charge to income tax expense in the period such determination is made.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in ASC 740 and the guidance related to accounting for uncertainty in income taxes, which prescribe a two-step approach to recognizing and measuring a liability for uncertain tax positions. The first step is to determine whether it is more-likely-than-not that a tax position will be sustained upon examination by the taxing authorities, based solely on the technical merits of the position. The second step is to recognize the tax benefit as the largest amount that is greater than 50% likely to be realized upon ultimate settlement for positions meeting the recognition threshold. As of December 31, 2025 and 2024 the Company did not record any provision for uncertain tax positions.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unrecognized tax benefits as a component of income tax expense. This classification is applied consistently across all periods presented. No interest or penalties were accrued as of December 31, 2025 and 2024.</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provide deferred tax liabilities when it intends to reinvest earnings of a foreign subsidiary indefinitely or if distributed, no tax liability will be imposed. Undistributed earnings of a foreign subsidiary and unrecognized deferred tax liability related to such earnings are immaterial as of December 31, 2025 and 2024.</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Tax Cuts and Jobs Act of 2017 (the “Tax Act”) contains provisions that subject a U.S. parent of a foreign subsidiary to current U.S. tax on its global intangible low-taxed income (“GILTI”). The Company has elected an accounting policy to report the tax impact of GILTI as a period cost in the year incurred. Accordingly, the Company does not provide deferred taxes for temporary basis differences expected to reverse as GILTI in future years. On July 4, 2025, the One Big Beautiful Bill Act (“OBBBA”) was enacted. While the Company’s 2025 GILTI calculation continues to reflect the provisions of the Tax Act, the OBBBA introduces significant modifications effective for tax years beginning after December 31, 2025. These include the rebranding of GILTI as Net CFC Tested Income (“NCTI”), an increase in the effective rate through a reduction of the Section 250 deduction to 40%, and the elimination of the QBAI exclusion. The Company has evaluated the impact of this enacted legislation and has determined the impact is not material.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“Income Taxes,”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income (loss) per share is calculated by dividing net income (loss) attributable to ordinary shareholders by the weighted-average number of shares of common stock outstanding for the period, without consideration of potentially dilutive securities.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common stock are anti-dilutive. See Note 11, “Net Income (Loss) per Share,”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Recently Adopted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Standards Updates (“ASU”) issued by the Financial Accounting Standards Board (“FASB”) have been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amended existing income tax disclosure guidance, primarily requiring more detailed disclosures on the effective tax rate reconciliation and income taxes paid. This guidance became effective for the annual reporting periods beginning the year ended December 31, 2025. The Company adopted this ASU prospectively during the year ended December 31, 2025 and provided required disclosures in Note 12, “Income Taxes”.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that in developing reasonable and supportable forecasts as part of estimating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all entities may assume that current conditions as of the balance sheet date do not change for the remaining life of the asset. This guidance will be effective for annual reporting periods beginning the year ended December 31, 2026, and for interim reporting periods within those annual reporting periods, with early adoption permitted and should be applied prospectively. The Company early adopted this ASU prospectively during the year ended December 31, 2025. The adoption of this ASU did not have a significant impact on the Company's consolidated financial statements or related disclosures.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ASUs issued by the FASB have not yet been adopted by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additional disclosures of specified information about certain costs and expenses. This guidance will be effective for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beginning the year ended December 31, 2027, and interim periods beginning January 1, 2028, with early adoption permitted and can be applied either on either a prospective or retroactive basis. The Company is currently evaluating the impact of adopting this ASU.</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 (Topic 350): Targeted Improvements to the Accounting for Internal-Use Software</w:t>
      </w:r>
      <w:r>
        <w:rPr>
          <w:rFonts w:ascii="Times New Roman" w:cs="Times New Roman" w:eastAsia="Times New Roman" w:hAnsi="Times New Roman"/>
          <w:sz w:val="18"/>
          <w:szCs w:val="18"/>
          <w:color w:val="auto"/>
        </w:rPr>
        <w:t>, which provides updates on the criteria for capitalizing internal-use software costs and related disclosure requirements. This guidance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the year ended December 31, 2028, and for interim reporting periods within those annual reporting periods, with early adoption permitted and can be applied using either a prospective transition approach, a modified transition approach or a retrospective transition approach. The Company is currently evaluating the impact of adopting this ASU.</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interim disclosure requirements and the applicability of Topic 270. This guidance will be effective for annual reporting periods beginning the year ended December 31, 2028, and for interim reporting periods within those annual reporting periods, with early adoption permitted and can be applied prospectively or retrospectively. The Company is currently evaluating the impact of adopting this ASU.</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consolidated revenues from sales to unaffiliated customers disaggregated by revenue source: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Payor</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171,518</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124,339</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80,823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DTE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33,614</w:t>
            </w:r>
          </w:p>
        </w:tc>
      </w:tr>
      <w:tr>
        <w:trPr>
          <w:trHeight w:val="21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228,871</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187,593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150,045</w:t>
            </w:r>
          </w:p>
        </w:tc>
      </w:tr>
      <w:tr>
        <w:trPr>
          <w:trHeight w:val="20"/>
        </w:trPr>
        <w:tc>
          <w:tcPr>
            <w:tcW w:w="5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four customers represented 10% or more of the Company's consolidated revenues and these amounts were approximately $32.1 million, $27.4 million, $24.8 million and $24.0 million. For the year ended December 31, 2024, three customers represented 10% or more of total revenue. For the year ended December 31, 2023, two customers represented 10% or more of total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accounts receivable, net, related to revenue from DTE customers of $8.8 million and $6.0 million at December 31, 2025 and December 31, 2024, respectively. As of December 31, 2025 and 2024, the balance of accounts receivable, net, related to revenue from Payor customers was $7.3 million and $3.6 million, respectively. Credit losses related to these receivables were immaterial for the years ended December 31, 2025,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and 2024, the Company recognized revenues of $2.4 million and $2.0 million, respectively, that were included in deferred revenues at the beginning of the year. As of December 31, 2025, deferred revenue mainly related to the Company’s Consumer subscription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comprised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with finite lives:</w:t>
            </w:r>
          </w:p>
        </w:tc>
        <w:tc>
          <w:tcPr>
            <w:tcW w:w="2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technology</w:t>
            </w:r>
          </w:p>
        </w:tc>
        <w:tc>
          <w:tcPr>
            <w:tcW w:w="2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80" w:type="dxa"/>
            <w:vAlign w:val="bottom"/>
          </w:tcPr>
          <w:p>
            <w:pPr>
              <w:spacing w:after="0"/>
              <w:rPr>
                <w:sz w:val="18"/>
                <w:szCs w:val="18"/>
                <w:color w:val="auto"/>
              </w:rPr>
            </w:pP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w:t>
            </w:r>
          </w:p>
        </w:tc>
        <w:tc>
          <w:tcPr>
            <w:tcW w:w="2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$0.6 million for the year ended December 31, 2025 ($0.4 million and $0.7 million for the years ended December 31, 2024 and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that will be charged to expense over the remaining life of the intangible asset as of December 31,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780" w:type="dxa"/>
            <w:vAlign w:val="bottom"/>
            <w:gridSpan w:val="2"/>
          </w:tcPr>
          <w:p>
            <w:pPr>
              <w:ind w:left="9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09"/>
        </w:trPr>
        <w:tc>
          <w:tcPr>
            <w:tcW w:w="818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2031 and thereafter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other current assets, accounts payable, and accrued expenses and other current liabilities approximate fair value because of the relatively short-term nature of the underlying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cash equivalents and marketable securities by significant investment category as of December 31,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gridSpan w:val="11"/>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Adjusted Cost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10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9"/>
                <w:szCs w:val="9"/>
                <w:color w:val="auto"/>
              </w:rPr>
            </w:pPr>
          </w:p>
        </w:tc>
        <w:tc>
          <w:tcPr>
            <w:tcW w:w="10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8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92,529</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11"/>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Adjusted Cost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0"/>
                <w:szCs w:val="10"/>
                <w:color w:val="auto"/>
              </w:rPr>
            </w:pPr>
          </w:p>
        </w:tc>
        <w:tc>
          <w:tcPr>
            <w:tcW w:w="10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9"/>
                <w:szCs w:val="9"/>
                <w:color w:val="auto"/>
              </w:rPr>
            </w:pPr>
          </w:p>
        </w:tc>
        <w:tc>
          <w:tcPr>
            <w:tcW w:w="10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8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117,808</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-3291205</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-3291205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-3291205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-3291205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-3291205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-2451100</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-2451100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-2451100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-2451100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-2451100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-1010920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-1010920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-1010920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-1010920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-170815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-170815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remaining contractual maturities of our marketable securities as of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5"/>
                <w:szCs w:val="15"/>
                <w:color w:val="auto"/>
              </w:rPr>
            </w:pPr>
          </w:p>
        </w:tc>
        <w:tc>
          <w:tcPr>
            <w:tcW w:w="2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tcPr>
          <w:p>
            <w:pPr>
              <w:jc w:val="right"/>
              <w:ind w:right="997"/>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on a recurring basis for the years ended December 31, 2025 and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40"/>
        </w:trPr>
        <w:tc>
          <w:tcPr>
            <w:tcW w:w="3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2300" w:type="dxa"/>
            <w:vAlign w:val="bottom"/>
          </w:tcPr>
          <w:p>
            <w:pPr>
              <w:jc w:val="center"/>
              <w:ind w:left="9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660" w:type="dxa"/>
            <w:vAlign w:val="bottom"/>
            <w:gridSpan w:val="3"/>
          </w:tcPr>
          <w:p>
            <w:pPr>
              <w:jc w:val="center"/>
              <w:ind w:left="11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58"/>
        </w:trPr>
        <w:tc>
          <w:tcPr>
            <w:tcW w:w="4280" w:type="dxa"/>
            <w:vAlign w:val="bottom"/>
            <w:vMerge w:val="continue"/>
          </w:tcPr>
          <w:p>
            <w:pPr>
              <w:spacing w:after="0"/>
              <w:rPr>
                <w:sz w:val="13"/>
                <w:szCs w:val="13"/>
                <w:color w:val="auto"/>
              </w:rPr>
            </w:pPr>
          </w:p>
        </w:tc>
        <w:tc>
          <w:tcPr>
            <w:tcW w:w="2300" w:type="dxa"/>
            <w:vAlign w:val="bottom"/>
            <w:tcBorders>
              <w:top w:val="single" w:sz="8" w:color="auto"/>
            </w:tcBorders>
          </w:tcPr>
          <w:p>
            <w:pPr>
              <w:jc w:val="center"/>
              <w:ind w:left="974"/>
              <w:spacing w:after="0" w:line="157" w:lineRule="exact"/>
              <w:rPr>
                <w:sz w:val="20"/>
                <w:szCs w:val="20"/>
                <w:color w:val="auto"/>
              </w:rPr>
            </w:pPr>
            <w:r>
              <w:rPr>
                <w:rFonts w:ascii="Times New Roman" w:cs="Times New Roman" w:eastAsia="Times New Roman" w:hAnsi="Times New Roman"/>
                <w:sz w:val="18"/>
                <w:szCs w:val="18"/>
                <w:color w:val="auto"/>
                <w:w w:val="99"/>
              </w:rPr>
              <w:t>0%</w:t>
            </w: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300" w:type="dxa"/>
            <w:vAlign w:val="bottom"/>
          </w:tcPr>
          <w:p>
            <w:pPr>
              <w:jc w:val="center"/>
              <w:ind w:left="974"/>
              <w:spacing w:after="0"/>
              <w:rPr>
                <w:sz w:val="20"/>
                <w:szCs w:val="20"/>
                <w:color w:val="auto"/>
              </w:rPr>
            </w:pPr>
            <w:r>
              <w:rPr>
                <w:rFonts w:ascii="Times New Roman" w:cs="Times New Roman" w:eastAsia="Times New Roman" w:hAnsi="Times New Roman"/>
                <w:sz w:val="18"/>
                <w:szCs w:val="18"/>
                <w:color w:val="auto"/>
              </w:rPr>
              <w:t>75.20%</w:t>
            </w:r>
          </w:p>
        </w:tc>
        <w:tc>
          <w:tcPr>
            <w:tcW w:w="4660" w:type="dxa"/>
            <w:vAlign w:val="bottom"/>
            <w:gridSpan w:val="3"/>
          </w:tcPr>
          <w:p>
            <w:pPr>
              <w:jc w:val="center"/>
              <w:ind w:left="1177"/>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68"/>
        </w:trPr>
        <w:tc>
          <w:tcPr>
            <w:tcW w:w="42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30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8"/>
              </w:rPr>
              <w:t>3.60%</w:t>
            </w:r>
          </w:p>
        </w:tc>
        <w:tc>
          <w:tcPr>
            <w:tcW w:w="4660" w:type="dxa"/>
            <w:vAlign w:val="bottom"/>
            <w:gridSpan w:val="3"/>
          </w:tcPr>
          <w:p>
            <w:pPr>
              <w:jc w:val="center"/>
              <w:ind w:left="1197"/>
              <w:spacing w:after="0"/>
              <w:rPr>
                <w:sz w:val="20"/>
                <w:szCs w:val="20"/>
                <w:color w:val="auto"/>
              </w:rPr>
            </w:pPr>
            <w:r>
              <w:rPr>
                <w:rFonts w:ascii="Times New Roman" w:cs="Times New Roman" w:eastAsia="Times New Roman" w:hAnsi="Times New Roman"/>
                <w:sz w:val="18"/>
                <w:szCs w:val="18"/>
                <w:color w:val="auto"/>
                <w:w w:val="98"/>
              </w:rPr>
              <w:t>4.20%</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Time to maturity (years)</w:t>
            </w:r>
          </w:p>
        </w:tc>
        <w:tc>
          <w:tcPr>
            <w:tcW w:w="2300" w:type="dxa"/>
            <w:vAlign w:val="bottom"/>
          </w:tcPr>
          <w:p>
            <w:pPr>
              <w:jc w:val="center"/>
              <w:ind w:left="974"/>
              <w:spacing w:after="0"/>
              <w:rPr>
                <w:sz w:val="20"/>
                <w:szCs w:val="20"/>
                <w:color w:val="auto"/>
              </w:rPr>
            </w:pPr>
            <w:r>
              <w:rPr>
                <w:rFonts w:ascii="Times New Roman" w:cs="Times New Roman" w:eastAsia="Times New Roman" w:hAnsi="Times New Roman"/>
                <w:sz w:val="18"/>
                <w:szCs w:val="18"/>
                <w:color w:val="auto"/>
              </w:rPr>
              <w:t>0.47</w:t>
            </w:r>
          </w:p>
        </w:tc>
        <w:tc>
          <w:tcPr>
            <w:tcW w:w="4660" w:type="dxa"/>
            <w:vAlign w:val="bottom"/>
            <w:gridSpan w:val="3"/>
          </w:tcPr>
          <w:p>
            <w:pPr>
              <w:jc w:val="center"/>
              <w:ind w:left="1177"/>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2"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for the years ending December 31, 2025 and 2024.</w:t>
      </w:r>
    </w:p>
    <w:p>
      <w:pPr>
        <w:spacing w:after="0" w:line="43"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volatility implied by backsolving to the Public Warrants' price as of the valuation date.</w:t>
      </w:r>
    </w:p>
    <w:p>
      <w:pPr>
        <w:spacing w:after="0" w:line="43"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-free interest rate is based on the yield from U.S. Treasury bonds with an equivalent term to the time to maturity of the warrants.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FIXED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 as of December 31, 2025 and 2024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5"/>
                <w:szCs w:val="15"/>
                <w:color w:val="auto"/>
              </w:rPr>
            </w:pP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0"/>
        </w:trPr>
        <w:tc>
          <w:tcPr>
            <w:tcW w:w="70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-453390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capitalized $11.5 million of qualifying internal-use software development costs ($6.3 million for the year ended December 31, 2024). Depreciation and amortization expense related to the Company's fixed assets was $2.0 million for the year ended December 31, 2025 ($0.3 million and $0.5 million for the years ended December 31,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400"/>
        <w:spacing w:after="0" w:line="436" w:lineRule="auto"/>
        <w:rPr>
          <w:sz w:val="20"/>
          <w:szCs w:val="20"/>
          <w:color w:val="auto"/>
        </w:rPr>
      </w:pPr>
      <w:r>
        <w:rPr>
          <w:rFonts w:ascii="Times New Roman" w:cs="Times New Roman" w:eastAsia="Times New Roman" w:hAnsi="Times New Roman"/>
          <w:sz w:val="18"/>
          <w:szCs w:val="18"/>
          <w:b w:val="1"/>
          <w:bCs w:val="1"/>
          <w:color w:val="auto"/>
        </w:rPr>
        <w:t xml:space="preserve">NOTE 7. ACCRUED EXPENSES AND OTHER CURRENT LIABILITIES </w:t>
      </w:r>
      <w:r>
        <w:rPr>
          <w:rFonts w:ascii="Times New Roman" w:cs="Times New Roman" w:eastAsia="Times New Roman" w:hAnsi="Times New Roman"/>
          <w:sz w:val="18"/>
          <w:szCs w:val="18"/>
          <w:color w:val="auto"/>
        </w:rPr>
        <w:t>Accrued expenses and other current liabilities are comprised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compensation</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98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December 31, 2025, there were no material pending legal proceedings, claims or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December 31, 2025 there were 12,757,500 Private Placement Warrants and 20,722,500 Public Warrants (12,757,500 Private Placement Warrants and 20,722,500 Public Warrants as of December 31, 2024) to purchase the Company’s common stock at an exercise price of $11.50 per share. No shares of preferred stock were issued or outstanding for any years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 All shares repurchased will be retired.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an aggregate of 6,577,115 shares of its common stock for a total consideration of $17.2 million ($2.62 per share). During the year ended December 31, 2024, the Company repurchased and retired an aggregate of 3,911,259 shares of its common stock for a total consideration of $11.0 million ($2.81 per share). As of December 31, 2025, $11.8 million remained available under the Share Repurchase Program.</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repurchase any dollar amount or number of shares, and may be modified, suspended, or discontinued at any time at the Company’s discretion without prior notice.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grant cash and equity incentive awards to officers, employees, directors, consultants and service providers in order to attract, motivate and retain talent under the Talkspace’s 2021 Incentive Award Plan (the “2021 Plan”). All stock-based awards are measured based on the grant date fair value and are recognized on a straight-line basis in the Company’s consolidated income statements over the requisite service period (generally requiring a four-year vesting period).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expense related to stock options and RSUs included in the respective components of operating expenses in the consolidated income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Clinical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18"/>
                <w:szCs w:val="18"/>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FF0FC"/>
          </w:tcPr>
          <w:p>
            <w:pPr>
              <w:spacing w:after="0"/>
              <w:rPr>
                <w:sz w:val="19"/>
                <w:szCs w:val="19"/>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-830580</wp:posOffset>
            </wp:positionV>
            <wp:extent cx="32315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315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1020" w:right="20" w:hanging="503"/>
        <w:spacing w:after="0" w:line="261"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the Company modified certain equity awards in connection with certain key executives' separation from the Company and recognized $1.2 million of additional stock-based compensation expense as a result of these modifications.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 options generally vest over a four-year period and are exercisable a maximum period of ten years. The following table summarizes the activity for stock options for the year ended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center"/>
              <w:ind w:left="26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8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0" w:type="dxa"/>
            <w:vAlign w:val="bottom"/>
          </w:tcPr>
          <w:p>
            <w:pPr>
              <w:jc w:val="center"/>
              <w:ind w:left="323"/>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269"/>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left="323"/>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left="269"/>
              <w:spacing w:after="0" w:line="151"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intrinsic value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6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9,725,095</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2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6.39</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200" w:type="dxa"/>
            <w:vAlign w:val="bottom"/>
          </w:tcPr>
          <w:p>
            <w:pPr>
              <w:spacing w:after="0"/>
              <w:rPr>
                <w:sz w:val="18"/>
                <w:szCs w:val="18"/>
                <w:color w:val="auto"/>
              </w:rPr>
            </w:pPr>
          </w:p>
        </w:tc>
        <w:tc>
          <w:tcPr>
            <w:tcW w:w="1340" w:type="dxa"/>
            <w:vAlign w:val="bottom"/>
            <w:gridSpan w:val="2"/>
          </w:tcPr>
          <w:p>
            <w:pPr>
              <w:jc w:val="right"/>
              <w:ind w:right="102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(1,167,495)</w:t>
            </w:r>
          </w:p>
        </w:tc>
        <w:tc>
          <w:tcPr>
            <w:tcW w:w="1340" w:type="dxa"/>
            <w:vAlign w:val="bottom"/>
            <w:gridSpan w:val="2"/>
            <w:shd w:val="clear" w:color="auto" w:fill="CFF0FC"/>
          </w:tcPr>
          <w:p>
            <w:pPr>
              <w:jc w:val="right"/>
              <w:ind w:right="102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(547,171)</w:t>
            </w:r>
          </w:p>
        </w:tc>
        <w:tc>
          <w:tcPr>
            <w:tcW w:w="1340" w:type="dxa"/>
            <w:vAlign w:val="bottom"/>
            <w:gridSpan w:val="2"/>
          </w:tcPr>
          <w:p>
            <w:pPr>
              <w:jc w:val="right"/>
              <w:ind w:right="102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(67,779)</w:t>
            </w:r>
          </w:p>
        </w:tc>
        <w:tc>
          <w:tcPr>
            <w:tcW w:w="1340" w:type="dxa"/>
            <w:vAlign w:val="bottom"/>
            <w:gridSpan w:val="2"/>
            <w:shd w:val="clear" w:color="auto" w:fill="CFF0FC"/>
          </w:tcPr>
          <w:p>
            <w:pPr>
              <w:jc w:val="right"/>
              <w:ind w:right="102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9,090,150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6.55</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7,379,105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6.13</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-299720</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-299720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-299720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intrinsic value of stock options outstanding and exercisable at end of year does not include 2,267,953 of stock options that are out of the money.</w:t>
      </w:r>
    </w:p>
    <w:p>
      <w:pPr>
        <w:spacing w:after="0" w:line="2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to employees during the years ended December 31, 2025 was $1.80 per share ($1.48 per share and $0.74 per share for the years ended December 31, 2024 and 2023,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 ended December 31, 2025 was $2.4 million ($3.0 million and $2.5 million for the years ended December 31,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for options granted for the years ended December 31, 2025, 2024 and 2023 was estimated on the date of grant using a Black-Scholes-Merton options pricing model with the following weighted average assumptions: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1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c>
          <w:tcPr>
            <w:tcW w:w="22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67.88% - 68.79%</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60.81% - 61.65%</w:t>
            </w:r>
          </w:p>
        </w:tc>
        <w:tc>
          <w:tcPr>
            <w:tcW w:w="2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58.63% - 68.40%</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3.73%-4.09%</w:t>
            </w:r>
          </w:p>
        </w:tc>
        <w:tc>
          <w:tcPr>
            <w:tcW w:w="21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3.71%-4.19%</w:t>
            </w:r>
          </w:p>
        </w:tc>
        <w:tc>
          <w:tcPr>
            <w:tcW w:w="22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3.70%-4.22%</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5.3 - 6.06</w:t>
            </w:r>
          </w:p>
        </w:tc>
        <w:tc>
          <w:tcPr>
            <w:tcW w:w="2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5.27 - 6.11</w:t>
            </w:r>
          </w:p>
        </w:tc>
        <w:tc>
          <w:tcPr>
            <w:tcW w:w="22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5.23 - 6.25</w:t>
            </w:r>
          </w:p>
        </w:tc>
      </w:tr>
    </w:tbl>
    <w:p>
      <w:pPr>
        <w:spacing w:after="0" w:line="1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$2.3 million of total unrecognized compensation cost related to non-vested stock options that are expected to be recognized over a weighted average period of 2.3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(“RSUs”) typically vest over a four-year period. The following table summarizes the activity for RSUs for the year ended December 31,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4400" w:type="dxa"/>
            <w:vAlign w:val="bottom"/>
            <w:gridSpan w:val="6"/>
          </w:tcPr>
          <w:p>
            <w:pPr>
              <w:ind w:left="1100"/>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r>
      <w:tr>
        <w:trPr>
          <w:trHeight w:val="134"/>
        </w:trPr>
        <w:tc>
          <w:tcPr>
            <w:tcW w:w="6840" w:type="dxa"/>
            <w:vAlign w:val="bottom"/>
          </w:tcPr>
          <w:p>
            <w:pPr>
              <w:spacing w:after="0"/>
              <w:rPr>
                <w:sz w:val="11"/>
                <w:szCs w:val="11"/>
                <w:color w:val="auto"/>
              </w:rPr>
            </w:pPr>
          </w:p>
        </w:tc>
        <w:tc>
          <w:tcPr>
            <w:tcW w:w="2200" w:type="dxa"/>
            <w:vAlign w:val="bottom"/>
            <w:tcBorders>
              <w:top w:val="single" w:sz="8" w:color="auto"/>
            </w:tcBorders>
            <w:gridSpan w:val="2"/>
          </w:tcPr>
          <w:p>
            <w:pPr>
              <w:jc w:val="center"/>
              <w:ind w:right="140"/>
              <w:spacing w:after="0" w:line="134"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center"/>
              <w:ind w:right="164"/>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1"/>
                <w:szCs w:val="11"/>
                <w:color w:val="auto"/>
              </w:rPr>
            </w:pPr>
          </w:p>
        </w:tc>
      </w:tr>
      <w:tr>
        <w:trPr>
          <w:trHeight w:val="162"/>
        </w:trPr>
        <w:tc>
          <w:tcPr>
            <w:tcW w:w="6840" w:type="dxa"/>
            <w:vAlign w:val="bottom"/>
          </w:tcPr>
          <w:p>
            <w:pPr>
              <w:spacing w:after="0"/>
              <w:rPr>
                <w:sz w:val="14"/>
                <w:szCs w:val="14"/>
                <w:color w:val="auto"/>
              </w:rPr>
            </w:pPr>
          </w:p>
        </w:tc>
        <w:tc>
          <w:tcPr>
            <w:tcW w:w="22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restricted 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average grant-date</w:t>
            </w:r>
          </w:p>
        </w:tc>
      </w:tr>
      <w:tr>
        <w:trPr>
          <w:trHeight w:val="183"/>
        </w:trPr>
        <w:tc>
          <w:tcPr>
            <w:tcW w:w="68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5"/>
                <w:szCs w:val="15"/>
                <w:color w:val="auto"/>
              </w:rPr>
            </w:pPr>
          </w:p>
        </w:tc>
      </w:tr>
      <w:tr>
        <w:trPr>
          <w:trHeight w:val="156"/>
        </w:trPr>
        <w:tc>
          <w:tcPr>
            <w:tcW w:w="68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Nonvested at beginning of year</w:t>
            </w:r>
          </w:p>
        </w:tc>
        <w:tc>
          <w:tcPr>
            <w:tcW w:w="2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7,027,075</w:t>
            </w:r>
          </w:p>
        </w:tc>
        <w:tc>
          <w:tcPr>
            <w:tcW w:w="14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1.73</w:t>
            </w:r>
          </w:p>
        </w:tc>
        <w:tc>
          <w:tcPr>
            <w:tcW w:w="100" w:type="dxa"/>
            <w:vAlign w:val="bottom"/>
            <w:shd w:val="clear" w:color="auto" w:fill="CFF0FC"/>
          </w:tcPr>
          <w:p>
            <w:pPr>
              <w:spacing w:after="0"/>
              <w:rPr>
                <w:sz w:val="13"/>
                <w:szCs w:val="13"/>
                <w:color w:val="auto"/>
              </w:rPr>
            </w:pPr>
          </w:p>
        </w:tc>
      </w:tr>
      <w:tr>
        <w:trPr>
          <w:trHeight w:val="162"/>
        </w:trPr>
        <w:tc>
          <w:tcPr>
            <w:tcW w:w="6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Granted</w:t>
            </w:r>
          </w:p>
        </w:tc>
        <w:tc>
          <w:tcPr>
            <w:tcW w:w="2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2,722,473</w:t>
            </w:r>
          </w:p>
        </w:tc>
        <w:tc>
          <w:tcPr>
            <w:tcW w:w="140" w:type="dxa"/>
            <w:vAlign w:val="bottom"/>
          </w:tcPr>
          <w:p>
            <w:pPr>
              <w:spacing w:after="0"/>
              <w:rPr>
                <w:sz w:val="14"/>
                <w:szCs w:val="14"/>
                <w:color w:val="auto"/>
              </w:rPr>
            </w:pPr>
          </w:p>
        </w:tc>
        <w:tc>
          <w:tcPr>
            <w:tcW w:w="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w:t>
            </w:r>
          </w:p>
        </w:tc>
        <w:tc>
          <w:tcPr>
            <w:tcW w:w="100" w:type="dxa"/>
            <w:vAlign w:val="bottom"/>
          </w:tcPr>
          <w:p>
            <w:pPr>
              <w:spacing w:after="0"/>
              <w:rPr>
                <w:sz w:val="14"/>
                <w:szCs w:val="14"/>
                <w:color w:val="auto"/>
              </w:rPr>
            </w:pPr>
          </w:p>
        </w:tc>
      </w:tr>
      <w:tr>
        <w:trPr>
          <w:trHeight w:val="162"/>
        </w:trPr>
        <w:tc>
          <w:tcPr>
            <w:tcW w:w="68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Vested</w:t>
            </w:r>
          </w:p>
        </w:tc>
        <w:tc>
          <w:tcPr>
            <w:tcW w:w="220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(3,628,229)</w:t>
            </w:r>
          </w:p>
        </w:tc>
        <w:tc>
          <w:tcPr>
            <w:tcW w:w="3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100" w:type="dxa"/>
            <w:vAlign w:val="bottom"/>
            <w:shd w:val="clear" w:color="auto" w:fill="CFF0FC"/>
          </w:tcPr>
          <w:p>
            <w:pPr>
              <w:spacing w:after="0"/>
              <w:rPr>
                <w:sz w:val="14"/>
                <w:szCs w:val="14"/>
                <w:color w:val="auto"/>
              </w:rPr>
            </w:pPr>
          </w:p>
        </w:tc>
      </w:tr>
      <w:tr>
        <w:trPr>
          <w:trHeight w:val="162"/>
        </w:trPr>
        <w:tc>
          <w:tcPr>
            <w:tcW w:w="6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Forfeited</w:t>
            </w:r>
          </w:p>
        </w:tc>
        <w:tc>
          <w:tcPr>
            <w:tcW w:w="22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(595,993)</w:t>
            </w:r>
          </w:p>
        </w:tc>
        <w:tc>
          <w:tcPr>
            <w:tcW w:w="3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100" w:type="dxa"/>
            <w:vAlign w:val="bottom"/>
          </w:tcPr>
          <w:p>
            <w:pPr>
              <w:spacing w:after="0"/>
              <w:rPr>
                <w:sz w:val="14"/>
                <w:szCs w:val="14"/>
                <w:color w:val="auto"/>
              </w:rPr>
            </w:pPr>
          </w:p>
        </w:tc>
      </w:tr>
      <w:tr>
        <w:trPr>
          <w:trHeight w:val="155"/>
        </w:trPr>
        <w:tc>
          <w:tcPr>
            <w:tcW w:w="68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Nonvested at end of year</w:t>
            </w:r>
          </w:p>
        </w:tc>
        <w:tc>
          <w:tcPr>
            <w:tcW w:w="2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5,525,326</w:t>
            </w: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2.17</w:t>
            </w:r>
          </w:p>
        </w:tc>
        <w:tc>
          <w:tcPr>
            <w:tcW w:w="10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 ended December 31, 2025 was $7.3 million ($10.4 million and $5.0 million for the years ended December 31, 2024 and 2023, respectively).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$11.1 million of total unrecognized compensation cost related to non-vested RSUs that are expected to be recognized over a weighted average period of 2.5 years.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(19,182)</w:t>
            </w:r>
          </w:p>
        </w:tc>
        <w:tc>
          <w:tcPr>
            <w:tcW w:w="0" w:type="dxa"/>
            <w:vAlign w:val="bottom"/>
          </w:tcPr>
          <w:p>
            <w:pPr>
              <w:spacing w:after="0"/>
              <w:rPr>
                <w:sz w:val="1"/>
                <w:szCs w:val="1"/>
                <w:color w:val="auto"/>
              </w:rPr>
            </w:pP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net income (loss) per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167,089,060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168,906,900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6,559,371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7,588,972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173,648,431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176,495,872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following were excluded from the calculation of diluted net income per share since each would have had an anti-dilutive effect: 3,696,456 stock options, 85,688 restricted stock units, 12,757,500 Private Placement Warrants and 20,722,500 Public Warrants to purchase the Company’s common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following were excluded from the calculation of diluted net income per share since each would have had an anti-dilutive effect: 437,694 stock options, 40,149 restricted stock units, 12,757,500 Private Placement Warrants and 20,722,500 Public Warrants to purchase the Company’s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following were excluded from the calculation of diluted loss per share since each would have had an anti-dilutive effect given the Company’s net loss: 11,208,573 stock options, 8,984,827 restricted stock units, 12,780,000 Private Placement Warrants and 20,700,000 Public Warrants to purchase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 new accounting standard which includes new and updated income tax disclosures, including disaggregation of information in the rate reconciliation and income taxes paid, which we adopted on a prospective basis for the year ended December 31,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for the year ended December 31, 2025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40" w:type="dxa"/>
            <w:vAlign w:val="bottom"/>
          </w:tcPr>
          <w:p>
            <w:pPr>
              <w:spacing w:after="0"/>
              <w:rPr>
                <w:sz w:val="15"/>
                <w:szCs w:val="15"/>
                <w:color w:val="auto"/>
              </w:rPr>
            </w:pPr>
          </w:p>
        </w:tc>
        <w:tc>
          <w:tcPr>
            <w:tcW w:w="364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2"/>
        </w:trPr>
        <w:tc>
          <w:tcPr>
            <w:tcW w:w="726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2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U.S. Federal Statutory Tax Rate</w:t>
            </w:r>
          </w:p>
        </w:tc>
        <w:tc>
          <w:tcPr>
            <w:tcW w:w="340" w:type="dxa"/>
            <w:vAlign w:val="bottom"/>
          </w:tcPr>
          <w:p>
            <w:pPr>
              <w:jc w:val="right"/>
              <w:ind w:right="17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1,757</w:t>
            </w:r>
          </w:p>
        </w:tc>
        <w:tc>
          <w:tcPr>
            <w:tcW w:w="240" w:type="dxa"/>
            <w:vAlign w:val="bottom"/>
          </w:tcPr>
          <w:p>
            <w:pPr>
              <w:spacing w:after="0"/>
              <w:rPr>
                <w:sz w:val="13"/>
                <w:szCs w:val="13"/>
                <w:color w:val="auto"/>
              </w:rPr>
            </w:pPr>
          </w:p>
        </w:tc>
        <w:tc>
          <w:tcPr>
            <w:tcW w:w="2020" w:type="dxa"/>
            <w:vAlign w:val="bottom"/>
            <w:gridSpan w:val="2"/>
          </w:tcPr>
          <w:p>
            <w:pPr>
              <w:jc w:val="right"/>
              <w:ind w:right="80"/>
              <w:spacing w:after="0" w:line="157"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8"/>
        </w:trPr>
        <w:tc>
          <w:tcPr>
            <w:tcW w:w="72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tax rate difference between Israel and U.S.</w:t>
            </w:r>
          </w:p>
        </w:tc>
        <w:tc>
          <w:tcPr>
            <w:tcW w:w="3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(1,351)</w:t>
            </w: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Reduction in NOL carry-forwards (Section 382 limitation)</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taxes in California, New York, Maine, Missouri and Massachusetts made up the majority (greater than 50 percent) of the tax effect in this category.</w:t>
      </w:r>
    </w:p>
    <w:p>
      <w:pPr>
        <w:spacing w:after="0" w:line="1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for the year ended December 31, 2024 and 2023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1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(18,964)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taxes</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effective tax rate due to:</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 taxes, net of federal effect</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Permanent differences</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adjustments</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1111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111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and the effective tax rate for the year ended December 31, 2025 is the change in valuation allowance which was impacted by higher net income during the year ended December 31, 2025 and the enactment of the OBBBA in July 2025, which altered the treatment of unamortized Section 174 expenses and impacted the projected realization of deferred tax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 is attributable to the following tax jurisdictions: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(19,576)</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(18,964)</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applicable to income (loss) before income taxes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4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-873760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-873760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-316865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-316865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cash paid for income taxes (net of refunds) for the year ended December 31,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5"/>
                <w:szCs w:val="15"/>
                <w:color w:val="auto"/>
              </w:rPr>
            </w:pP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420" w:type="dxa"/>
            <w:vAlign w:val="bottom"/>
            <w:shd w:val="clear" w:color="auto" w:fill="CFF0FC"/>
          </w:tcPr>
          <w:p>
            <w:pPr>
              <w:spacing w:after="0"/>
              <w:rPr>
                <w:sz w:val="18"/>
                <w:szCs w:val="18"/>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Pennsylvania</w:t>
            </w:r>
          </w:p>
        </w:tc>
        <w:tc>
          <w:tcPr>
            <w:tcW w:w="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Maryland</w:t>
            </w:r>
          </w:p>
        </w:tc>
        <w:tc>
          <w:tcPr>
            <w:tcW w:w="420" w:type="dxa"/>
            <w:vAlign w:val="bottom"/>
            <w:shd w:val="clear" w:color="auto" w:fill="CFF0FC"/>
          </w:tcPr>
          <w:p>
            <w:pPr>
              <w:spacing w:after="0"/>
              <w:rPr>
                <w:sz w:val="18"/>
                <w:szCs w:val="18"/>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Tennessee</w:t>
            </w:r>
          </w:p>
        </w:tc>
        <w:tc>
          <w:tcPr>
            <w:tcW w:w="4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Israel</w:t>
            </w:r>
          </w:p>
        </w:tc>
        <w:tc>
          <w:tcPr>
            <w:tcW w:w="42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we paid $0.1 million and $0.2 million, respectively, in income taxes, net of refunds received.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72,523</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76,065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(72,627)</w:t>
            </w:r>
          </w:p>
        </w:tc>
        <w:tc>
          <w:tcPr>
            <w:tcW w:w="5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(73,978)</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174</w:t>
            </w:r>
          </w:p>
        </w:tc>
        <w:tc>
          <w:tcPr>
            <w:tcW w:w="4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w:t>
            </w:r>
          </w:p>
        </w:tc>
        <w:tc>
          <w:tcPr>
            <w:tcW w:w="5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5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9"/>
        </w:trPr>
        <w:tc>
          <w:tcPr>
            <w:tcW w:w="7100" w:type="dxa"/>
            <w:vAlign w:val="bottom"/>
            <w:tcBorders>
              <w:top w:val="single" w:sz="8" w:color="CFF0FC"/>
            </w:tcBorders>
          </w:tcPr>
          <w:p>
            <w:pPr>
              <w:ind w:left="9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Realization of the future tax benefits is dependent on the Company’s ability to generate sufficient taxable income within the carryforward period. A valuation allowance is provided for deferred tax assets when it is “more likely than not” that some portion of the deferred tax asset will not be realized. Because of the Company’s history of operating losses, management believes the recognition of the deferred tax assets arising from the above-mentioned future tax benefits is currently not more likely than not to be realized and, accordingly, has provided a full valuation allowance. A valuation allowance has been recorded for the deferred tax assets at December 31, 2025 and 2024.</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Management considered the Company’s cumulative loss in recent years as significant negative evidence. Based upon a review of the four sources of income identified within ASC 740, management determined that the negative evidence outweighed the positive evidence and that a full valuation allowance on the net deferred tax assets will be maintained. Management will continue to assess the realizability of our deferred tax assets going forward and will adjust the valuation allowance as needed. The valuation allowance decreased approximately $1.4 million for the year ended December 31, 2025. This change was primarily driven by the enactment of the OBBBA in July 2025, which altered the treatment of unamortized Section 174 expenses and impacted the projected realization of deferred tax assets.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has federal and state net operating loss carryovers (“NOL”) of approximately $283.2 million and $210.4 million, respectively, which are available to reduce future taxable income. The NOL carryforwards begin to expire in 2035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and state and Israeli income taxes with varying statutes of limitations. The Company is no longer subject to U.S. federal, state or local income tax examinations by the tax authorities for years before 2022. The Israel subsidiary tax filings filed by the Company through the year 2020 are considered closed.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OBBBA was enacted, introducing amendments to the U.S. federal income tax code. The OBBBA permanently restores 100% bonus depreciation for qualified property acquired and placed in service after January 19, 2025, and allows immediate expensing of domestic research and experimental expenditures for tax years beginning after December 31, 2024. Certain provisions are effective for fiscal 2025 and are recognized in the consolidated financial statements for the year ended December 31, 2025. Certain other provisions are effective in future fiscal years. Although we continue to maintain a full valuation allowance against our U.S. deferred tax assets as of December 31, 2025, we expect these provisions to increase available deductions and extend the period during which future taxable income may be sheltered, improving liquidity to the extent we generate taxable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subsidiary Talkspace LLC, is party to various agreements including Management Services Agreements (“MSAs”) with a Texas professional association entity (Talkspace Provider Network, PA or “TPN”), which in turn contracts with the Company's other affiliated professional entities (“PC entities”), physicians, therapists, and other licensed professionals to provide clinical and professional services to the Company's members.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 by the Manager and should be repaid as per the terms of the management agreement. No such advances have been made by the Manager to TPN or the PC entities as of December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ownership, contractual and other interests in entities that are not wholly-owned to determine if these entities are Variable Interest Entities (“VIEs”), and, if so, whether the Company is the primary beneficiary of the VIE. The Company's policy is to consolidate any VIEs where the Company is deemed to be the primary beneficiary. The Company determined that it holds a variable interest in TPN and the PC entities. The Company evaluates whether an entity in which it has a variable interest is considered a VIE as defined under ASC 810, “Consolidation.” VIEs are generally entities that have either a total equity investment that is insufficient to permit the entity to finance its activities without additional subordinated financial support, or whose equity investors lack the characteristics of a controlling financial interest. The Company determined that TPN and the PC entities are VIEs and that it is the primary beneficiary of these VIEs as it is able to direct the activities of TPN and the PC entities that most significantly impact their economic performance and fund and absorb all their losses; therefore, the Company consolidates these VIEs.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of the Company’s consolidated VIEs are subject to legal, contractual, and regulatory restrictions that limit their use to specified purposes such as funding clinical operations, paying salaries to employees and providers, servicing practice-related debt, and meeting regulatory or Payor obligations. The liabilities of these VIEs may be subject to contractual limitations on settlement. Creditors and beneficial interest holders of the VIEs generally have recourse only to the assets of the VIEs and not to the general credit of the Company. The Company’s maximum exposure to loss from these VIEs is limited to its interests in the VIEs and any specific contractual requirements, including guarantees or other commitments, if any.</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December 31, 2025 and 2024. The assets and liabilities in the table below are presented prior to consolidation and thus a portion of these assets and liabilities are eliminated in consolidation.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3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13,333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6,743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32,695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20,986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46,257</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27,861</w:t>
            </w:r>
          </w:p>
        </w:tc>
        <w:tc>
          <w:tcPr>
            <w:tcW w:w="0" w:type="dxa"/>
            <w:vAlign w:val="bottom"/>
          </w:tcPr>
          <w:p>
            <w:pPr>
              <w:spacing w:after="0"/>
              <w:rPr>
                <w:sz w:val="1"/>
                <w:szCs w:val="1"/>
                <w:color w:val="auto"/>
              </w:rPr>
            </w:pPr>
          </w:p>
        </w:tc>
      </w:tr>
      <w:tr>
        <w:trPr>
          <w:trHeight w:val="196"/>
        </w:trPr>
        <w:tc>
          <w:tcPr>
            <w:tcW w:w="44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-1516380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-1499235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-1216660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2026, the Company entered into a definitive Agreement and Plan of Merger (the “Merger Agreement”) with Universal Health Services, Inc., a Delaware corporation (“UHS”), under which UHS will acquire all outstanding shares of Talkspace for $5.25 per share in cash, without interest. The transaction is valued at approximately $835.0 million and is expected to close in the third quarter of 2026. Transaction-related costs will be expensed in the periods incurred during fiscal year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consummation of the merger is subject to certain customary closing conditions and approvals, as defined in the agreement. In addition, the Merger Agreement contains certain termination rights for both parties. If the agreement is terminated under specified circumstances, the Company may be required to pay UHS a termination fee of $32.4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1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report, an evaluation was carried out by certain members of Company management, with the participation of the Chief Executive Officer and our Chief Financial Officer of the effectiveness of the Company’s disclosure controls and procedures (as defined in Securities and Exchange Commission’s (“SEC”) Rules 13a-15(e) and 15d-15(e) under the Securities Exchange Act of 1934, as amended (“Exchange Act”)), as of December 31, 2025. 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the Chief Financial Officer, to allow timely decisions regarding required disclosures. Based upon that evaluation, our management, including our Chief Executive Officer and our Chief Financial Officer, concluded that our disclosure controls and procedures were effective as of December 31, 2025.</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also believes that the consolidated financial statements in this Annual Report on Form 10-K present, in all material aspects, the company’s financial condition as reported, in conformity with U.S. Generally Accepted Accounting Principles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consolidated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of and with the participation of our management, including our Chief Executive Officer and Chief Financial Officer, we assessed the effectiveness of our internal control over financial reporting as of December 31, 2025, using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upon that evaluation, our management concluded that our internal control over financial reporting was effective as of December 31, 2025.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Kost Forer Gabbay &amp; Kasierer, a member of EY Global, which audited our consolidated financial statements included in this Form 10-K, has audited the effectiveness of the Company’s internal control over financial reporting as of December 31, 2025, and has issued an attestation, which appears in their report in Item 8 Financial Statements and Supplementary Data of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(as defined in Rules 13a-15(f) and 15d-15(f) of the Exchange Act) that occurred during the fourth quarter of fiscal year 2025 that have materially affected, or are reasonably likely to materially affect, our internal control over financial reporting. We will continue to evaluate each quarter whether there are changes that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2025, no director or officer of the Company adopted or terminated a “Rule 10b5-1 trading arrangement” or “non-Rule 10b5-1 trading arrangement,” as the terms are defined in Item 408(a) of Regulation S-K.</w:t>
      </w:r>
    </w:p>
    <w:p>
      <w:pPr>
        <w:spacing w:after="0" w:line="266" w:lineRule="exact"/>
        <w:rPr>
          <w:sz w:val="20"/>
          <w:szCs w:val="20"/>
          <w:color w:val="auto"/>
        </w:rPr>
      </w:pPr>
    </w:p>
    <w:p>
      <w:pPr>
        <w:ind w:right="31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Annual Report on Form 10-K/A, which will be filed with the SEC no later than 120 days after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Prohibiting Insider Trading and Related Procedures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applicable to our directors, officers, employees, and other covered persons, and have implemented processes for the Company, that we believe are reasonably designed to promote compliance with insider trading laws, rules and regulations, and the Nasdaq Stock Market LLC listing standards. Our insider trading policy is filed as Exhibit 19.1 to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Annual Report on Form 10-K/A, which will be filed with the SEC no later than 120 days after December 31, 2025.</w:t>
      </w:r>
    </w:p>
    <w:p>
      <w:pPr>
        <w:spacing w:after="0" w:line="26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Annual Report on Form 10-K/A, which will be filed with the SEC no later than 120 days after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Annual Report on Form 10-K/A, which will be filed with the SEC no later than 120 days after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or an amendment to this Annual Report on Form 10-K/A, which will be filed with the SEC no later than 120 days after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400" w:right="20" w:hanging="374"/>
        <w:spacing w:after="0" w:line="282" w:lineRule="auto"/>
        <w:tabs>
          <w:tab w:leader="none" w:pos="14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and Supplemental Data filed as part of this Form 10-K. See Item 8 (pages 65 to 89)</w:t>
      </w:r>
    </w:p>
    <w:p>
      <w:pPr>
        <w:spacing w:after="0" w:line="107" w:lineRule="exact"/>
        <w:rPr>
          <w:rFonts w:ascii="Times New Roman" w:cs="Times New Roman" w:eastAsia="Times New Roman" w:hAnsi="Times New Roman"/>
          <w:sz w:val="18"/>
          <w:szCs w:val="18"/>
          <w:color w:val="auto"/>
        </w:rPr>
      </w:pPr>
    </w:p>
    <w:p>
      <w:pPr>
        <w:ind w:left="1400" w:hanging="374"/>
        <w:spacing w:after="0" w:line="282" w:lineRule="auto"/>
        <w:tabs>
          <w:tab w:leader="none" w:pos="14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are omitted as they are either not required or not applicable, or the information is otherwise included in the consolidated financial statements.</w:t>
      </w:r>
    </w:p>
    <w:p>
      <w:pPr>
        <w:spacing w:after="0" w:line="107" w:lineRule="exact"/>
        <w:rPr>
          <w:rFonts w:ascii="Times New Roman" w:cs="Times New Roman" w:eastAsia="Times New Roman" w:hAnsi="Times New Roman"/>
          <w:sz w:val="18"/>
          <w:szCs w:val="18"/>
          <w:color w:val="auto"/>
        </w:rPr>
      </w:pPr>
    </w:p>
    <w:p>
      <w:pPr>
        <w:ind w:left="1400" w:right="20" w:hanging="374"/>
        <w:spacing w:after="0" w:line="282" w:lineRule="auto"/>
        <w:tabs>
          <w:tab w:leader="none" w:pos="14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which are filed with this Form 10-K or are incorporated herein by reference are set forth in the Exhibit Index (pages 94 to 95)</w:t>
      </w:r>
    </w:p>
    <w:p>
      <w:pPr>
        <w:spacing w:after="0" w:line="1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See the Exhibit Index included hereinafter on pages 94 to 95</w:t>
      </w:r>
    </w:p>
    <w:p>
      <w:pPr>
        <w:spacing w:after="0" w:line="207" w:lineRule="exact"/>
        <w:rPr>
          <w:sz w:val="20"/>
          <w:szCs w:val="20"/>
          <w:color w:val="auto"/>
        </w:rPr>
      </w:pPr>
    </w:p>
    <w:p>
      <w:pPr>
        <w:ind w:left="900" w:right="464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excluded from the annual report to stockholders None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17"/>
        </w:trPr>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vMerge w:val="restart"/>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6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00" w:type="dxa"/>
            <w:vAlign w:val="bottom"/>
            <w:gridSpan w:val="2"/>
          </w:tcPr>
          <w:p>
            <w:pPr>
              <w:jc w:val="right"/>
              <w:ind w:right="500"/>
              <w:spacing w:after="0" w:line="155" w:lineRule="exact"/>
              <w:rPr>
                <w:rFonts w:ascii="Times New Roman" w:cs="Times New Roman" w:eastAsia="Times New Roman" w:hAnsi="Times New Roman"/>
                <w:sz w:val="16"/>
                <w:szCs w:val="16"/>
                <w:color w:val="0000FF"/>
                <w:w w:val="96"/>
              </w:rPr>
            </w:pPr>
            <w:hyperlink r:id="rId382">
              <w:r>
                <w:rPr>
                  <w:rFonts w:ascii="Times New Roman" w:cs="Times New Roman" w:eastAsia="Times New Roman" w:hAnsi="Times New Roman"/>
                  <w:sz w:val="16"/>
                  <w:szCs w:val="16"/>
                  <w:color w:val="0000FF"/>
                  <w:w w:val="96"/>
                </w:rPr>
                <w:t>2.</w:t>
              </w:r>
              <w:r>
                <w:rPr>
                  <w:rFonts w:ascii="Times New Roman" w:cs="Times New Roman" w:eastAsia="Times New Roman" w:hAnsi="Times New Roman"/>
                  <w:sz w:val="16"/>
                  <w:szCs w:val="16"/>
                  <w:u w:val="single" w:color="auto"/>
                  <w:color w:val="0000FF"/>
                  <w:w w:val="96"/>
                </w:rPr>
                <w:t>1</w:t>
              </w:r>
            </w:hyperlink>
            <w:r>
              <w:rPr>
                <w:rFonts w:ascii="Times New Roman" w:cs="Times New Roman" w:eastAsia="Times New Roman" w:hAnsi="Times New Roman"/>
                <w:sz w:val="16"/>
                <w:szCs w:val="16"/>
                <w:color w:val="000000"/>
                <w:w w:val="96"/>
              </w:rPr>
              <w:t>+</w:t>
            </w:r>
          </w:p>
        </w:tc>
        <w:tc>
          <w:tcPr>
            <w:tcW w:w="120" w:type="dxa"/>
            <w:vAlign w:val="bottom"/>
          </w:tcPr>
          <w:p>
            <w:pPr>
              <w:spacing w:after="0"/>
              <w:rPr>
                <w:sz w:val="13"/>
                <w:szCs w:val="13"/>
                <w:color w:val="auto"/>
              </w:rPr>
            </w:pPr>
          </w:p>
        </w:tc>
        <w:tc>
          <w:tcPr>
            <w:tcW w:w="6760" w:type="dxa"/>
            <w:vAlign w:val="bottom"/>
            <w:gridSpan w:val="5"/>
          </w:tcPr>
          <w:p>
            <w:pPr>
              <w:spacing w:after="0" w:line="155" w:lineRule="exact"/>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Agreement and Plan of Merger, dated as of January 12, 2021, by and among Hudson Executive</w:t>
              </w:r>
            </w:hyperlink>
          </w:p>
        </w:tc>
        <w:tc>
          <w:tcPr>
            <w:tcW w:w="440" w:type="dxa"/>
            <w:vAlign w:val="bottom"/>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rPr>
              <w:t>S-4</w:t>
            </w:r>
          </w:p>
        </w:tc>
        <w:tc>
          <w:tcPr>
            <w:tcW w:w="1020" w:type="dxa"/>
            <w:vAlign w:val="bottom"/>
          </w:tcPr>
          <w:p>
            <w:pPr>
              <w:jc w:val="right"/>
              <w:ind w:right="47"/>
              <w:spacing w:after="0" w:line="155" w:lineRule="exact"/>
              <w:rPr>
                <w:sz w:val="20"/>
                <w:szCs w:val="20"/>
                <w:color w:val="auto"/>
              </w:rPr>
            </w:pPr>
            <w:r>
              <w:rPr>
                <w:rFonts w:ascii="Times New Roman" w:cs="Times New Roman" w:eastAsia="Times New Roman" w:hAnsi="Times New Roman"/>
                <w:sz w:val="14"/>
                <w:szCs w:val="14"/>
                <w:color w:val="auto"/>
              </w:rPr>
              <w:t>333-252638</w:t>
            </w:r>
          </w:p>
        </w:tc>
        <w:tc>
          <w:tcPr>
            <w:tcW w:w="64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5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2/2/21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Investment Corp., Tailwind Merger Sub I, Inc., Tailwind Merger Sub II, LLC, and Groop Internet</w:t>
              </w:r>
            </w:hyperlink>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rPr>
            </w:pPr>
            <w:hyperlink r:id="rId382">
              <w:r>
                <w:rPr>
                  <w:rFonts w:ascii="Times New Roman" w:cs="Times New Roman" w:eastAsia="Times New Roman" w:hAnsi="Times New Roman"/>
                  <w:sz w:val="16"/>
                  <w:szCs w:val="16"/>
                  <w:color w:val="0000FF"/>
                </w:rPr>
                <w:t>Platform, Inc. (d/b/a Talkspace).</w:t>
              </w:r>
            </w:hyperlink>
          </w:p>
        </w:tc>
        <w:tc>
          <w:tcPr>
            <w:tcW w:w="20" w:type="dxa"/>
            <w:vAlign w:val="bottom"/>
            <w:tcBorders>
              <w:bottom w:val="single" w:sz="8" w:color="0000EE"/>
            </w:tcBorders>
          </w:tcPr>
          <w:p>
            <w:pPr>
              <w:spacing w:after="0"/>
              <w:rPr>
                <w:sz w:val="15"/>
                <w:szCs w:val="15"/>
                <w:color w:val="auto"/>
              </w:rPr>
            </w:pPr>
          </w:p>
        </w:tc>
        <w:tc>
          <w:tcPr>
            <w:tcW w:w="462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jc w:val="right"/>
              <w:spacing w:after="0"/>
              <w:rPr>
                <w:rFonts w:ascii="Times New Roman" w:cs="Times New Roman" w:eastAsia="Times New Roman" w:hAnsi="Times New Roman"/>
                <w:sz w:val="16"/>
                <w:szCs w:val="16"/>
                <w:color w:val="0000FF"/>
                <w:w w:val="99"/>
              </w:rPr>
            </w:pPr>
            <w:hyperlink r:id="rId383">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700" w:type="dxa"/>
            <w:vAlign w:val="bottom"/>
          </w:tcPr>
          <w:p>
            <w:pPr>
              <w:spacing w:after="0"/>
              <w:rPr>
                <w:sz w:val="16"/>
                <w:szCs w:val="16"/>
                <w:color w:val="auto"/>
              </w:rPr>
            </w:pPr>
          </w:p>
        </w:tc>
        <w:tc>
          <w:tcPr>
            <w:tcW w:w="6420" w:type="dxa"/>
            <w:vAlign w:val="bottom"/>
            <w:gridSpan w:val="4"/>
          </w:tcPr>
          <w:p>
            <w:pPr>
              <w:spacing w:after="0"/>
              <w:rPr>
                <w:rFonts w:ascii="Times New Roman" w:cs="Times New Roman" w:eastAsia="Times New Roman" w:hAnsi="Times New Roman"/>
                <w:sz w:val="16"/>
                <w:szCs w:val="16"/>
                <w:color w:val="0000FF"/>
              </w:rPr>
            </w:pPr>
            <w:hyperlink r:id="rId383">
              <w:r>
                <w:rPr>
                  <w:rFonts w:ascii="Times New Roman" w:cs="Times New Roman" w:eastAsia="Times New Roman" w:hAnsi="Times New Roman"/>
                  <w:sz w:val="16"/>
                  <w:szCs w:val="16"/>
                  <w:color w:val="0000FF"/>
                </w:rPr>
                <w:t>Second Amended and Restated Certificate of Incorporation of Talkspace, Inc.</w:t>
              </w:r>
            </w:hyperlink>
          </w:p>
        </w:tc>
      </w:tr>
      <w:tr>
        <w:trPr>
          <w:trHeight w:val="183"/>
        </w:trPr>
        <w:tc>
          <w:tcPr>
            <w:tcW w:w="220" w:type="dxa"/>
            <w:vAlign w:val="bottom"/>
            <w:tcBorders>
              <w:top w:val="single" w:sz="8" w:color="0000FF"/>
              <w:bottom w:val="single" w:sz="8" w:color="0000FF"/>
            </w:tcBorders>
          </w:tcPr>
          <w:p>
            <w:pPr>
              <w:jc w:val="right"/>
              <w:spacing w:after="0" w:line="183" w:lineRule="exact"/>
              <w:rPr>
                <w:rFonts w:ascii="Times New Roman" w:cs="Times New Roman" w:eastAsia="Times New Roman" w:hAnsi="Times New Roman"/>
                <w:sz w:val="16"/>
                <w:szCs w:val="16"/>
                <w:color w:val="0000FF"/>
                <w:w w:val="99"/>
              </w:rPr>
            </w:pPr>
            <w:hyperlink r:id="rId38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700" w:type="dxa"/>
            <w:vAlign w:val="bottom"/>
          </w:tcPr>
          <w:p>
            <w:pPr>
              <w:spacing w:after="0"/>
              <w:rPr>
                <w:sz w:val="15"/>
                <w:szCs w:val="15"/>
                <w:color w:val="auto"/>
              </w:rPr>
            </w:pPr>
          </w:p>
        </w:tc>
        <w:tc>
          <w:tcPr>
            <w:tcW w:w="170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6"/>
                <w:szCs w:val="16"/>
                <w:color w:val="0000FF"/>
              </w:rPr>
            </w:pPr>
            <w:hyperlink r:id="rId384">
              <w:r>
                <w:rPr>
                  <w:rFonts w:ascii="Times New Roman" w:cs="Times New Roman" w:eastAsia="Times New Roman" w:hAnsi="Times New Roman"/>
                  <w:sz w:val="16"/>
                  <w:szCs w:val="16"/>
                  <w:color w:val="0000FF"/>
                </w:rPr>
                <w:t>Bylaws of Talkspace, Inc.</w:t>
              </w:r>
            </w:hyperlink>
          </w:p>
        </w:tc>
        <w:tc>
          <w:tcPr>
            <w:tcW w:w="3340" w:type="dxa"/>
            <w:vAlign w:val="bottom"/>
            <w:tcBorders>
              <w:top w:val="single" w:sz="8" w:color="0000FF"/>
            </w:tcBorders>
            <w:gridSpan w:val="2"/>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20" w:type="dxa"/>
            <w:vAlign w:val="bottom"/>
            <w:tcBorders>
              <w:bottom w:val="single" w:sz="8" w:color="0000FF"/>
            </w:tcBorders>
          </w:tcPr>
          <w:p>
            <w:pPr>
              <w:jc w:val="right"/>
              <w:spacing w:after="0" w:line="183" w:lineRule="exact"/>
              <w:rPr>
                <w:rFonts w:ascii="Times New Roman" w:cs="Times New Roman" w:eastAsia="Times New Roman" w:hAnsi="Times New Roman"/>
                <w:sz w:val="16"/>
                <w:szCs w:val="16"/>
                <w:color w:val="0000FF"/>
                <w:w w:val="99"/>
              </w:rPr>
            </w:pPr>
            <w:hyperlink r:id="rId385">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700" w:type="dxa"/>
            <w:vAlign w:val="bottom"/>
          </w:tcPr>
          <w:p>
            <w:pPr>
              <w:spacing w:after="0"/>
              <w:rPr>
                <w:sz w:val="15"/>
                <w:szCs w:val="15"/>
                <w:color w:val="auto"/>
              </w:rPr>
            </w:pPr>
          </w:p>
        </w:tc>
        <w:tc>
          <w:tcPr>
            <w:tcW w:w="642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385">
              <w:r>
                <w:rPr>
                  <w:rFonts w:ascii="Times New Roman" w:cs="Times New Roman" w:eastAsia="Times New Roman" w:hAnsi="Times New Roman"/>
                  <w:sz w:val="16"/>
                  <w:szCs w:val="16"/>
                  <w:color w:val="0000FF"/>
                </w:rPr>
                <w:t>Warrant Agreement, dated as of June 8, 2020, by and between Continental Stock Transfer &amp; Trust</w:t>
              </w:r>
            </w:hyperlink>
          </w:p>
        </w:tc>
      </w:tr>
      <w:tr>
        <w:trPr>
          <w:trHeight w:val="183"/>
        </w:trPr>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40" w:type="dxa"/>
            <w:vAlign w:val="bottom"/>
            <w:tcBorders>
              <w:bottom w:val="single" w:sz="8" w:color="0000EE"/>
            </w:tcBorders>
            <w:gridSpan w:val="2"/>
          </w:tcPr>
          <w:p>
            <w:pPr>
              <w:spacing w:after="0" w:line="183" w:lineRule="exact"/>
              <w:rPr>
                <w:rFonts w:ascii="Times New Roman" w:cs="Times New Roman" w:eastAsia="Times New Roman" w:hAnsi="Times New Roman"/>
                <w:sz w:val="16"/>
                <w:szCs w:val="16"/>
                <w:color w:val="0000FF"/>
              </w:rPr>
            </w:pPr>
            <w:hyperlink r:id="rId385">
              <w:r>
                <w:rPr>
                  <w:rFonts w:ascii="Times New Roman" w:cs="Times New Roman" w:eastAsia="Times New Roman" w:hAnsi="Times New Roman"/>
                  <w:sz w:val="16"/>
                  <w:szCs w:val="16"/>
                  <w:color w:val="0000FF"/>
                </w:rPr>
                <w:t>Company and Hudson Executive Investment Corp.</w:t>
              </w:r>
            </w:hyperlink>
          </w:p>
        </w:tc>
        <w:tc>
          <w:tcPr>
            <w:tcW w:w="308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8-K/A</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001-39314</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8-K/A</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001-39314</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001-39314</w:t>
            </w: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6/11/20</w:t>
            </w:r>
          </w:p>
        </w:tc>
      </w:tr>
    </w:tbl>
    <w:p>
      <w:pPr>
        <w:spacing w:after="0" w:line="216" w:lineRule="exact"/>
        <w:rPr>
          <w:sz w:val="20"/>
          <w:szCs w:val="20"/>
          <w:color w:val="auto"/>
        </w:rPr>
      </w:pPr>
    </w:p>
    <w:p>
      <w:pPr>
        <w:sectPr>
          <w:pgSz w:w="11900" w:h="16838" w:orient="portrait"/>
          <w:cols w:equalWidth="0" w:num="2">
            <w:col w:w="7340" w:space="420"/>
            <w:col w:w="3480"/>
          </w:cols>
          <w:pgMar w:left="320" w:top="769" w:right="3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rFonts w:ascii="Times New Roman" w:cs="Times New Roman" w:eastAsia="Times New Roman" w:hAnsi="Times New Roman"/>
                <w:sz w:val="16"/>
                <w:szCs w:val="16"/>
                <w:color w:val="0000FF"/>
                <w:w w:val="99"/>
              </w:rPr>
            </w:pPr>
            <w:hyperlink r:id="rId386">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60" w:type="dxa"/>
            <w:vAlign w:val="bottom"/>
            <w:gridSpan w:val="7"/>
          </w:tcPr>
          <w:p>
            <w:pPr>
              <w:spacing w:after="0"/>
              <w:rPr>
                <w:rFonts w:ascii="Times New Roman" w:cs="Times New Roman" w:eastAsia="Times New Roman" w:hAnsi="Times New Roman"/>
                <w:sz w:val="16"/>
                <w:szCs w:val="16"/>
                <w:color w:val="0000FF"/>
              </w:rPr>
            </w:pPr>
            <w:hyperlink r:id="rId386">
              <w:r>
                <w:rPr>
                  <w:rFonts w:ascii="Times New Roman" w:cs="Times New Roman" w:eastAsia="Times New Roman" w:hAnsi="Times New Roman"/>
                  <w:sz w:val="16"/>
                  <w:szCs w:val="16"/>
                  <w:color w:val="0000FF"/>
                </w:rPr>
                <w:t>Specimen Warrant Certificate of the Registrant.</w:t>
              </w:r>
            </w:hyperlink>
          </w:p>
        </w:tc>
      </w:tr>
      <w:tr>
        <w:trPr>
          <w:trHeight w:val="183"/>
        </w:trPr>
        <w:tc>
          <w:tcPr>
            <w:tcW w:w="220" w:type="dxa"/>
            <w:vAlign w:val="bottom"/>
            <w:tcBorders>
              <w:top w:val="single" w:sz="8" w:color="0000FF"/>
            </w:tcBorders>
          </w:tcPr>
          <w:p>
            <w:pPr>
              <w:spacing w:after="0" w:line="183" w:lineRule="exact"/>
              <w:rPr>
                <w:rFonts w:ascii="Times New Roman" w:cs="Times New Roman" w:eastAsia="Times New Roman" w:hAnsi="Times New Roman"/>
                <w:sz w:val="16"/>
                <w:szCs w:val="16"/>
                <w:color w:val="0000FF"/>
                <w:w w:val="99"/>
              </w:rPr>
            </w:pPr>
            <w:hyperlink r:id="rId387">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00" w:type="dxa"/>
            <w:vAlign w:val="bottom"/>
            <w:tcBorders>
              <w:top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387">
              <w:r>
                <w:rPr>
                  <w:rFonts w:ascii="Times New Roman" w:cs="Times New Roman" w:eastAsia="Times New Roman" w:hAnsi="Times New Roman"/>
                  <w:sz w:val="16"/>
                  <w:szCs w:val="16"/>
                  <w:color w:val="0000FF"/>
                </w:rPr>
                <w:t>Specimen Common Stock Certificate.</w:t>
              </w:r>
            </w:hyperlink>
          </w:p>
        </w:tc>
        <w:tc>
          <w:tcPr>
            <w:tcW w:w="3560" w:type="dxa"/>
            <w:vAlign w:val="bottom"/>
          </w:tcPr>
          <w:p>
            <w:pPr>
              <w:spacing w:after="0"/>
              <w:rPr>
                <w:sz w:val="15"/>
                <w:szCs w:val="15"/>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183"/>
        </w:trPr>
        <w:tc>
          <w:tcPr>
            <w:tcW w:w="2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9"/>
              </w:rPr>
            </w:pPr>
            <w:hyperlink r:id="rId388">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4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388">
              <w:r>
                <w:rPr>
                  <w:rFonts w:ascii="Times New Roman" w:cs="Times New Roman" w:eastAsia="Times New Roman" w:hAnsi="Times New Roman"/>
                  <w:sz w:val="16"/>
                  <w:szCs w:val="16"/>
                  <w:color w:val="0000FF"/>
                </w:rPr>
                <w:t>Description of Common Stock and Warrants.</w:t>
              </w:r>
            </w:hyperlink>
          </w:p>
        </w:tc>
        <w:tc>
          <w:tcPr>
            <w:tcW w:w="3720" w:type="dxa"/>
            <w:vAlign w:val="bottom"/>
            <w:gridSpan w:val="2"/>
          </w:tcPr>
          <w:p>
            <w:pPr>
              <w:spacing w:after="0"/>
              <w:rPr>
                <w:sz w:val="15"/>
                <w:szCs w:val="15"/>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8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r>
              <w:rPr>
                <w:rFonts w:ascii="Times New Roman" w:cs="Times New Roman" w:eastAsia="Times New Roman" w:hAnsi="Times New Roman"/>
                <w:sz w:val="16"/>
                <w:szCs w:val="16"/>
                <w:color w:val="000000"/>
              </w:rPr>
              <w:t>†</w:t>
            </w:r>
          </w:p>
        </w:tc>
        <w:tc>
          <w:tcPr>
            <w:tcW w:w="360" w:type="dxa"/>
            <w:vAlign w:val="bottom"/>
          </w:tcPr>
          <w:p>
            <w:pPr>
              <w:spacing w:after="0" w:line="183" w:lineRule="exact"/>
              <w:rPr>
                <w:rFonts w:ascii="Times New Roman" w:cs="Times New Roman" w:eastAsia="Times New Roman" w:hAnsi="Times New Roman"/>
                <w:sz w:val="16"/>
                <w:szCs w:val="16"/>
                <w:color w:val="0000FF"/>
              </w:rPr>
            </w:pPr>
            <w:hyperlink r:id="rId389">
              <w:r>
                <w:rPr>
                  <w:rFonts w:ascii="Times New Roman" w:cs="Times New Roman" w:eastAsia="Times New Roman" w:hAnsi="Times New Roman"/>
                  <w:sz w:val="16"/>
                  <w:szCs w:val="16"/>
                  <w:color w:val="0000FF"/>
                </w:rPr>
                <w:t>2021</w:t>
              </w:r>
            </w:hyperlink>
          </w:p>
        </w:tc>
        <w:tc>
          <w:tcPr>
            <w:tcW w:w="6300" w:type="dxa"/>
            <w:vAlign w:val="bottom"/>
            <w:gridSpan w:val="6"/>
          </w:tcPr>
          <w:p>
            <w:pPr>
              <w:ind w:left="20"/>
              <w:spacing w:after="0" w:line="183" w:lineRule="exact"/>
              <w:rPr>
                <w:rFonts w:ascii="Times New Roman" w:cs="Times New Roman" w:eastAsia="Times New Roman" w:hAnsi="Times New Roman"/>
                <w:sz w:val="16"/>
                <w:szCs w:val="16"/>
                <w:color w:val="0000FF"/>
              </w:rPr>
            </w:pPr>
            <w:hyperlink r:id="rId389">
              <w:r>
                <w:rPr>
                  <w:rFonts w:ascii="Times New Roman" w:cs="Times New Roman" w:eastAsia="Times New Roman" w:hAnsi="Times New Roman"/>
                  <w:sz w:val="16"/>
                  <w:szCs w:val="16"/>
                  <w:color w:val="0000FF"/>
                </w:rPr>
                <w:t>Incentive Award Plan.</w:t>
              </w:r>
            </w:hyperlink>
          </w:p>
        </w:tc>
      </w:tr>
      <w:tr>
        <w:trPr>
          <w:trHeight w:val="20"/>
        </w:trPr>
        <w:tc>
          <w:tcPr>
            <w:tcW w:w="3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hyperlink>
            <w:r>
              <w:rPr>
                <w:rFonts w:ascii="Times New Roman" w:cs="Times New Roman" w:eastAsia="Times New Roman" w:hAnsi="Times New Roman"/>
                <w:sz w:val="16"/>
                <w:szCs w:val="16"/>
                <w:color w:val="000000"/>
              </w:rPr>
              <w:t>†</w:t>
            </w:r>
          </w:p>
        </w:tc>
        <w:tc>
          <w:tcPr>
            <w:tcW w:w="360" w:type="dxa"/>
            <w:vAlign w:val="bottom"/>
          </w:tcPr>
          <w:p>
            <w:pPr>
              <w:spacing w:after="0" w:line="183" w:lineRule="exact"/>
              <w:rPr>
                <w:rFonts w:ascii="Times New Roman" w:cs="Times New Roman" w:eastAsia="Times New Roman" w:hAnsi="Times New Roman"/>
                <w:sz w:val="16"/>
                <w:szCs w:val="16"/>
                <w:color w:val="0000FF"/>
              </w:rPr>
            </w:pPr>
            <w:hyperlink r:id="rId390">
              <w:r>
                <w:rPr>
                  <w:rFonts w:ascii="Times New Roman" w:cs="Times New Roman" w:eastAsia="Times New Roman" w:hAnsi="Times New Roman"/>
                  <w:sz w:val="16"/>
                  <w:szCs w:val="16"/>
                  <w:color w:val="0000FF"/>
                </w:rPr>
                <w:t>2021</w:t>
              </w:r>
            </w:hyperlink>
          </w:p>
        </w:tc>
        <w:tc>
          <w:tcPr>
            <w:tcW w:w="6300" w:type="dxa"/>
            <w:vAlign w:val="bottom"/>
            <w:gridSpan w:val="6"/>
          </w:tcPr>
          <w:p>
            <w:pPr>
              <w:ind w:left="20"/>
              <w:spacing w:after="0" w:line="183" w:lineRule="exact"/>
              <w:rPr>
                <w:rFonts w:ascii="Times New Roman" w:cs="Times New Roman" w:eastAsia="Times New Roman" w:hAnsi="Times New Roman"/>
                <w:sz w:val="16"/>
                <w:szCs w:val="16"/>
                <w:color w:val="0000FF"/>
              </w:rPr>
            </w:pPr>
            <w:hyperlink r:id="rId390">
              <w:r>
                <w:rPr>
                  <w:rFonts w:ascii="Times New Roman" w:cs="Times New Roman" w:eastAsia="Times New Roman" w:hAnsi="Times New Roman"/>
                  <w:sz w:val="16"/>
                  <w:szCs w:val="16"/>
                  <w:color w:val="0000FF"/>
                </w:rPr>
                <w:t>Employee Stock Purchase Plan.</w:t>
              </w:r>
            </w:hyperlink>
          </w:p>
        </w:tc>
      </w:tr>
      <w:tr>
        <w:trPr>
          <w:trHeight w:val="20"/>
        </w:trPr>
        <w:tc>
          <w:tcPr>
            <w:tcW w:w="3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r>
              <w:rPr>
                <w:rFonts w:ascii="Times New Roman" w:cs="Times New Roman" w:eastAsia="Times New Roman" w:hAnsi="Times New Roman"/>
                <w:sz w:val="16"/>
                <w:szCs w:val="16"/>
                <w:color w:val="000000"/>
              </w:rPr>
              <w:t>†</w:t>
            </w:r>
          </w:p>
        </w:tc>
        <w:tc>
          <w:tcPr>
            <w:tcW w:w="360" w:type="dxa"/>
            <w:vAlign w:val="bottom"/>
          </w:tcPr>
          <w:p>
            <w:pPr>
              <w:spacing w:after="0" w:line="183" w:lineRule="exact"/>
              <w:rPr>
                <w:rFonts w:ascii="Times New Roman" w:cs="Times New Roman" w:eastAsia="Times New Roman" w:hAnsi="Times New Roman"/>
                <w:sz w:val="16"/>
                <w:szCs w:val="16"/>
                <w:color w:val="0000FF"/>
              </w:rPr>
            </w:pPr>
            <w:hyperlink r:id="rId391">
              <w:r>
                <w:rPr>
                  <w:rFonts w:ascii="Times New Roman" w:cs="Times New Roman" w:eastAsia="Times New Roman" w:hAnsi="Times New Roman"/>
                  <w:sz w:val="16"/>
                  <w:szCs w:val="16"/>
                  <w:color w:val="0000FF"/>
                </w:rPr>
                <w:t>2014</w:t>
              </w:r>
            </w:hyperlink>
          </w:p>
        </w:tc>
        <w:tc>
          <w:tcPr>
            <w:tcW w:w="6300" w:type="dxa"/>
            <w:vAlign w:val="bottom"/>
            <w:gridSpan w:val="6"/>
          </w:tcPr>
          <w:p>
            <w:pPr>
              <w:ind w:left="20"/>
              <w:spacing w:after="0" w:line="183" w:lineRule="exact"/>
              <w:rPr>
                <w:rFonts w:ascii="Times New Roman" w:cs="Times New Roman" w:eastAsia="Times New Roman" w:hAnsi="Times New Roman"/>
                <w:sz w:val="16"/>
                <w:szCs w:val="16"/>
                <w:color w:val="0000FF"/>
              </w:rPr>
            </w:pPr>
            <w:hyperlink r:id="rId391">
              <w:r>
                <w:rPr>
                  <w:rFonts w:ascii="Times New Roman" w:cs="Times New Roman" w:eastAsia="Times New Roman" w:hAnsi="Times New Roman"/>
                  <w:sz w:val="16"/>
                  <w:szCs w:val="16"/>
                  <w:color w:val="0000FF"/>
                </w:rPr>
                <w:t>Stock Incentive Plan.</w:t>
              </w:r>
            </w:hyperlink>
          </w:p>
        </w:tc>
      </w:tr>
      <w:tr>
        <w:trPr>
          <w:trHeight w:val="20"/>
        </w:trPr>
        <w:tc>
          <w:tcPr>
            <w:tcW w:w="3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w:t>
              </w:r>
            </w:hyperlink>
            <w:r>
              <w:rPr>
                <w:rFonts w:ascii="Times New Roman" w:cs="Times New Roman" w:eastAsia="Times New Roman" w:hAnsi="Times New Roman"/>
                <w:sz w:val="16"/>
                <w:szCs w:val="16"/>
                <w:color w:val="000000"/>
              </w:rPr>
              <w:t>†</w:t>
            </w:r>
          </w:p>
        </w:tc>
        <w:tc>
          <w:tcPr>
            <w:tcW w:w="6660" w:type="dxa"/>
            <w:vAlign w:val="bottom"/>
            <w:gridSpan w:val="7"/>
          </w:tcPr>
          <w:p>
            <w:pPr>
              <w:spacing w:after="0" w:line="183" w:lineRule="exact"/>
              <w:rPr>
                <w:rFonts w:ascii="Times New Roman" w:cs="Times New Roman" w:eastAsia="Times New Roman" w:hAnsi="Times New Roman"/>
                <w:sz w:val="16"/>
                <w:szCs w:val="16"/>
                <w:color w:val="0000FF"/>
              </w:rPr>
            </w:pPr>
            <w:hyperlink r:id="rId392">
              <w:r>
                <w:rPr>
                  <w:rFonts w:ascii="Times New Roman" w:cs="Times New Roman" w:eastAsia="Times New Roman" w:hAnsi="Times New Roman"/>
                  <w:sz w:val="16"/>
                  <w:szCs w:val="16"/>
                  <w:color w:val="0000FF"/>
                </w:rPr>
                <w:t>Form of Indemnification Agreement.</w:t>
              </w:r>
            </w:hyperlink>
          </w:p>
        </w:tc>
      </w:tr>
      <w:tr>
        <w:trPr>
          <w:trHeight w:val="20"/>
        </w:trPr>
        <w:tc>
          <w:tcPr>
            <w:tcW w:w="3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r>
      <w:tr>
        <w:trPr>
          <w:trHeight w:val="183"/>
        </w:trPr>
        <w:tc>
          <w:tcPr>
            <w:tcW w:w="30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w w:val="99"/>
              </w:rPr>
            </w:pPr>
            <w:hyperlink r:id="rId39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620" w:type="dxa"/>
            <w:vAlign w:val="bottom"/>
          </w:tcPr>
          <w:p>
            <w:pPr>
              <w:spacing w:after="0"/>
              <w:rPr>
                <w:sz w:val="15"/>
                <w:szCs w:val="15"/>
                <w:color w:val="auto"/>
              </w:rPr>
            </w:pPr>
          </w:p>
        </w:tc>
        <w:tc>
          <w:tcPr>
            <w:tcW w:w="666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393">
              <w:r>
                <w:rPr>
                  <w:rFonts w:ascii="Times New Roman" w:cs="Times New Roman" w:eastAsia="Times New Roman" w:hAnsi="Times New Roman"/>
                  <w:sz w:val="16"/>
                  <w:szCs w:val="16"/>
                  <w:color w:val="0000FF"/>
                </w:rPr>
                <w:t>Amended and Restated Registration Rights Agreement, by and among Talkspace, Inc. and the holders</w:t>
              </w:r>
            </w:hyperlink>
          </w:p>
        </w:tc>
      </w:tr>
      <w:tr>
        <w:trPr>
          <w:trHeight w:val="183"/>
        </w:trPr>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60" w:type="dxa"/>
            <w:vAlign w:val="bottom"/>
            <w:gridSpan w:val="7"/>
          </w:tcPr>
          <w:p>
            <w:pPr>
              <w:spacing w:after="0" w:line="183" w:lineRule="exact"/>
              <w:rPr>
                <w:rFonts w:ascii="Times New Roman" w:cs="Times New Roman" w:eastAsia="Times New Roman" w:hAnsi="Times New Roman"/>
                <w:sz w:val="16"/>
                <w:szCs w:val="16"/>
                <w:color w:val="0000FF"/>
              </w:rPr>
            </w:pPr>
            <w:hyperlink r:id="rId393">
              <w:r>
                <w:rPr>
                  <w:rFonts w:ascii="Times New Roman" w:cs="Times New Roman" w:eastAsia="Times New Roman" w:hAnsi="Times New Roman"/>
                  <w:sz w:val="16"/>
                  <w:szCs w:val="16"/>
                  <w:color w:val="0000FF"/>
                </w:rPr>
                <w:t>party thereto.</w:t>
              </w:r>
            </w:hyperlink>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333-238583</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6/5/20</w:t>
            </w:r>
          </w:p>
        </w:tc>
      </w:tr>
      <w:tr>
        <w:trPr>
          <w:trHeight w:val="203"/>
        </w:trPr>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S-4/A   333-252638</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5/20/21</w:t>
            </w:r>
          </w:p>
        </w:tc>
      </w:tr>
      <w:tr>
        <w:trPr>
          <w:trHeight w:val="203"/>
        </w:trPr>
        <w:tc>
          <w:tcPr>
            <w:tcW w:w="4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2/25/22</w:t>
            </w:r>
          </w:p>
        </w:tc>
      </w:tr>
      <w:tr>
        <w:trPr>
          <w:trHeight w:val="203"/>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8/30/21</w:t>
            </w:r>
          </w:p>
        </w:tc>
      </w:tr>
      <w:tr>
        <w:trPr>
          <w:trHeight w:val="203"/>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8/30/21</w:t>
            </w:r>
          </w:p>
        </w:tc>
      </w:tr>
      <w:tr>
        <w:trPr>
          <w:trHeight w:val="203"/>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99.3</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8/30/21</w:t>
            </w:r>
          </w:p>
        </w:tc>
      </w:tr>
      <w:tr>
        <w:trPr>
          <w:trHeight w:val="203"/>
        </w:trPr>
        <w:tc>
          <w:tcPr>
            <w:tcW w:w="4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001-39314</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001-39314</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5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6/23/21</w:t>
            </w:r>
          </w:p>
        </w:tc>
      </w:tr>
    </w:tbl>
    <w:p>
      <w:pPr>
        <w:spacing w:after="0" w:line="216" w:lineRule="exact"/>
        <w:rPr>
          <w:sz w:val="20"/>
          <w:szCs w:val="20"/>
          <w:color w:val="auto"/>
        </w:rPr>
      </w:pPr>
    </w:p>
    <w:p>
      <w:pPr>
        <w:sectPr>
          <w:pgSz w:w="11900" w:h="16838" w:orient="portrait"/>
          <w:cols w:equalWidth="0" w:num="2">
            <w:col w:w="7580" w:space="200"/>
            <w:col w:w="3460"/>
          </w:cols>
          <w:pgMar w:left="320" w:top="769" w:right="3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gridSpan w:val="3"/>
          </w:tcPr>
          <w:p>
            <w:pPr>
              <w:spacing w:after="0"/>
              <w:rPr>
                <w:rFonts w:ascii="Times New Roman" w:cs="Times New Roman" w:eastAsia="Times New Roman" w:hAnsi="Times New Roman"/>
                <w:sz w:val="16"/>
                <w:szCs w:val="16"/>
                <w:color w:val="0000FF"/>
              </w:rPr>
            </w:pPr>
            <w:hyperlink r:id="rId39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6</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rPr>
                <w:rFonts w:ascii="Times New Roman" w:cs="Times New Roman" w:eastAsia="Times New Roman" w:hAnsi="Times New Roman"/>
                <w:sz w:val="16"/>
                <w:szCs w:val="16"/>
                <w:color w:val="0000FF"/>
              </w:rPr>
            </w:pPr>
            <w:hyperlink r:id="rId394">
              <w:r>
                <w:rPr>
                  <w:rFonts w:ascii="Times New Roman" w:cs="Times New Roman" w:eastAsia="Times New Roman" w:hAnsi="Times New Roman"/>
                  <w:sz w:val="16"/>
                  <w:szCs w:val="16"/>
                  <w:color w:val="0000FF"/>
                </w:rPr>
                <w:t>Non-Employee Director Compensation Program.</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7</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395">
              <w:r>
                <w:rPr>
                  <w:rFonts w:ascii="Times New Roman" w:cs="Times New Roman" w:eastAsia="Times New Roman" w:hAnsi="Times New Roman"/>
                  <w:sz w:val="16"/>
                  <w:szCs w:val="16"/>
                  <w:color w:val="0000FF"/>
                </w:rPr>
                <w:t>Form of Stock Option Agreement under the Talkspace, Inc. 2021 Incentive Award Plan.</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6">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8</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396">
              <w:r>
                <w:rPr>
                  <w:rFonts w:ascii="Times New Roman" w:cs="Times New Roman" w:eastAsia="Times New Roman" w:hAnsi="Times New Roman"/>
                  <w:sz w:val="16"/>
                  <w:szCs w:val="16"/>
                  <w:color w:val="0000FF"/>
                </w:rPr>
                <w:t>Form of Restricted Stock Unit Agreement under the Talkspace, Inc. 2021 Incentive Award Plan.</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9</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397">
              <w:r>
                <w:rPr>
                  <w:rFonts w:ascii="Times New Roman" w:cs="Times New Roman" w:eastAsia="Times New Roman" w:hAnsi="Times New Roman"/>
                  <w:sz w:val="16"/>
                  <w:szCs w:val="16"/>
                  <w:color w:val="0000FF"/>
                </w:rPr>
                <w:t>Executive Severance Plan.</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16</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398">
              <w:r>
                <w:rPr>
                  <w:rFonts w:ascii="Times New Roman" w:cs="Times New Roman" w:eastAsia="Times New Roman" w:hAnsi="Times New Roman"/>
                  <w:sz w:val="16"/>
                  <w:szCs w:val="16"/>
                  <w:color w:val="0000FF"/>
                </w:rPr>
                <w:t>Employment Offer Letter, dated as of June 22, 2021, by and between Talkspace, Inc. and Gil Margolin.</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9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39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18</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399">
              <w:r>
                <w:rPr>
                  <w:rFonts w:ascii="Times New Roman" w:cs="Times New Roman" w:eastAsia="Times New Roman" w:hAnsi="Times New Roman"/>
                  <w:sz w:val="16"/>
                  <w:szCs w:val="16"/>
                  <w:color w:val="0000FF"/>
                </w:rPr>
                <w:t>Employment Offer Letter, dated as of June 22, 2021, by and between Talkspace, Inc. and John C.</w:t>
              </w:r>
            </w:hyperlink>
          </w:p>
        </w:tc>
      </w:tr>
      <w:tr>
        <w:trPr>
          <w:trHeight w:val="183"/>
        </w:trPr>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6360" w:type="dxa"/>
            <w:vAlign w:val="bottom"/>
            <w:tcBorders>
              <w:top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399">
              <w:r>
                <w:rPr>
                  <w:rFonts w:ascii="Times New Roman" w:cs="Times New Roman" w:eastAsia="Times New Roman" w:hAnsi="Times New Roman"/>
                  <w:sz w:val="16"/>
                  <w:szCs w:val="16"/>
                  <w:color w:val="0000FF"/>
                </w:rPr>
                <w:t>Reilly.</w:t>
              </w:r>
            </w:hyperlink>
          </w:p>
        </w:tc>
        <w:tc>
          <w:tcPr>
            <w:tcW w:w="380" w:type="dxa"/>
            <w:vAlign w:val="bottom"/>
            <w:gridSpan w:val="4"/>
          </w:tcPr>
          <w:p>
            <w:pPr>
              <w:spacing w:after="0"/>
              <w:rPr>
                <w:sz w:val="15"/>
                <w:szCs w:val="15"/>
                <w:color w:val="auto"/>
              </w:rPr>
            </w:pPr>
          </w:p>
        </w:tc>
      </w:tr>
      <w:tr>
        <w:trPr>
          <w:trHeight w:val="20"/>
        </w:trPr>
        <w:tc>
          <w:tcPr>
            <w:tcW w:w="920" w:type="dxa"/>
            <w:vAlign w:val="bottom"/>
            <w:gridSpan w:val="3"/>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40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19</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400">
              <w:r>
                <w:rPr>
                  <w:rFonts w:ascii="Times New Roman" w:cs="Times New Roman" w:eastAsia="Times New Roman" w:hAnsi="Times New Roman"/>
                  <w:sz w:val="16"/>
                  <w:szCs w:val="16"/>
                  <w:color w:val="0000FF"/>
                </w:rPr>
                <w:t>Retention Agreement, dated as of December 6, 2021, by and between Talkspace, Inc. and Gil Margolin.</w:t>
              </w:r>
            </w:hyperlink>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9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40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21</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401">
              <w:r>
                <w:rPr>
                  <w:rFonts w:ascii="Times New Roman" w:cs="Times New Roman" w:eastAsia="Times New Roman" w:hAnsi="Times New Roman"/>
                  <w:sz w:val="16"/>
                  <w:szCs w:val="16"/>
                  <w:color w:val="0000FF"/>
                </w:rPr>
                <w:t>Retention Agreement, dated as of December 6, 2021, by and between Talkspace, Inc. and John C.</w:t>
              </w:r>
            </w:hyperlink>
          </w:p>
        </w:tc>
      </w:tr>
      <w:tr>
        <w:trPr>
          <w:trHeight w:val="183"/>
        </w:trPr>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6380" w:type="dxa"/>
            <w:vAlign w:val="bottom"/>
            <w:tcBorders>
              <w:top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401">
              <w:r>
                <w:rPr>
                  <w:rFonts w:ascii="Times New Roman" w:cs="Times New Roman" w:eastAsia="Times New Roman" w:hAnsi="Times New Roman"/>
                  <w:sz w:val="16"/>
                  <w:szCs w:val="16"/>
                  <w:color w:val="0000FF"/>
                </w:rPr>
                <w:t>Reilly.</w:t>
              </w:r>
            </w:hyperlink>
          </w:p>
        </w:tc>
        <w:tc>
          <w:tcPr>
            <w:tcW w:w="360" w:type="dxa"/>
            <w:vAlign w:val="bottom"/>
            <w:gridSpan w:val="3"/>
          </w:tcPr>
          <w:p>
            <w:pPr>
              <w:spacing w:after="0"/>
              <w:rPr>
                <w:sz w:val="15"/>
                <w:szCs w:val="15"/>
                <w:color w:val="auto"/>
              </w:rPr>
            </w:pPr>
          </w:p>
        </w:tc>
      </w:tr>
      <w:tr>
        <w:trPr>
          <w:trHeight w:val="20"/>
        </w:trPr>
        <w:tc>
          <w:tcPr>
            <w:tcW w:w="920" w:type="dxa"/>
            <w:vAlign w:val="bottom"/>
            <w:gridSpan w:val="3"/>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83"/>
        </w:trPr>
        <w:tc>
          <w:tcPr>
            <w:tcW w:w="920" w:type="dxa"/>
            <w:vAlign w:val="bottom"/>
            <w:gridSpan w:val="3"/>
          </w:tcPr>
          <w:p>
            <w:pPr>
              <w:spacing w:after="0" w:line="183" w:lineRule="exact"/>
              <w:rPr>
                <w:rFonts w:ascii="Times New Roman" w:cs="Times New Roman" w:eastAsia="Times New Roman" w:hAnsi="Times New Roman"/>
                <w:sz w:val="16"/>
                <w:szCs w:val="16"/>
                <w:color w:val="0000FF"/>
              </w:rPr>
            </w:pPr>
            <w:hyperlink r:id="rId40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22</w:t>
              </w:r>
            </w:hyperlink>
            <w:r>
              <w:rPr>
                <w:rFonts w:ascii="Times New Roman" w:cs="Times New Roman" w:eastAsia="Times New Roman" w:hAnsi="Times New Roman"/>
                <w:sz w:val="16"/>
                <w:szCs w:val="16"/>
                <w:color w:val="000000"/>
              </w:rPr>
              <w:t>†</w:t>
            </w:r>
          </w:p>
        </w:tc>
        <w:tc>
          <w:tcPr>
            <w:tcW w:w="6740" w:type="dxa"/>
            <w:vAlign w:val="bottom"/>
            <w:gridSpan w:val="10"/>
          </w:tcPr>
          <w:p>
            <w:pPr>
              <w:spacing w:after="0" w:line="183" w:lineRule="exact"/>
              <w:rPr>
                <w:rFonts w:ascii="Times New Roman" w:cs="Times New Roman" w:eastAsia="Times New Roman" w:hAnsi="Times New Roman"/>
                <w:sz w:val="16"/>
                <w:szCs w:val="16"/>
                <w:color w:val="0000FF"/>
              </w:rPr>
            </w:pPr>
            <w:hyperlink r:id="rId402">
              <w:r>
                <w:rPr>
                  <w:rFonts w:ascii="Times New Roman" w:cs="Times New Roman" w:eastAsia="Times New Roman" w:hAnsi="Times New Roman"/>
                  <w:sz w:val="16"/>
                  <w:szCs w:val="16"/>
                  <w:color w:val="0000FF"/>
                </w:rPr>
                <w:t>Employment Offer Letter, dated as of November 9, 2022, by and between Talkspace, Inc. and Jon R.</w:t>
              </w:r>
            </w:hyperlink>
          </w:p>
        </w:tc>
      </w:tr>
      <w:tr>
        <w:trPr>
          <w:trHeight w:val="183"/>
        </w:trPr>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6580" w:type="dxa"/>
            <w:vAlign w:val="bottom"/>
            <w:tcBorders>
              <w:top w:val="single" w:sz="8" w:color="0000FF"/>
            </w:tcBorders>
            <w:gridSpan w:val="8"/>
          </w:tcPr>
          <w:p>
            <w:pPr>
              <w:spacing w:after="0" w:line="183" w:lineRule="exact"/>
              <w:rPr>
                <w:rFonts w:ascii="Times New Roman" w:cs="Times New Roman" w:eastAsia="Times New Roman" w:hAnsi="Times New Roman"/>
                <w:sz w:val="16"/>
                <w:szCs w:val="16"/>
                <w:color w:val="0000FF"/>
              </w:rPr>
            </w:pPr>
            <w:hyperlink r:id="rId402">
              <w:r>
                <w:rPr>
                  <w:rFonts w:ascii="Times New Roman" w:cs="Times New Roman" w:eastAsia="Times New Roman" w:hAnsi="Times New Roman"/>
                  <w:sz w:val="16"/>
                  <w:szCs w:val="16"/>
                  <w:color w:val="0000FF"/>
                </w:rPr>
                <w:t>Cohen.</w:t>
              </w:r>
            </w:hyperlink>
          </w:p>
        </w:tc>
        <w:tc>
          <w:tcPr>
            <w:tcW w:w="160" w:type="dxa"/>
            <w:vAlign w:val="bottom"/>
            <w:gridSpan w:val="2"/>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10.7(a)</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10.7(b)</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r>
      <w:tr>
        <w:trPr>
          <w:trHeight w:val="203"/>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2/25/22</w:t>
            </w:r>
          </w:p>
        </w:tc>
      </w:tr>
      <w:tr>
        <w:trPr>
          <w:trHeight w:val="203"/>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2/25/22</w:t>
            </w:r>
          </w:p>
        </w:tc>
      </w:tr>
      <w:tr>
        <w:trPr>
          <w:trHeight w:val="405"/>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2/25/22</w:t>
            </w:r>
          </w:p>
        </w:tc>
      </w:tr>
      <w:tr>
        <w:trPr>
          <w:trHeight w:val="203"/>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2/25/22</w:t>
            </w:r>
          </w:p>
        </w:tc>
      </w:tr>
      <w:tr>
        <w:trPr>
          <w:trHeight w:val="405"/>
        </w:trPr>
        <w:tc>
          <w:tcPr>
            <w:tcW w:w="4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3/10/23</w:t>
            </w:r>
          </w:p>
        </w:tc>
      </w:tr>
    </w:tbl>
    <w:p>
      <w:pPr>
        <w:spacing w:after="0" w:line="216" w:lineRule="exact"/>
        <w:rPr>
          <w:sz w:val="20"/>
          <w:szCs w:val="20"/>
          <w:color w:val="auto"/>
        </w:rPr>
      </w:pPr>
    </w:p>
    <w:p>
      <w:pPr>
        <w:sectPr>
          <w:pgSz w:w="11900" w:h="16838" w:orient="portrait"/>
          <w:cols w:equalWidth="0" w:num="2">
            <w:col w:w="7660" w:space="140"/>
            <w:col w:w="344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920" w:type="dxa"/>
            <w:vAlign w:val="bottom"/>
            <w:gridSpan w:val="2"/>
          </w:tcPr>
          <w:p>
            <w:pPr>
              <w:spacing w:after="0"/>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23</w:t>
              </w:r>
            </w:hyperlink>
            <w:r>
              <w:rPr>
                <w:rFonts w:ascii="Times New Roman" w:cs="Times New Roman" w:eastAsia="Times New Roman" w:hAnsi="Times New Roman"/>
                <w:sz w:val="16"/>
                <w:szCs w:val="16"/>
                <w:color w:val="000000"/>
              </w:rPr>
              <w:t>†</w:t>
            </w:r>
          </w:p>
        </w:tc>
        <w:tc>
          <w:tcPr>
            <w:tcW w:w="6480" w:type="dxa"/>
            <w:vAlign w:val="bottom"/>
            <w:gridSpan w:val="2"/>
          </w:tcPr>
          <w:p>
            <w:pPr>
              <w:spacing w:after="0"/>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Employment Offer Letter, dated as of August 11, 2023, by and between Talkspace, Inc. and Nikole</w:t>
              </w:r>
            </w:hyperlink>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   3/13/24</w:t>
            </w:r>
          </w:p>
        </w:tc>
      </w:tr>
      <w:tr>
        <w:trPr>
          <w:trHeight w:val="183"/>
        </w:trPr>
        <w:tc>
          <w:tcPr>
            <w:tcW w:w="38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6480" w:type="dxa"/>
            <w:vAlign w:val="bottom"/>
            <w:tcBorders>
              <w:top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403">
              <w:r>
                <w:rPr>
                  <w:rFonts w:ascii="Times New Roman" w:cs="Times New Roman" w:eastAsia="Times New Roman" w:hAnsi="Times New Roman"/>
                  <w:sz w:val="16"/>
                  <w:szCs w:val="16"/>
                  <w:color w:val="0000FF"/>
                </w:rPr>
                <w:t>Benders-Hadi.</w:t>
              </w:r>
            </w:hyperlink>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9"/>
              </w:rPr>
            </w:pPr>
            <w:hyperlink r:id="rId404">
              <w:r>
                <w:rPr>
                  <w:rFonts w:ascii="Times New Roman" w:cs="Times New Roman" w:eastAsia="Times New Roman" w:hAnsi="Times New Roman"/>
                  <w:sz w:val="16"/>
                  <w:szCs w:val="16"/>
                  <w:color w:val="0000FF"/>
                  <w:w w:val="99"/>
                </w:rPr>
                <w:t>97.</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r:id="rId404">
              <w:r>
                <w:rPr>
                  <w:rFonts w:ascii="Times New Roman" w:cs="Times New Roman" w:eastAsia="Times New Roman" w:hAnsi="Times New Roman"/>
                  <w:sz w:val="16"/>
                  <w:szCs w:val="16"/>
                  <w:color w:val="0000FF"/>
                </w:rPr>
                <w:t>Talkspace, Inc. Clawback Policy.</w:t>
              </w:r>
            </w:hyperlink>
          </w:p>
        </w:tc>
        <w:tc>
          <w:tcPr>
            <w:tcW w:w="4400" w:type="dxa"/>
            <w:vAlign w:val="bottom"/>
            <w:gridSpan w:val="3"/>
          </w:tcPr>
          <w:p>
            <w:pPr>
              <w:spacing w:after="0"/>
              <w:rPr>
                <w:sz w:val="16"/>
                <w:szCs w:val="16"/>
                <w:color w:val="auto"/>
              </w:rPr>
            </w:pPr>
          </w:p>
        </w:tc>
      </w:tr>
      <w:tr>
        <w:trPr>
          <w:trHeight w:val="183"/>
        </w:trPr>
        <w:tc>
          <w:tcPr>
            <w:tcW w:w="920" w:type="dxa"/>
            <w:vAlign w:val="bottom"/>
            <w:gridSpan w:val="4"/>
          </w:tcPr>
          <w:p>
            <w:pPr>
              <w:spacing w:after="0" w:line="183" w:lineRule="exact"/>
              <w:rPr>
                <w:rFonts w:ascii="Times New Roman" w:cs="Times New Roman" w:eastAsia="Times New Roman" w:hAnsi="Times New Roman"/>
                <w:sz w:val="16"/>
                <w:szCs w:val="16"/>
                <w:color w:val="0000FF"/>
              </w:rPr>
            </w:pPr>
            <w:hyperlink r:id="rId40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24</w:t>
              </w:r>
            </w:hyperlink>
            <w:r>
              <w:rPr>
                <w:rFonts w:ascii="Times New Roman" w:cs="Times New Roman" w:eastAsia="Times New Roman" w:hAnsi="Times New Roman"/>
                <w:sz w:val="16"/>
                <w:szCs w:val="16"/>
                <w:color w:val="000000"/>
              </w:rPr>
              <w:t>†</w:t>
            </w:r>
          </w:p>
        </w:tc>
        <w:tc>
          <w:tcPr>
            <w:tcW w:w="6580" w:type="dxa"/>
            <w:vAlign w:val="bottom"/>
            <w:gridSpan w:val="4"/>
          </w:tcPr>
          <w:p>
            <w:pPr>
              <w:spacing w:after="0" w:line="183" w:lineRule="exact"/>
              <w:rPr>
                <w:rFonts w:ascii="Times New Roman" w:cs="Times New Roman" w:eastAsia="Times New Roman" w:hAnsi="Times New Roman"/>
                <w:sz w:val="16"/>
                <w:szCs w:val="16"/>
                <w:color w:val="0000FF"/>
              </w:rPr>
            </w:pPr>
            <w:hyperlink r:id="rId405">
              <w:r>
                <w:rPr>
                  <w:rFonts w:ascii="Times New Roman" w:cs="Times New Roman" w:eastAsia="Times New Roman" w:hAnsi="Times New Roman"/>
                  <w:sz w:val="16"/>
                  <w:szCs w:val="16"/>
                  <w:color w:val="0000FF"/>
                </w:rPr>
                <w:t>Employment Offer Letter, dated as of May 17, 2024, by and between Talkspace, Inc. and Ian Harris.</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9"/>
              </w:rPr>
            </w:pPr>
            <w:hyperlink r:id="rId406">
              <w:r>
                <w:rPr>
                  <w:rFonts w:ascii="Times New Roman" w:cs="Times New Roman" w:eastAsia="Times New Roman" w:hAnsi="Times New Roman"/>
                  <w:sz w:val="16"/>
                  <w:szCs w:val="16"/>
                  <w:color w:val="0000FF"/>
                  <w:w w:val="99"/>
                </w:rPr>
                <w:t>2.</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58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406">
              <w:r>
                <w:rPr>
                  <w:rFonts w:ascii="Times New Roman" w:cs="Times New Roman" w:eastAsia="Times New Roman" w:hAnsi="Times New Roman"/>
                  <w:sz w:val="16"/>
                  <w:szCs w:val="16"/>
                  <w:color w:val="0000FF"/>
                </w:rPr>
                <w:t>Agreement and Plan of Merger, dated March 9, 2026, by and among Universal Health Services, Inc.,</w:t>
              </w:r>
            </w:hyperlink>
          </w:p>
        </w:tc>
      </w:tr>
      <w:tr>
        <w:trPr>
          <w:trHeight w:val="183"/>
        </w:trPr>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580" w:type="dxa"/>
            <w:vAlign w:val="bottom"/>
            <w:gridSpan w:val="4"/>
          </w:tcPr>
          <w:p>
            <w:pPr>
              <w:spacing w:after="0" w:line="183" w:lineRule="exact"/>
              <w:rPr>
                <w:rFonts w:ascii="Times New Roman" w:cs="Times New Roman" w:eastAsia="Times New Roman" w:hAnsi="Times New Roman"/>
                <w:sz w:val="16"/>
                <w:szCs w:val="16"/>
                <w:color w:val="0000FF"/>
              </w:rPr>
            </w:pPr>
            <w:hyperlink r:id="rId406">
              <w:r>
                <w:rPr>
                  <w:rFonts w:ascii="Times New Roman" w:cs="Times New Roman" w:eastAsia="Times New Roman" w:hAnsi="Times New Roman"/>
                  <w:sz w:val="16"/>
                  <w:szCs w:val="16"/>
                  <w:color w:val="0000FF"/>
                </w:rPr>
                <w:t>UHS Merger Subsidiary, Inc. and Talkspace, Inc.</w:t>
              </w:r>
            </w:hyperlink>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10-K</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5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3/13/24</w:t>
            </w:r>
          </w:p>
        </w:tc>
      </w:tr>
      <w:tr>
        <w:trPr>
          <w:trHeight w:val="217"/>
        </w:trPr>
        <w:tc>
          <w:tcPr>
            <w:tcW w:w="4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10-Q</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5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8/8/24</w:t>
            </w:r>
          </w:p>
        </w:tc>
      </w:tr>
      <w:tr>
        <w:trPr>
          <w:trHeight w:val="204"/>
        </w:trPr>
        <w:tc>
          <w:tcPr>
            <w:tcW w:w="4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8-K</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5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3/9/26</w:t>
            </w:r>
          </w:p>
        </w:tc>
      </w:tr>
    </w:tbl>
    <w:p>
      <w:pPr>
        <w:spacing w:after="0" w:line="202" w:lineRule="exact"/>
        <w:rPr>
          <w:sz w:val="20"/>
          <w:szCs w:val="20"/>
          <w:color w:val="auto"/>
        </w:rPr>
      </w:pPr>
    </w:p>
    <w:p>
      <w:pPr>
        <w:sectPr>
          <w:pgSz w:w="11900" w:h="16838" w:orient="portrait"/>
          <w:cols w:equalWidth="0" w:num="2">
            <w:col w:w="7500" w:space="300"/>
            <w:col w:w="344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0000FF"/>
                <w:w w:val="99"/>
              </w:rPr>
              <w:t>19.</w:t>
            </w:r>
            <w:r>
              <w:rPr>
                <w:rFonts w:ascii="Times New Roman" w:cs="Times New Roman" w:eastAsia="Times New Roman" w:hAnsi="Times New Roman"/>
                <w:sz w:val="16"/>
                <w:szCs w:val="16"/>
                <w:u w:val="single" w:color="auto"/>
                <w:color w:val="0000FF"/>
                <w:w w:val="99"/>
              </w:rPr>
              <w:t>1</w:t>
            </w:r>
          </w:p>
        </w:tc>
        <w:tc>
          <w:tcPr>
            <w:tcW w:w="620" w:type="dxa"/>
            <w:vAlign w:val="bottom"/>
          </w:tcPr>
          <w:p>
            <w:pPr>
              <w:spacing w:after="0"/>
              <w:rPr>
                <w:sz w:val="16"/>
                <w:szCs w:val="16"/>
                <w:color w:val="auto"/>
              </w:rPr>
            </w:pPr>
          </w:p>
        </w:tc>
        <w:tc>
          <w:tcPr>
            <w:tcW w:w="82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Talkspace, Inc. Insider Trading Policy.</w:t>
            </w:r>
          </w:p>
        </w:tc>
        <w:tc>
          <w:tcPr>
            <w:tcW w:w="1740" w:type="dxa"/>
            <w:vAlign w:val="bottom"/>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2"/>
        </w:trPr>
        <w:tc>
          <w:tcPr>
            <w:tcW w:w="300" w:type="dxa"/>
            <w:vAlign w:val="bottom"/>
            <w:tcBorders>
              <w:top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620" w:type="dxa"/>
            <w:vAlign w:val="bottom"/>
          </w:tcPr>
          <w:p>
            <w:pPr>
              <w:spacing w:after="0"/>
              <w:rPr>
                <w:sz w:val="15"/>
                <w:szCs w:val="15"/>
                <w:color w:val="auto"/>
              </w:rPr>
            </w:pPr>
          </w:p>
        </w:tc>
        <w:tc>
          <w:tcPr>
            <w:tcW w:w="2520" w:type="dxa"/>
            <w:vAlign w:val="bottom"/>
            <w:tcBorders>
              <w:top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List of Subsidiaries of Talkspace, Inc.</w:t>
            </w:r>
          </w:p>
        </w:tc>
        <w:tc>
          <w:tcPr>
            <w:tcW w:w="5680" w:type="dxa"/>
            <w:vAlign w:val="bottom"/>
            <w:gridSpan w:val="6"/>
          </w:tcPr>
          <w:p>
            <w:pPr>
              <w:spacing w:after="0"/>
              <w:rPr>
                <w:sz w:val="15"/>
                <w:szCs w:val="15"/>
                <w:color w:val="auto"/>
              </w:rPr>
            </w:pPr>
          </w:p>
        </w:tc>
        <w:tc>
          <w:tcPr>
            <w:tcW w:w="1740" w:type="dxa"/>
            <w:vAlign w:val="bottom"/>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40" w:type="dxa"/>
            <w:vAlign w:val="bottom"/>
            <w:vMerge w:val="restart"/>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83"/>
        </w:trPr>
        <w:tc>
          <w:tcPr>
            <w:tcW w:w="30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620" w:type="dxa"/>
            <w:vAlign w:val="bottom"/>
          </w:tcPr>
          <w:p>
            <w:pPr>
              <w:spacing w:after="0"/>
              <w:rPr>
                <w:sz w:val="15"/>
                <w:szCs w:val="15"/>
                <w:color w:val="auto"/>
              </w:rPr>
            </w:pPr>
          </w:p>
        </w:tc>
        <w:tc>
          <w:tcPr>
            <w:tcW w:w="6500" w:type="dxa"/>
            <w:vAlign w:val="bottom"/>
            <w:tcBorders>
              <w:bottom w:val="single" w:sz="8" w:color="0000FF"/>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Consent of Kost Forer Gabbay &amp; Kasierer, a member of EY Global, Independent Registered Public</w:t>
            </w:r>
          </w:p>
        </w:tc>
        <w:tc>
          <w:tcPr>
            <w:tcW w:w="17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Accounting Firm.</w:t>
            </w:r>
          </w:p>
        </w:tc>
        <w:tc>
          <w:tcPr>
            <w:tcW w:w="20" w:type="dxa"/>
            <w:vAlign w:val="bottom"/>
            <w:tcBorders>
              <w:bottom w:val="single" w:sz="8" w:color="0000EE"/>
            </w:tcBorders>
          </w:tcPr>
          <w:p>
            <w:pPr>
              <w:spacing w:after="0"/>
              <w:rPr>
                <w:sz w:val="15"/>
                <w:szCs w:val="15"/>
                <w:color w:val="auto"/>
              </w:rPr>
            </w:pPr>
          </w:p>
        </w:tc>
        <w:tc>
          <w:tcPr>
            <w:tcW w:w="7020" w:type="dxa"/>
            <w:vAlign w:val="bottom"/>
            <w:gridSpan w:val="8"/>
          </w:tcPr>
          <w:p>
            <w:pPr>
              <w:spacing w:after="0"/>
              <w:rPr>
                <w:sz w:val="15"/>
                <w:szCs w:val="15"/>
                <w:color w:val="auto"/>
              </w:rPr>
            </w:pPr>
          </w:p>
        </w:tc>
        <w:tc>
          <w:tcPr>
            <w:tcW w:w="1740" w:type="dxa"/>
            <w:vAlign w:val="bottom"/>
            <w:vMerge w:val="restart"/>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3"/>
        </w:trPr>
        <w:tc>
          <w:tcPr>
            <w:tcW w:w="3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620" w:type="dxa"/>
            <w:vAlign w:val="bottom"/>
          </w:tcPr>
          <w:p>
            <w:pPr>
              <w:spacing w:after="0"/>
              <w:rPr>
                <w:sz w:val="15"/>
                <w:szCs w:val="15"/>
                <w:color w:val="auto"/>
              </w:rPr>
            </w:pPr>
          </w:p>
        </w:tc>
        <w:tc>
          <w:tcPr>
            <w:tcW w:w="820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620" w:type="dxa"/>
            <w:vAlign w:val="bottom"/>
          </w:tcPr>
          <w:p>
            <w:pPr>
              <w:spacing w:after="0"/>
              <w:rPr>
                <w:sz w:val="15"/>
                <w:szCs w:val="15"/>
                <w:color w:val="auto"/>
              </w:rPr>
            </w:pPr>
          </w:p>
        </w:tc>
        <w:tc>
          <w:tcPr>
            <w:tcW w:w="5060" w:type="dxa"/>
            <w:vAlign w:val="bottom"/>
            <w:tcBorders>
              <w:top w:val="single" w:sz="8" w:color="0000FF"/>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40" w:type="dxa"/>
            <w:vAlign w:val="bottom"/>
            <w:tcBorders>
              <w:top w:val="single" w:sz="8" w:color="0000FF"/>
            </w:tcBorders>
          </w:tcPr>
          <w:p>
            <w:pPr>
              <w:spacing w:after="0"/>
              <w:rPr>
                <w:sz w:val="15"/>
                <w:szCs w:val="15"/>
                <w:color w:val="auto"/>
              </w:rPr>
            </w:pPr>
          </w:p>
        </w:tc>
        <w:tc>
          <w:tcPr>
            <w:tcW w:w="3100" w:type="dxa"/>
            <w:vAlign w:val="bottom"/>
            <w:gridSpan w:val="2"/>
          </w:tcPr>
          <w:p>
            <w:pPr>
              <w:spacing w:after="0"/>
              <w:rPr>
                <w:sz w:val="15"/>
                <w:szCs w:val="15"/>
                <w:color w:val="auto"/>
              </w:rPr>
            </w:pPr>
          </w:p>
        </w:tc>
        <w:tc>
          <w:tcPr>
            <w:tcW w:w="1740" w:type="dxa"/>
            <w:vAlign w:val="bottom"/>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3"/>
        </w:trPr>
        <w:tc>
          <w:tcPr>
            <w:tcW w:w="30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620" w:type="dxa"/>
            <w:vAlign w:val="bottom"/>
          </w:tcPr>
          <w:p>
            <w:pPr>
              <w:spacing w:after="0"/>
              <w:rPr>
                <w:sz w:val="15"/>
                <w:szCs w:val="15"/>
                <w:color w:val="auto"/>
              </w:rPr>
            </w:pPr>
          </w:p>
        </w:tc>
        <w:tc>
          <w:tcPr>
            <w:tcW w:w="498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3220" w:type="dxa"/>
            <w:vAlign w:val="bottom"/>
            <w:gridSpan w:val="4"/>
          </w:tcPr>
          <w:p>
            <w:pPr>
              <w:spacing w:after="0"/>
              <w:rPr>
                <w:sz w:val="15"/>
                <w:szCs w:val="15"/>
                <w:color w:val="auto"/>
              </w:rPr>
            </w:pPr>
          </w:p>
        </w:tc>
        <w:tc>
          <w:tcPr>
            <w:tcW w:w="1740" w:type="dxa"/>
            <w:vAlign w:val="bottom"/>
          </w:tcPr>
          <w:p>
            <w:pPr>
              <w:jc w:val="center"/>
              <w:ind w:left="152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183"/>
        </w:trPr>
        <w:tc>
          <w:tcPr>
            <w:tcW w:w="3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2</w:t>
            </w:r>
          </w:p>
        </w:tc>
        <w:tc>
          <w:tcPr>
            <w:tcW w:w="620" w:type="dxa"/>
            <w:vAlign w:val="bottom"/>
          </w:tcPr>
          <w:p>
            <w:pPr>
              <w:spacing w:after="0"/>
              <w:rPr>
                <w:sz w:val="15"/>
                <w:szCs w:val="15"/>
                <w:color w:val="auto"/>
              </w:rPr>
            </w:pPr>
          </w:p>
        </w:tc>
        <w:tc>
          <w:tcPr>
            <w:tcW w:w="820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740" w:type="dxa"/>
            <w:vAlign w:val="bottom"/>
          </w:tcPr>
          <w:p>
            <w:pPr>
              <w:jc w:val="center"/>
              <w:ind w:left="1524"/>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1740" w:type="dxa"/>
            <w:vAlign w:val="bottom"/>
            <w:vMerge w:val="restart"/>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82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w:t>
            </w: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because XBRL tags are embedded within the Inline XBRL document.</w:t>
            </w:r>
          </w:p>
        </w:tc>
        <w:tc>
          <w:tcPr>
            <w:tcW w:w="1740" w:type="dxa"/>
            <w:vAlign w:val="bottom"/>
            <w:vMerge w:val="restart"/>
          </w:tcPr>
          <w:p>
            <w:pPr>
              <w:jc w:val="center"/>
              <w:ind w:left="150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820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104</w:t>
            </w:r>
          </w:p>
        </w:tc>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Cover Page Interactive Data File (as formatted as Inline XBRL and contained</w:t>
            </w:r>
          </w:p>
        </w:tc>
        <w:tc>
          <w:tcPr>
            <w:tcW w:w="2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10"/>
        </w:trPr>
        <w:tc>
          <w:tcPr>
            <w:tcW w:w="58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 Exhibit 101).</w:t>
            </w:r>
          </w:p>
        </w:tc>
        <w:tc>
          <w:tcPr>
            <w:tcW w:w="2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230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Indicates management contract or compensatory plan.</w:t>
      </w:r>
    </w:p>
    <w:p>
      <w:pPr>
        <w:spacing w:after="0" w:line="44" w:lineRule="exact"/>
        <w:rPr>
          <w:sz w:val="20"/>
          <w:szCs w:val="20"/>
          <w:color w:val="auto"/>
        </w:rPr>
      </w:pPr>
    </w:p>
    <w:p>
      <w:pPr>
        <w:ind w:left="240" w:right="1740" w:hanging="232"/>
        <w:spacing w:after="0" w:line="261" w:lineRule="auto"/>
        <w:tabs>
          <w:tab w:leader="none" w:pos="25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and exhibits have been omitted pursuant to Item 601(b)(2) of Regulation S-K. The Registrant agrees to furnish supplementally a copy of any omitted schedule or exhibit to the SEC upon request.</w:t>
      </w:r>
    </w:p>
    <w:p>
      <w:pPr>
        <w:spacing w:after="0" w:line="38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769" w:right="7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R. Cohen</w:t>
            </w:r>
          </w:p>
        </w:tc>
      </w:tr>
      <w:tr>
        <w:trPr>
          <w:trHeight w:val="191"/>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9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 R. Cohen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Jon R. Cohen</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8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Ian Harris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Ian Harris</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8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Braunstein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Douglas Braunstein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6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Erez Shachar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Erez Shachar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Warfield</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Warfield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Jacqueline Yeaney</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Jacqueline Yeaney</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Hansen</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Hansen</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Madhu Pawar</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Madhu Pawar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Liat Ben-Zur</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Liat Ben-Zur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Swati Abbott</w:t>
            </w:r>
          </w:p>
        </w:tc>
        <w:tc>
          <w:tcPr>
            <w:tcW w:w="12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Swati Abbott</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822"/>
        </w:trPr>
        <w:tc>
          <w:tcPr>
            <w:tcW w:w="3720" w:type="dxa"/>
            <w:vAlign w:val="bottom"/>
          </w:tcPr>
          <w:p>
            <w:pPr>
              <w:spacing w:after="0"/>
              <w:rPr>
                <w:sz w:val="24"/>
                <w:szCs w:val="24"/>
                <w:color w:val="auto"/>
              </w:rPr>
            </w:pPr>
          </w:p>
        </w:tc>
        <w:tc>
          <w:tcPr>
            <w:tcW w:w="4980" w:type="dxa"/>
            <w:vAlign w:val="bottom"/>
            <w:gridSpan w:val="2"/>
          </w:tcPr>
          <w:p>
            <w:pPr>
              <w:jc w:val="right"/>
              <w:ind w:right="289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alkspace</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Insider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consists of seven sections:</w:t>
      </w:r>
    </w:p>
    <w:p>
      <w:pPr>
        <w:spacing w:after="0" w:line="104" w:lineRule="exact"/>
        <w:rPr>
          <w:sz w:val="20"/>
          <w:szCs w:val="20"/>
          <w:color w:val="auto"/>
        </w:rPr>
      </w:pPr>
    </w:p>
    <w:p>
      <w:pPr>
        <w:ind w:left="1580" w:hanging="316"/>
        <w:spacing w:after="0"/>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 provides an overview;</w:t>
      </w:r>
    </w:p>
    <w:p>
      <w:pPr>
        <w:spacing w:after="0" w:line="84"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 sets forth the policies of the Company prohibiting insider trading;</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III explains insider trading;</w:t>
      </w:r>
    </w:p>
    <w:p>
      <w:pPr>
        <w:spacing w:after="0" w:line="98" w:lineRule="exact"/>
        <w:rPr>
          <w:rFonts w:ascii="Times New Roman" w:cs="Times New Roman" w:eastAsia="Times New Roman" w:hAnsi="Times New Roman"/>
          <w:sz w:val="22"/>
          <w:szCs w:val="22"/>
          <w:color w:val="auto"/>
        </w:rPr>
      </w:pPr>
    </w:p>
    <w:p>
      <w:pPr>
        <w:ind w:left="1580" w:right="459" w:hanging="316"/>
        <w:spacing w:after="0" w:line="258" w:lineRule="auto"/>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IV consists of procedures that have been put in place by the Company to prevent insider trading;</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 sets forth additional transactions that are prohibited by this Policy;</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 explains Rule 10b5-1 trading plans; and</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VII refers to the execution and return of a certificate of compliance.</w:t>
      </w:r>
    </w:p>
    <w:p>
      <w:pPr>
        <w:spacing w:after="0" w:line="202"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I.S</w:t>
      </w:r>
      <w:r>
        <w:rPr>
          <w:rFonts w:ascii="Times New Roman" w:cs="Times New Roman" w:eastAsia="Times New Roman" w:hAnsi="Times New Roman"/>
          <w:sz w:val="14"/>
          <w:szCs w:val="14"/>
          <w:b w:val="1"/>
          <w:bCs w:val="1"/>
          <w:color w:val="auto"/>
        </w:rPr>
        <w:t>ummary</w:t>
      </w:r>
    </w:p>
    <w:p>
      <w:pPr>
        <w:spacing w:after="0" w:line="224"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Preventing insider trading is necessary to comply with securities laws and to preserve the reputation and integrity of Talkspace,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75"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are referred to as the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General Counsel.</w:t>
      </w:r>
    </w:p>
    <w:p>
      <w:pPr>
        <w:spacing w:after="0" w:line="27" w:lineRule="exact"/>
        <w:rPr>
          <w:sz w:val="20"/>
          <w:szCs w:val="20"/>
          <w:color w:val="auto"/>
        </w:rPr>
      </w:pPr>
    </w:p>
    <w:p>
      <w:pPr>
        <w:ind w:left="940" w:hanging="648"/>
        <w:spacing w:after="0"/>
        <w:tabs>
          <w:tab w:leader="none" w:pos="94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olicies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These prohibitions do not apply to:</w:t>
      </w:r>
    </w:p>
    <w:p>
      <w:pPr>
        <w:spacing w:after="0" w:line="98" w:lineRule="exact"/>
        <w:rPr>
          <w:sz w:val="20"/>
          <w:szCs w:val="20"/>
          <w:color w:val="auto"/>
        </w:rPr>
      </w:pPr>
    </w:p>
    <w:p>
      <w:pPr>
        <w:ind w:left="1580" w:right="299" w:hanging="316"/>
        <w:spacing w:after="0" w:line="258"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the Company’s securities by a Covered Person from the Company or sales of the Company’s securities by a Covered Person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988060</wp:posOffset>
            </wp:positionV>
            <wp:extent cx="703770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9" w:name="page100"/>
    <w:bookmarkEnd w:id="99"/>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jc w:val="both"/>
        <w:ind w:left="1580" w:right="299" w:hanging="316"/>
        <w:spacing w:after="0" w:line="235" w:lineRule="auto"/>
        <w:tabs>
          <w:tab w:leader="none" w:pos="1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71" w:lineRule="exact"/>
        <w:rPr>
          <w:rFonts w:ascii="Times New Roman" w:cs="Times New Roman" w:eastAsia="Times New Roman" w:hAnsi="Times New Roman"/>
          <w:sz w:val="22"/>
          <w:szCs w:val="22"/>
          <w:color w:val="auto"/>
        </w:rPr>
      </w:pPr>
    </w:p>
    <w:p>
      <w:pPr>
        <w:jc w:val="both"/>
        <w:ind w:left="1580" w:right="319" w:hanging="316"/>
        <w:spacing w:after="0" w:line="263" w:lineRule="auto"/>
        <w:tabs>
          <w:tab w:leader="none" w:pos="15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bona fide </w:t>
      </w:r>
      <w:r>
        <w:rPr>
          <w:rFonts w:ascii="Times New Roman" w:cs="Times New Roman" w:eastAsia="Times New Roman" w:hAnsi="Times New Roman"/>
          <w:sz w:val="21"/>
          <w:szCs w:val="21"/>
          <w:color w:val="auto"/>
        </w:rPr>
        <w:t>gifts of the Company’s securities, unless the person making the gift has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 to believe that the recipient intends to sell the securities while the donor is in possession of material, non-public information about the Company; or</w:t>
      </w:r>
    </w:p>
    <w:p>
      <w:pPr>
        <w:spacing w:after="0" w:line="47" w:lineRule="exact"/>
        <w:rPr>
          <w:rFonts w:ascii="Times New Roman" w:cs="Times New Roman" w:eastAsia="Times New Roman" w:hAnsi="Times New Roman"/>
          <w:sz w:val="21"/>
          <w:szCs w:val="21"/>
          <w:color w:val="auto"/>
        </w:rPr>
      </w:pPr>
    </w:p>
    <w:p>
      <w:pPr>
        <w:jc w:val="both"/>
        <w:ind w:left="1580" w:right="299" w:hanging="316"/>
        <w:spacing w:after="0" w:line="233" w:lineRule="auto"/>
        <w:tabs>
          <w:tab w:leader="none" w:pos="1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22"/>
          <w:szCs w:val="22"/>
          <w:b w:val="1"/>
          <w:bCs w:val="1"/>
          <w:i w:val="1"/>
          <w:iCs w:val="1"/>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10b5-1</w:t>
      </w:r>
      <w:r>
        <w:rPr>
          <w:rFonts w:ascii="Times New Roman" w:cs="Times New Roman" w:eastAsia="Times New Roman" w:hAnsi="Times New Roman"/>
          <w:sz w:val="22"/>
          <w:szCs w:val="22"/>
          <w:color w:val="auto"/>
        </w:rPr>
        <w:t>”) promulgated under the Securities Exchange Act of 1934, as amended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79" w:lineRule="exact"/>
        <w:rPr>
          <w:sz w:val="20"/>
          <w:szCs w:val="20"/>
          <w:color w:val="auto"/>
        </w:rPr>
      </w:pPr>
    </w:p>
    <w:p>
      <w:pPr>
        <w:jc w:val="both"/>
        <w:ind w:left="300" w:right="319" w:firstLine="647"/>
        <w:spacing w:after="0" w:line="255" w:lineRule="auto"/>
        <w:rPr>
          <w:sz w:val="20"/>
          <w:szCs w:val="20"/>
          <w:color w:val="auto"/>
        </w:rPr>
      </w:pPr>
      <w:r>
        <w:rPr>
          <w:rFonts w:ascii="Times New Roman" w:cs="Times New Roman" w:eastAsia="Times New Roman" w:hAnsi="Times New Roman"/>
          <w:sz w:val="21"/>
          <w:szCs w:val="21"/>
          <w:color w:val="auto"/>
        </w:rPr>
        <w:t>In addition, no officer, director or employee shall directly or indirectly communicate (or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58" w:lineRule="exact"/>
        <w:rPr>
          <w:sz w:val="20"/>
          <w:szCs w:val="20"/>
          <w:color w:val="auto"/>
        </w:rPr>
      </w:pPr>
    </w:p>
    <w:p>
      <w:pPr>
        <w:ind w:left="940" w:hanging="648"/>
        <w:spacing w:after="0"/>
        <w:tabs>
          <w:tab w:leader="none" w:pos="9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04" w:lineRule="exact"/>
        <w:rPr>
          <w:sz w:val="20"/>
          <w:szCs w:val="20"/>
          <w:color w:val="auto"/>
        </w:rPr>
      </w:pPr>
    </w:p>
    <w:p>
      <w:pPr>
        <w:jc w:val="both"/>
        <w:ind w:left="300" w:right="319" w:firstLine="647"/>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purchase or sale of a security while in possession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“non-public” information relating to the security or its issuer.</w:t>
      </w:r>
    </w:p>
    <w:p>
      <w:pPr>
        <w:spacing w:after="0" w:line="37" w:lineRule="exact"/>
        <w:rPr>
          <w:sz w:val="20"/>
          <w:szCs w:val="20"/>
          <w:color w:val="auto"/>
        </w:rPr>
      </w:pPr>
    </w:p>
    <w:p>
      <w:pPr>
        <w:jc w:val="both"/>
        <w:ind w:left="300" w:right="319" w:firstLine="647"/>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stocks, bonds, notes, debentures, options, warrants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convertible securities, as well as derivative instruments.</w:t>
      </w:r>
    </w:p>
    <w:p>
      <w:pPr>
        <w:spacing w:after="0" w:line="37" w:lineRule="exact"/>
        <w:rPr>
          <w:sz w:val="20"/>
          <w:szCs w:val="20"/>
          <w:color w:val="auto"/>
        </w:rPr>
      </w:pPr>
    </w:p>
    <w:p>
      <w:pPr>
        <w:jc w:val="both"/>
        <w:ind w:left="300" w:right="299" w:firstLine="647"/>
        <w:spacing w:after="0" w:line="257"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Purchase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sale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defined broadly under the federal securities law.</w:t>
      </w:r>
      <w:r>
        <w:rPr>
          <w:rFonts w:ascii="Times New Roman" w:cs="Times New Roman" w:eastAsia="Times New Roman" w:hAnsi="Times New Roman"/>
          <w:sz w:val="21"/>
          <w:szCs w:val="21"/>
          <w:i w:val="1"/>
          <w:iCs w:val="1"/>
          <w:color w:val="auto"/>
        </w:rPr>
        <w:t xml:space="preserve"> “Purchase” </w:t>
      </w:r>
      <w:r>
        <w:rPr>
          <w:rFonts w:ascii="Times New Roman" w:cs="Times New Roman" w:eastAsia="Times New Roman" w:hAnsi="Times New Roman"/>
          <w:sz w:val="21"/>
          <w:szCs w:val="21"/>
          <w:color w:val="auto"/>
        </w:rPr>
        <w:t xml:space="preserve">includes not only the actual purchase of a security, but any contract to purchase or otherwise acquire a security. </w:t>
      </w:r>
      <w:r>
        <w:rPr>
          <w:rFonts w:ascii="Times New Roman" w:cs="Times New Roman" w:eastAsia="Times New Roman" w:hAnsi="Times New Roman"/>
          <w:sz w:val="21"/>
          <w:szCs w:val="21"/>
          <w:i w:val="1"/>
          <w:iCs w:val="1"/>
          <w:color w:val="auto"/>
        </w:rPr>
        <w:t>“Sale”</w:t>
      </w:r>
      <w:r>
        <w:rPr>
          <w:rFonts w:ascii="Times New Roman" w:cs="Times New Roman" w:eastAsia="Times New Roman" w:hAnsi="Times New Roman"/>
          <w:sz w:val="21"/>
          <w:szCs w:val="21"/>
          <w:color w:val="auto"/>
        </w:rPr>
        <w:t xml:space="preserve"> includes not only the actual sale of a security, but any contract to sell or otherwise dispose of a security. These definitions extend to a broad range of transactions,</w:t>
      </w:r>
    </w:p>
    <w:p>
      <w:pPr>
        <w:spacing w:after="0" w:line="1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including conventional cash-for-stock transactions, conversions, the exercise of stock options, and acquisitions and exercises of warrants or puts, calls or other derivative securities.</w:t>
      </w:r>
    </w:p>
    <w:p>
      <w:pPr>
        <w:spacing w:after="0" w:line="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98" w:lineRule="exact"/>
        <w:rPr>
          <w:sz w:val="20"/>
          <w:szCs w:val="20"/>
          <w:color w:val="auto"/>
        </w:rPr>
      </w:pPr>
    </w:p>
    <w:p>
      <w:pPr>
        <w:ind w:left="1580" w:hanging="316"/>
        <w:spacing w:after="0"/>
        <w:tabs>
          <w:tab w:leader="none" w:pos="1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98" w:lineRule="exact"/>
        <w:rPr>
          <w:rFonts w:ascii="Times New Roman" w:cs="Times New Roman" w:eastAsia="Times New Roman" w:hAnsi="Times New Roman"/>
          <w:sz w:val="22"/>
          <w:szCs w:val="22"/>
          <w:color w:val="auto"/>
        </w:rPr>
      </w:pPr>
    </w:p>
    <w:p>
      <w:pPr>
        <w:jc w:val="both"/>
        <w:ind w:left="1580" w:right="299" w:hanging="316"/>
        <w:spacing w:after="0" w:line="244" w:lineRule="auto"/>
        <w:tabs>
          <w:tab w:leader="none" w:pos="1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65" w:lineRule="exact"/>
        <w:rPr>
          <w:rFonts w:ascii="Times New Roman" w:cs="Times New Roman" w:eastAsia="Times New Roman" w:hAnsi="Times New Roman"/>
          <w:sz w:val="22"/>
          <w:szCs w:val="22"/>
          <w:color w:val="auto"/>
        </w:rPr>
      </w:pPr>
    </w:p>
    <w:p>
      <w:pPr>
        <w:jc w:val="both"/>
        <w:ind w:left="1580" w:right="319" w:hanging="316"/>
        <w:spacing w:after="0" w:line="244" w:lineRule="auto"/>
        <w:tabs>
          <w:tab w:leader="none" w:pos="1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534670</wp:posOffset>
            </wp:positionV>
            <wp:extent cx="703770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0" w:name="page101"/>
    <w:bookmarkEnd w:id="100"/>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80" w:hanging="640"/>
        <w:spacing w:after="0"/>
        <w:tabs>
          <w:tab w:leader="none" w:pos="15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Facts are Material?</w:t>
      </w:r>
    </w:p>
    <w:p>
      <w:pPr>
        <w:spacing w:after="0" w:line="206" w:lineRule="exact"/>
        <w:rPr>
          <w:sz w:val="20"/>
          <w:szCs w:val="20"/>
          <w:color w:val="auto"/>
        </w:rPr>
      </w:pPr>
    </w:p>
    <w:p>
      <w:pPr>
        <w:jc w:val="both"/>
        <w:ind w:left="300" w:right="299" w:firstLine="647"/>
        <w:spacing w:after="0" w:line="251" w:lineRule="auto"/>
        <w:rPr>
          <w:sz w:val="20"/>
          <w:szCs w:val="20"/>
          <w:color w:val="auto"/>
        </w:rPr>
      </w:pPr>
      <w:r>
        <w:rPr>
          <w:rFonts w:ascii="Times New Roman" w:cs="Times New Roman" w:eastAsia="Times New Roman" w:hAnsi="Times New Roman"/>
          <w:sz w:val="21"/>
          <w:szCs w:val="21"/>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w:t>
      </w:r>
    </w:p>
    <w:p>
      <w:pPr>
        <w:spacing w:after="0" w:line="98" w:lineRule="exact"/>
        <w:rPr>
          <w:sz w:val="20"/>
          <w:szCs w:val="20"/>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acquisitions, tender offers or dispositions;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developments;</w:t>
      </w:r>
    </w:p>
    <w:p>
      <w:pPr>
        <w:spacing w:after="0" w:line="98" w:lineRule="exact"/>
        <w:rPr>
          <w:rFonts w:ascii="Times New Roman" w:cs="Times New Roman" w:eastAsia="Times New Roman" w:hAnsi="Times New Roman"/>
          <w:sz w:val="22"/>
          <w:szCs w:val="22"/>
          <w:color w:val="auto"/>
        </w:rPr>
      </w:pPr>
    </w:p>
    <w:p>
      <w:pPr>
        <w:ind w:left="1580" w:right="959" w:hanging="316"/>
        <w:spacing w:after="0" w:line="258" w:lineRule="auto"/>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business developments such as developments regarding strategic collaborations;</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control changes;</w:t>
      </w:r>
    </w:p>
    <w:p>
      <w:pPr>
        <w:spacing w:after="0" w:line="98" w:lineRule="exact"/>
        <w:rPr>
          <w:rFonts w:ascii="Times New Roman" w:cs="Times New Roman" w:eastAsia="Times New Roman" w:hAnsi="Times New Roman"/>
          <w:sz w:val="22"/>
          <w:szCs w:val="22"/>
          <w:color w:val="auto"/>
        </w:rPr>
      </w:pPr>
    </w:p>
    <w:p>
      <w:pPr>
        <w:ind w:left="1580" w:right="419" w:hanging="316"/>
        <w:spacing w:after="0" w:line="258" w:lineRule="auto"/>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financing developments including pending public sales or offerings of debt or equity securities;</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and</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or regulatory actions.</w:t>
      </w:r>
    </w:p>
    <w:p>
      <w:pPr>
        <w:spacing w:after="0" w:line="98"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Moreover, material information does not have to be related to a company’s business. For example, the contents of a forthcoming newspaper column that is expected to affect the market price of a security can be material.</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210" w:lineRule="exact"/>
        <w:rPr>
          <w:sz w:val="20"/>
          <w:szCs w:val="20"/>
          <w:color w:val="auto"/>
        </w:rPr>
      </w:pPr>
    </w:p>
    <w:p>
      <w:pPr>
        <w:ind w:left="1580" w:hanging="640"/>
        <w:spacing w:after="0"/>
        <w:tabs>
          <w:tab w:leader="none" w:pos="15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w:t>
      </w:r>
    </w:p>
    <w:p>
      <w:pPr>
        <w:spacing w:after="0" w:line="206"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Information is “non-public” if it is not available to the general public. In order for information to be considered public, it must be widely disseminated in a manner making it</w:t>
      </w:r>
    </w:p>
    <w:p>
      <w:pPr>
        <w:spacing w:after="0" w:line="1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21"/>
          <w:szCs w:val="21"/>
          <w:color w:val="auto"/>
        </w:rPr>
        <w:t xml:space="preserve">generally available to investors through such media as </w:t>
      </w:r>
      <w:r>
        <w:rPr>
          <w:rFonts w:ascii="Times New Roman" w:cs="Times New Roman" w:eastAsia="Times New Roman" w:hAnsi="Times New Roman"/>
          <w:sz w:val="21"/>
          <w:szCs w:val="21"/>
          <w:u w:val="single" w:color="auto"/>
          <w:color w:val="auto"/>
        </w:rPr>
        <w:t>Dow Jones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Wire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Reuters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Wall Street Journal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Associated Press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United Press International</w:t>
      </w:r>
      <w:r>
        <w:rPr>
          <w:rFonts w:ascii="Times New Roman" w:cs="Times New Roman" w:eastAsia="Times New Roman" w:hAnsi="Times New Roman"/>
          <w:sz w:val="21"/>
          <w:szCs w:val="21"/>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that are available on the SEC’s web site.</w:t>
      </w:r>
    </w:p>
    <w:p>
      <w:pPr>
        <w:spacing w:after="0" w:line="60"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526415</wp:posOffset>
            </wp:positionV>
            <wp:extent cx="703770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1" w:name="page102"/>
    <w:bookmarkEnd w:id="101"/>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6" w:lineRule="exact"/>
        <w:rPr>
          <w:sz w:val="20"/>
          <w:szCs w:val="20"/>
          <w:color w:val="auto"/>
        </w:rPr>
      </w:pPr>
    </w:p>
    <w:p>
      <w:pPr>
        <w:ind w:left="1580" w:hanging="640"/>
        <w:spacing w:after="0"/>
        <w:tabs>
          <w:tab w:leader="none" w:pos="15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206"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w:t>
      </w:r>
    </w:p>
    <w:p>
      <w:pPr>
        <w:spacing w:after="0" w:line="73" w:lineRule="exact"/>
        <w:rPr>
          <w:sz w:val="20"/>
          <w:szCs w:val="20"/>
          <w:color w:val="auto"/>
        </w:rPr>
      </w:pPr>
    </w:p>
    <w:p>
      <w:pPr>
        <w:jc w:val="both"/>
        <w:ind w:left="300" w:right="319" w:firstLine="647"/>
        <w:spacing w:after="0" w:line="238"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77" w:lineRule="exact"/>
        <w:rPr>
          <w:sz w:val="20"/>
          <w:szCs w:val="20"/>
          <w:color w:val="auto"/>
        </w:rPr>
      </w:pPr>
    </w:p>
    <w:p>
      <w:pPr>
        <w:ind w:left="1580" w:hanging="640"/>
        <w:spacing w:after="0"/>
        <w:tabs>
          <w:tab w:leader="none" w:pos="15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206"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w:t>
      </w:r>
      <w:r>
        <w:rPr>
          <w:rFonts w:ascii="Times New Roman" w:cs="Times New Roman" w:eastAsia="Times New Roman" w:hAnsi="Times New Roman"/>
          <w:sz w:val="22"/>
          <w:szCs w:val="22"/>
          <w:b w:val="1"/>
          <w:bCs w:val="1"/>
          <w:i w:val="1"/>
          <w:iCs w:val="1"/>
          <w:color w:val="auto"/>
        </w:rPr>
        <w:t>tippee</w:t>
      </w:r>
      <w:r>
        <w:rPr>
          <w:rFonts w:ascii="Times New Roman" w:cs="Times New Roman" w:eastAsia="Times New Roman" w:hAnsi="Times New Roman"/>
          <w:sz w:val="22"/>
          <w:szCs w:val="22"/>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69"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33" w:lineRule="exact"/>
        <w:rPr>
          <w:sz w:val="20"/>
          <w:szCs w:val="20"/>
          <w:color w:val="auto"/>
        </w:rPr>
      </w:pPr>
    </w:p>
    <w:p>
      <w:pPr>
        <w:ind w:left="1580" w:hanging="640"/>
        <w:spacing w:after="0"/>
        <w:tabs>
          <w:tab w:leader="none" w:pos="15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206"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69" w:lineRule="exact"/>
        <w:rPr>
          <w:sz w:val="20"/>
          <w:szCs w:val="20"/>
          <w:color w:val="auto"/>
        </w:rPr>
      </w:pPr>
    </w:p>
    <w:p>
      <w:pPr>
        <w:ind w:left="1580" w:hanging="316"/>
        <w:spacing w:after="0"/>
        <w:tabs>
          <w:tab w:leader="none" w:pos="1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administrative sanctions;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industry self-regulatory organization sanctions;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damage awards to private plaintiffs;</w:t>
      </w:r>
    </w:p>
    <w:p>
      <w:pPr>
        <w:spacing w:after="0" w:line="98"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all profits;</w:t>
      </w:r>
    </w:p>
    <w:p>
      <w:pPr>
        <w:spacing w:after="0" w:line="98" w:lineRule="exact"/>
        <w:rPr>
          <w:rFonts w:ascii="Times New Roman" w:cs="Times New Roman" w:eastAsia="Times New Roman" w:hAnsi="Times New Roman"/>
          <w:sz w:val="22"/>
          <w:szCs w:val="22"/>
          <w:color w:val="auto"/>
        </w:rPr>
      </w:pPr>
    </w:p>
    <w:p>
      <w:pPr>
        <w:ind w:left="1580" w:right="459" w:hanging="316"/>
        <w:spacing w:after="0" w:line="258" w:lineRule="auto"/>
        <w:tabs>
          <w:tab w:leader="none" w:pos="1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50" w:lineRule="exact"/>
        <w:rPr>
          <w:rFonts w:ascii="Times New Roman" w:cs="Times New Roman" w:eastAsia="Times New Roman" w:hAnsi="Times New Roman"/>
          <w:sz w:val="22"/>
          <w:szCs w:val="22"/>
          <w:color w:val="auto"/>
        </w:rPr>
      </w:pPr>
    </w:p>
    <w:p>
      <w:pPr>
        <w:ind w:left="1560" w:right="619" w:hanging="620"/>
        <w:spacing w:after="0" w:line="258" w:lineRule="auto"/>
        <w:tabs>
          <w:tab w:leader="none" w:pos="15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730885</wp:posOffset>
            </wp:positionV>
            <wp:extent cx="703770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2" w:name="page103"/>
    <w:bookmarkEnd w:id="102"/>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greater of</w:t>
      </w:r>
    </w:p>
    <w:p>
      <w:pPr>
        <w:spacing w:after="0" w:line="14" w:lineRule="exact"/>
        <w:rPr>
          <w:sz w:val="20"/>
          <w:szCs w:val="20"/>
          <w:color w:val="auto"/>
        </w:rPr>
      </w:pPr>
    </w:p>
    <w:p>
      <w:pPr>
        <w:ind w:left="1580" w:right="299"/>
        <w:spacing w:after="0" w:line="237" w:lineRule="auto"/>
        <w:rPr>
          <w:sz w:val="20"/>
          <w:szCs w:val="20"/>
          <w:color w:val="auto"/>
        </w:rPr>
      </w:pPr>
      <w:r>
        <w:rPr>
          <w:rFonts w:ascii="Times New Roman" w:cs="Times New Roman" w:eastAsia="Times New Roman" w:hAnsi="Times New Roman"/>
          <w:sz w:val="22"/>
          <w:szCs w:val="22"/>
          <w:color w:val="auto"/>
        </w:rPr>
        <w:t>$2,166,279 (subject to adjustment for inflation) or three times the amount of profit gained or loss avoided by the violator;</w:t>
      </w:r>
    </w:p>
    <w:p>
      <w:pPr>
        <w:spacing w:after="0" w:line="178" w:lineRule="exact"/>
        <w:rPr>
          <w:sz w:val="20"/>
          <w:szCs w:val="20"/>
          <w:color w:val="auto"/>
        </w:rPr>
      </w:pPr>
    </w:p>
    <w:p>
      <w:pPr>
        <w:ind w:left="1580" w:right="679" w:hanging="316"/>
        <w:spacing w:after="0" w:line="258" w:lineRule="auto"/>
        <w:tabs>
          <w:tab w:leader="none" w:pos="15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for individual violators of up to $5,000,000 ($25,000,000 for an entity); and</w:t>
      </w:r>
    </w:p>
    <w:p>
      <w:pPr>
        <w:spacing w:after="0" w:line="50"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jail sentences of up to 20 years.</w:t>
      </w:r>
    </w:p>
    <w:p>
      <w:pPr>
        <w:spacing w:after="0" w:line="206" w:lineRule="exact"/>
        <w:rPr>
          <w:sz w:val="20"/>
          <w:szCs w:val="20"/>
          <w:color w:val="auto"/>
        </w:rPr>
      </w:pPr>
    </w:p>
    <w:p>
      <w:pPr>
        <w:jc w:val="both"/>
        <w:ind w:left="300" w:right="319" w:firstLine="647"/>
        <w:spacing w:after="0" w:line="238"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77" w:lineRule="exact"/>
        <w:rPr>
          <w:sz w:val="20"/>
          <w:szCs w:val="20"/>
          <w:color w:val="auto"/>
        </w:rPr>
      </w:pPr>
    </w:p>
    <w:p>
      <w:pPr>
        <w:ind w:left="1580" w:hanging="640"/>
        <w:spacing w:after="0"/>
        <w:tabs>
          <w:tab w:leader="none" w:pos="15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Size of Transaction and Reason for Transaction Do Not Matter</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ind w:left="940"/>
        <w:spacing w:after="0" w:line="230"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Examples of Insider Trading</w:t>
      </w:r>
      <w:r>
        <w:rPr>
          <w:rFonts w:ascii="Times New Roman" w:cs="Times New Roman" w:eastAsia="Times New Roman" w:hAnsi="Times New Roman"/>
          <w:sz w:val="22"/>
          <w:szCs w:val="22"/>
          <w:color w:val="auto"/>
        </w:rPr>
        <w:t xml:space="preserve"> Examples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of insider trading cases include:</w:t>
      </w:r>
    </w:p>
    <w:p>
      <w:pPr>
        <w:spacing w:after="0" w:line="88" w:lineRule="exact"/>
        <w:rPr>
          <w:sz w:val="20"/>
          <w:szCs w:val="20"/>
          <w:color w:val="auto"/>
        </w:rPr>
      </w:pPr>
    </w:p>
    <w:p>
      <w:pPr>
        <w:jc w:val="both"/>
        <w:ind w:left="1580" w:right="299" w:hanging="316"/>
        <w:spacing w:after="0" w:line="244" w:lineRule="auto"/>
        <w:tabs>
          <w:tab w:leader="none" w:pos="15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brought against corporate officers, directors, and employees who traded in a company’s securities after learning of significant confidential corporate developments;</w:t>
      </w:r>
    </w:p>
    <w:p>
      <w:pPr>
        <w:spacing w:after="0" w:line="24" w:lineRule="exact"/>
        <w:rPr>
          <w:rFonts w:ascii="Times New Roman" w:cs="Times New Roman" w:eastAsia="Times New Roman" w:hAnsi="Times New Roman"/>
          <w:sz w:val="22"/>
          <w:szCs w:val="22"/>
          <w:color w:val="auto"/>
        </w:rPr>
      </w:pPr>
    </w:p>
    <w:p>
      <w:pPr>
        <w:jc w:val="both"/>
        <w:ind w:left="1580" w:right="319" w:hanging="316"/>
        <w:spacing w:after="0" w:line="244" w:lineRule="auto"/>
        <w:tabs>
          <w:tab w:leader="none" w:pos="15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in the securities after receiving such information;</w:t>
      </w:r>
    </w:p>
    <w:p>
      <w:pPr>
        <w:spacing w:after="0" w:line="65"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50"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who misappropriated, and took advantage of, confidential information from their employers.</w:t>
      </w:r>
    </w:p>
    <w:p>
      <w:pPr>
        <w:spacing w:after="0" w:line="37"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112"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1012825</wp:posOffset>
            </wp:positionV>
            <wp:extent cx="703770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3" w:name="page104"/>
    <w:bookmarkEnd w:id="103"/>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98" w:lineRule="exact"/>
        <w:rPr>
          <w:sz w:val="20"/>
          <w:szCs w:val="20"/>
          <w:color w:val="auto"/>
        </w:rPr>
      </w:pPr>
    </w:p>
    <w:p>
      <w:pPr>
        <w:jc w:val="both"/>
        <w:ind w:left="940" w:right="299"/>
        <w:spacing w:after="0" w:line="235"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83" w:lineRule="exact"/>
        <w:rPr>
          <w:sz w:val="20"/>
          <w:szCs w:val="20"/>
          <w:color w:val="auto"/>
        </w:rPr>
      </w:pPr>
    </w:p>
    <w:p>
      <w:pPr>
        <w:ind w:left="1580" w:hanging="640"/>
        <w:spacing w:after="0"/>
        <w:tabs>
          <w:tab w:leader="none" w:pos="15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of Records Falsification and False Statements</w:t>
      </w:r>
    </w:p>
    <w:p>
      <w:pPr>
        <w:spacing w:after="0" w:line="206"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1"/>
          <w:szCs w:val="21"/>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w:t>
      </w:r>
    </w:p>
    <w:p>
      <w:pPr>
        <w:spacing w:after="0" w:line="1" w:lineRule="exact"/>
        <w:rPr>
          <w:sz w:val="20"/>
          <w:szCs w:val="20"/>
          <w:color w:val="auto"/>
        </w:rPr>
      </w:pPr>
    </w:p>
    <w:p>
      <w:pPr>
        <w:jc w:val="both"/>
        <w:ind w:left="300" w:right="299" w:hanging="9"/>
        <w:spacing w:after="0" w:line="232" w:lineRule="auto"/>
        <w:tabs>
          <w:tab w:leader="none" w:pos="6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92"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reventing</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p>
    <w:p>
      <w:pPr>
        <w:spacing w:after="0" w:line="210"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designated employee is required to follow these procedures.</w:t>
      </w:r>
    </w:p>
    <w:p>
      <w:pPr>
        <w:spacing w:after="0" w:line="25" w:lineRule="exact"/>
        <w:rPr>
          <w:sz w:val="20"/>
          <w:szCs w:val="20"/>
          <w:color w:val="auto"/>
        </w:rPr>
      </w:pPr>
    </w:p>
    <w:p>
      <w:pPr>
        <w:ind w:left="1580" w:hanging="640"/>
        <w:spacing w:after="0"/>
        <w:tabs>
          <w:tab w:leader="none" w:pos="15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Certain Employees</w:t>
      </w:r>
    </w:p>
    <w:p>
      <w:pPr>
        <w:spacing w:after="0" w:line="206"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2"/>
          <w:szCs w:val="22"/>
          <w:b w:val="1"/>
          <w:bCs w:val="1"/>
          <w:color w:val="auto"/>
        </w:rPr>
        <w:t>all transactions in the Company’s securities (including without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limitation, acquisitions and dispositions of Company stock, the exercise of stock options and the sale of Company stock issued upon exercise of stock options) by officers, directors and such other employees as are designated in Schedule I, as may be amended from time to time by the Board of Directors, the Chief Executive Officer, Chief Financial Officer or the General Counsel as being subject to this pre-clearance process (each, a “</w:t>
      </w:r>
      <w:r>
        <w:rPr>
          <w:rFonts w:ascii="Times New Roman" w:cs="Times New Roman" w:eastAsia="Times New Roman" w:hAnsi="Times New Roman"/>
          <w:sz w:val="22"/>
          <w:szCs w:val="22"/>
          <w:b w:val="1"/>
          <w:bCs w:val="1"/>
          <w:i w:val="1"/>
          <w:iCs w:val="1"/>
          <w:color w:val="auto"/>
        </w:rPr>
        <w:t>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b w:val="1"/>
          <w:bCs w:val="1"/>
          <w:color w:val="auto"/>
        </w:rPr>
        <w:t>”) must be pre- cleared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Company’s General Counsel. Pre-clearance does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relieve anyone of his or her responsibility under SEC rules. For the avoidance of doubt, any designation by the Board of Directors of the employees who are subject to pre-clearance may be updated from time to time by the Chief Executive Officer, the Chief Financial Officer or the General Counsel.</w:t>
      </w:r>
    </w:p>
    <w:p>
      <w:pPr>
        <w:spacing w:after="0" w:line="74"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538480</wp:posOffset>
            </wp:positionV>
            <wp:extent cx="703770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4" w:name="page105"/>
    <w:bookmarkEnd w:id="104"/>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1"/>
          <w:szCs w:val="21"/>
          <w:color w:val="auto"/>
        </w:rPr>
        <w:t>Chief Financial Officer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Chief Financial Officer,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71" w:lineRule="exact"/>
        <w:rPr>
          <w:sz w:val="20"/>
          <w:szCs w:val="20"/>
          <w:color w:val="auto"/>
        </w:rPr>
      </w:pPr>
    </w:p>
    <w:p>
      <w:pPr>
        <w:ind w:left="1580" w:hanging="640"/>
        <w:spacing w:after="0"/>
        <w:tabs>
          <w:tab w:leader="none" w:pos="15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216"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b w:val="1"/>
          <w:bCs w:val="1"/>
          <w:color w:val="auto"/>
        </w:rPr>
        <w:t>No officer, director or other employee designated in Schedule II, as may be amended from time to time by the Board of Directors, the Chief Executive Officer, the Chief Financial Officer or the General Counsel as being subject to quarterly blackout periods shall purchase or sell any security of the Company during the period beginning at 11:59 p.m., Eastern time, on the 10</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 purchases and sales made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permitted transactions described in Section II. For example, if the Company’s fourth fiscal quarter ends at 11:59 p.m., Eastern time, on December 31, the corresponding blackout period would begin at 11:59 p.m., Eastern time, on</w:t>
      </w:r>
    </w:p>
    <w:p>
      <w:pPr>
        <w:spacing w:after="0" w:line="31"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December 21. For the avoidance of doubt, any designation by the Board of Directors of the employees who are subject to quarterly blackout periods may be updated from time to time by the Chief Executive Officer, Chief Financial Officer or General Counsel.</w:t>
      </w:r>
    </w:p>
    <w:p>
      <w:pPr>
        <w:spacing w:after="0" w:line="65" w:lineRule="exact"/>
        <w:rPr>
          <w:sz w:val="20"/>
          <w:szCs w:val="20"/>
          <w:color w:val="auto"/>
        </w:rPr>
      </w:pPr>
    </w:p>
    <w:p>
      <w:pPr>
        <w:jc w:val="both"/>
        <w:ind w:left="300" w:right="299" w:firstLine="701"/>
        <w:spacing w:after="0" w:line="238"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Chief Financial Officer or, in the case of exceptions for directors or persons or entities subject to this policy as a result of their relationship with a director, the Board of Directors).</w:t>
      </w:r>
    </w:p>
    <w:p>
      <w:pPr>
        <w:spacing w:after="0" w:line="69"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1"/>
          <w:szCs w:val="21"/>
          <w:color w:val="auto"/>
        </w:rPr>
        <w:t>From time to time, the Company, through the Board of Directors, the Company’s disclosure committee, the Chief Financial Officer or the General Counsel, may recommend that officers, directors,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63"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7" w:lineRule="exact"/>
        <w:rPr>
          <w:sz w:val="20"/>
          <w:szCs w:val="20"/>
          <w:color w:val="auto"/>
        </w:rPr>
      </w:pPr>
    </w:p>
    <w:p>
      <w:pPr>
        <w:ind w:left="1580" w:hanging="640"/>
        <w:spacing w:after="0"/>
        <w:tabs>
          <w:tab w:leader="none" w:pos="15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206"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534670</wp:posOffset>
            </wp:positionV>
            <wp:extent cx="703770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5" w:name="page106"/>
    <w:bookmarkEnd w:id="105"/>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80" w:hanging="640"/>
        <w:spacing w:after="0"/>
        <w:tabs>
          <w:tab w:leader="none" w:pos="1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Relating to the Company</w:t>
      </w:r>
    </w:p>
    <w:p>
      <w:pPr>
        <w:spacing w:after="0" w:line="202" w:lineRule="exact"/>
        <w:rPr>
          <w:sz w:val="20"/>
          <w:szCs w:val="20"/>
          <w:color w:val="auto"/>
        </w:rPr>
      </w:pPr>
    </w:p>
    <w:p>
      <w:pPr>
        <w:ind w:left="2240" w:hanging="652"/>
        <w:spacing w:after="0"/>
        <w:tabs>
          <w:tab w:leader="none" w:pos="22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 to Information</w:t>
      </w:r>
    </w:p>
    <w:p>
      <w:pPr>
        <w:spacing w:after="0" w:line="102" w:lineRule="exact"/>
        <w:rPr>
          <w:sz w:val="20"/>
          <w:szCs w:val="20"/>
          <w:color w:val="auto"/>
        </w:rPr>
      </w:pPr>
    </w:p>
    <w:p>
      <w:pPr>
        <w:jc w:val="both"/>
        <w:ind w:left="300" w:right="299" w:firstLine="647"/>
        <w:spacing w:after="0" w:line="249" w:lineRule="auto"/>
        <w:rPr>
          <w:sz w:val="20"/>
          <w:szCs w:val="20"/>
          <w:color w:val="auto"/>
        </w:rPr>
      </w:pPr>
      <w:r>
        <w:rPr>
          <w:rFonts w:ascii="Times New Roman" w:cs="Times New Roman" w:eastAsia="Times New Roman" w:hAnsi="Times New Roman"/>
          <w:sz w:val="21"/>
          <w:szCs w:val="21"/>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63"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28" w:lineRule="exact"/>
        <w:rPr>
          <w:sz w:val="20"/>
          <w:szCs w:val="20"/>
          <w:color w:val="auto"/>
        </w:rPr>
      </w:pPr>
    </w:p>
    <w:p>
      <w:pPr>
        <w:ind w:left="2240" w:hanging="652"/>
        <w:spacing w:after="0"/>
        <w:tabs>
          <w:tab w:leader="none" w:pos="22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Inquiries From Third Parties</w:t>
      </w:r>
    </w:p>
    <w:p>
      <w:pPr>
        <w:spacing w:after="0" w:line="102"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Financial Officer or the General Counsel.</w:t>
      </w:r>
    </w:p>
    <w:p>
      <w:pPr>
        <w:spacing w:after="0" w:line="158" w:lineRule="exact"/>
        <w:rPr>
          <w:sz w:val="20"/>
          <w:szCs w:val="20"/>
          <w:color w:val="auto"/>
        </w:rPr>
      </w:pPr>
    </w:p>
    <w:p>
      <w:pPr>
        <w:ind w:left="1580" w:hanging="640"/>
        <w:spacing w:after="0"/>
        <w:tabs>
          <w:tab w:leader="none" w:pos="15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Access to Company Information</w:t>
      </w:r>
    </w:p>
    <w:p>
      <w:pPr>
        <w:spacing w:after="0" w:line="206"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50"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50" w:lineRule="exact"/>
        <w:rPr>
          <w:sz w:val="20"/>
          <w:szCs w:val="20"/>
          <w:color w:val="auto"/>
        </w:rPr>
      </w:pPr>
    </w:p>
    <w:p>
      <w:pPr>
        <w:ind w:left="1580" w:hanging="316"/>
        <w:spacing w:after="0"/>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confidentiality of Company-related transactions;</w:t>
      </w:r>
    </w:p>
    <w:p>
      <w:pPr>
        <w:spacing w:after="0" w:line="98" w:lineRule="exact"/>
        <w:rPr>
          <w:rFonts w:ascii="Times New Roman" w:cs="Times New Roman" w:eastAsia="Times New Roman" w:hAnsi="Times New Roman"/>
          <w:sz w:val="22"/>
          <w:szCs w:val="22"/>
          <w:color w:val="auto"/>
        </w:rPr>
      </w:pPr>
    </w:p>
    <w:p>
      <w:pPr>
        <w:jc w:val="both"/>
        <w:ind w:left="1580" w:right="299" w:hanging="316"/>
        <w:spacing w:after="0" w:line="239"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72" w:lineRule="exact"/>
        <w:rPr>
          <w:rFonts w:ascii="Times New Roman" w:cs="Times New Roman" w:eastAsia="Times New Roman" w:hAnsi="Times New Roman"/>
          <w:sz w:val="22"/>
          <w:szCs w:val="22"/>
          <w:color w:val="auto"/>
        </w:rPr>
      </w:pPr>
    </w:p>
    <w:p>
      <w:pPr>
        <w:jc w:val="both"/>
        <w:ind w:left="1580" w:right="319" w:hanging="316"/>
        <w:spacing w:after="0" w:line="239"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72" w:lineRule="exact"/>
        <w:rPr>
          <w:rFonts w:ascii="Times New Roman" w:cs="Times New Roman" w:eastAsia="Times New Roman" w:hAnsi="Times New Roman"/>
          <w:sz w:val="22"/>
          <w:szCs w:val="22"/>
          <w:color w:val="auto"/>
        </w:rPr>
      </w:pPr>
    </w:p>
    <w:p>
      <w:pPr>
        <w:ind w:left="1580" w:right="299" w:hanging="316"/>
        <w:spacing w:after="0" w:line="258"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50" w:lineRule="exact"/>
        <w:rPr>
          <w:rFonts w:ascii="Times New Roman" w:cs="Times New Roman" w:eastAsia="Times New Roman" w:hAnsi="Times New Roman"/>
          <w:sz w:val="22"/>
          <w:szCs w:val="22"/>
          <w:color w:val="auto"/>
        </w:rPr>
      </w:pPr>
    </w:p>
    <w:p>
      <w:pPr>
        <w:ind w:left="1580" w:right="299" w:hanging="316"/>
        <w:spacing w:after="0" w:line="258"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50"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access to areas likely to contain confidential documents or material, non- public information;</w:t>
      </w:r>
    </w:p>
    <w:p>
      <w:pPr>
        <w:spacing w:after="0" w:line="50" w:lineRule="exact"/>
        <w:rPr>
          <w:rFonts w:ascii="Times New Roman" w:cs="Times New Roman" w:eastAsia="Times New Roman" w:hAnsi="Times New Roman"/>
          <w:sz w:val="22"/>
          <w:szCs w:val="22"/>
          <w:color w:val="auto"/>
        </w:rPr>
      </w:pPr>
    </w:p>
    <w:p>
      <w:pPr>
        <w:ind w:left="1580" w:right="319" w:hanging="316"/>
        <w:spacing w:after="0" w:line="258"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safeguarding laptop computers, mobile devices, tablets, memory sticks, CDs and other items that contain confidential information; and</w:t>
      </w:r>
    </w:p>
    <w:p>
      <w:pPr>
        <w:spacing w:after="0" w:line="50" w:lineRule="exact"/>
        <w:rPr>
          <w:rFonts w:ascii="Times New Roman" w:cs="Times New Roman" w:eastAsia="Times New Roman" w:hAnsi="Times New Roman"/>
          <w:sz w:val="22"/>
          <w:szCs w:val="22"/>
          <w:color w:val="auto"/>
        </w:rPr>
      </w:pPr>
    </w:p>
    <w:p>
      <w:pPr>
        <w:jc w:val="both"/>
        <w:ind w:left="1580" w:right="299" w:hanging="316"/>
        <w:spacing w:after="0" w:line="244" w:lineRule="auto"/>
        <w:tabs>
          <w:tab w:leader="none" w:pos="1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65"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456565</wp:posOffset>
            </wp:positionV>
            <wp:extent cx="703770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6" w:name="page107"/>
    <w:bookmarkEnd w:id="106"/>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40" w:hanging="648"/>
        <w:spacing w:after="0"/>
        <w:tabs>
          <w:tab w:leader="none" w:pos="9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80" w:lineRule="exact"/>
        <w:rPr>
          <w:sz w:val="20"/>
          <w:szCs w:val="20"/>
          <w:color w:val="auto"/>
        </w:rPr>
      </w:pPr>
    </w:p>
    <w:p>
      <w:pPr>
        <w:ind w:left="1580" w:hanging="640"/>
        <w:spacing w:after="0"/>
        <w:tabs>
          <w:tab w:leader="none" w:pos="15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206"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Short sales of the Company’s securities evidence an expectation on the part of the seller that the securities will decline in value, and therefore signal to the market that the seller has no</w:t>
      </w:r>
    </w:p>
    <w:p>
      <w:pPr>
        <w:spacing w:after="0" w:line="10"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 xml:space="preserve">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183" w:lineRule="exact"/>
        <w:rPr>
          <w:sz w:val="20"/>
          <w:szCs w:val="20"/>
          <w:color w:val="auto"/>
        </w:rPr>
      </w:pPr>
    </w:p>
    <w:p>
      <w:pPr>
        <w:ind w:left="1580" w:hanging="640"/>
        <w:spacing w:after="0"/>
        <w:tabs>
          <w:tab w:leader="none" w:pos="15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A transaction in options is, in effect, a bet on the short-term movement of the Company’s stock and therefore creates the appearance that an officer, director or employee is trading based on inside information. Transactions in options, whether traded on an exchange, on any other organized market or on an over-the-counter market, also may focus an officer’s, director’s or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78" w:lineRule="exact"/>
        <w:rPr>
          <w:sz w:val="20"/>
          <w:szCs w:val="20"/>
          <w:color w:val="auto"/>
        </w:rPr>
      </w:pPr>
    </w:p>
    <w:p>
      <w:pPr>
        <w:ind w:left="1580" w:hanging="640"/>
        <w:spacing w:after="0"/>
        <w:tabs>
          <w:tab w:leader="none" w:pos="1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83" w:lineRule="exact"/>
        <w:rPr>
          <w:sz w:val="20"/>
          <w:szCs w:val="20"/>
          <w:color w:val="auto"/>
        </w:rPr>
      </w:pPr>
    </w:p>
    <w:p>
      <w:pPr>
        <w:ind w:left="1540" w:right="899" w:hanging="600"/>
        <w:spacing w:after="0" w:line="258" w:lineRule="auto"/>
        <w:tabs>
          <w:tab w:leader="none" w:pos="15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 Loans</w:t>
      </w:r>
    </w:p>
    <w:p>
      <w:pPr>
        <w:spacing w:after="0" w:line="158"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except as otherwise pre-approved by the Board of Directors in each instance. Pledging the Company’s securities as collateral to secure loans is prohibited. This prohibition means, among other things, that you cannot hold the Company’s securities in a “margin account” (which would allow you to borrow against your holdings to buy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469265</wp:posOffset>
            </wp:positionV>
            <wp:extent cx="703770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7" w:name="page108"/>
    <w:bookmarkEnd w:id="107"/>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securities).</w:t>
      </w:r>
    </w:p>
    <w:p>
      <w:pPr>
        <w:spacing w:after="0" w:line="206" w:lineRule="exact"/>
        <w:rPr>
          <w:sz w:val="20"/>
          <w:szCs w:val="20"/>
          <w:color w:val="auto"/>
        </w:rPr>
      </w:pPr>
    </w:p>
    <w:p>
      <w:pPr>
        <w:ind w:left="1580" w:hanging="640"/>
        <w:spacing w:after="0"/>
        <w:tabs>
          <w:tab w:leader="none" w:pos="15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and Executive Officer Cashless Exercises</w:t>
      </w:r>
    </w:p>
    <w:p>
      <w:pPr>
        <w:spacing w:after="0" w:line="206"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w:t>
      </w:r>
    </w:p>
    <w:p>
      <w:pPr>
        <w:spacing w:after="0" w:line="33"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uses a “T+2” cashless exercise arrangement, in which the Company agrees to deliver stock against the payment of the purchase price on the same day the sale of the stock underlying the equity award settles and (iv) the director or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General Counsel.</w:t>
      </w:r>
    </w:p>
    <w:p>
      <w:pPr>
        <w:spacing w:after="0" w:line="183" w:lineRule="exact"/>
        <w:rPr>
          <w:sz w:val="20"/>
          <w:szCs w:val="20"/>
          <w:color w:val="auto"/>
        </w:rPr>
      </w:pPr>
    </w:p>
    <w:p>
      <w:pPr>
        <w:ind w:left="1580" w:hanging="640"/>
        <w:spacing w:after="0"/>
        <w:tabs>
          <w:tab w:leader="none" w:pos="15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Partnership Distributions</w:t>
      </w:r>
    </w:p>
    <w:p>
      <w:pPr>
        <w:spacing w:after="0" w:line="206"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9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22"/>
          <w:szCs w:val="22"/>
          <w:b w:val="1"/>
          <w:bCs w:val="1"/>
          <w:color w:val="auto"/>
        </w:rPr>
        <w:t>5-1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10" w:lineRule="exact"/>
        <w:rPr>
          <w:sz w:val="20"/>
          <w:szCs w:val="20"/>
          <w:color w:val="auto"/>
        </w:rPr>
      </w:pPr>
    </w:p>
    <w:p>
      <w:pPr>
        <w:ind w:left="1580" w:hanging="640"/>
        <w:spacing w:after="0"/>
        <w:tabs>
          <w:tab w:leader="none" w:pos="1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206" w:lineRule="exact"/>
        <w:rPr>
          <w:sz w:val="20"/>
          <w:szCs w:val="20"/>
          <w:color w:val="auto"/>
        </w:rPr>
      </w:pPr>
    </w:p>
    <w:p>
      <w:pPr>
        <w:jc w:val="both"/>
        <w:ind w:left="300" w:right="299" w:firstLine="647"/>
        <w:spacing w:after="0" w:line="232"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entered into in good faith and in accordance with the terms of Rule 10b5-1 and 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General Counsel, or such other person as the Board of Directors may designate from time to time (the “</w:t>
      </w:r>
      <w:r>
        <w:rPr>
          <w:rFonts w:ascii="Times New Roman" w:cs="Times New Roman" w:eastAsia="Times New Roman" w:hAnsi="Times New Roman"/>
          <w:sz w:val="22"/>
          <w:szCs w:val="22"/>
          <w:b w:val="1"/>
          <w:bCs w:val="1"/>
          <w:i w:val="1"/>
          <w:iCs w:val="1"/>
          <w:color w:val="auto"/>
        </w:rPr>
        <w:t>Authorizing Officer</w:t>
      </w:r>
      <w:r>
        <w:rPr>
          <w:rFonts w:ascii="Times New Roman" w:cs="Times New Roman" w:eastAsia="Times New Roman" w:hAnsi="Times New Roman"/>
          <w:sz w:val="22"/>
          <w:szCs w:val="22"/>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78" w:lineRule="exact"/>
        <w:rPr>
          <w:sz w:val="20"/>
          <w:szCs w:val="20"/>
          <w:color w:val="auto"/>
        </w:rPr>
      </w:pPr>
    </w:p>
    <w:p>
      <w:pPr>
        <w:ind w:left="300" w:right="419" w:firstLine="647"/>
        <w:spacing w:after="0" w:line="286" w:lineRule="auto"/>
        <w:rPr>
          <w:sz w:val="20"/>
          <w:szCs w:val="20"/>
          <w:color w:val="auto"/>
        </w:rPr>
      </w:pPr>
      <w:r>
        <w:rPr>
          <w:rFonts w:ascii="Times New Roman" w:cs="Times New Roman" w:eastAsia="Times New Roman" w:hAnsi="Times New Roman"/>
          <w:sz w:val="21"/>
          <w:szCs w:val="21"/>
          <w:b w:val="1"/>
          <w:bCs w:val="1"/>
          <w:color w:val="auto"/>
        </w:rPr>
        <w:t>Trading Plans do not exempt individuals from complying with Section 16 reporting obligations or from short-swing profit rules or liability. Furthermore, a Trading Plan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447675</wp:posOffset>
            </wp:positionV>
            <wp:extent cx="703770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8" w:name="page109"/>
    <w:bookmarkEnd w:id="108"/>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80" w:lineRule="exact"/>
        <w:rPr>
          <w:sz w:val="20"/>
          <w:szCs w:val="20"/>
          <w:color w:val="auto"/>
        </w:rPr>
      </w:pPr>
    </w:p>
    <w:p>
      <w:pPr>
        <w:ind w:left="300" w:right="619"/>
        <w:spacing w:after="0" w:line="262" w:lineRule="auto"/>
        <w:rPr>
          <w:sz w:val="20"/>
          <w:szCs w:val="20"/>
          <w:color w:val="auto"/>
        </w:rPr>
      </w:pPr>
      <w:r>
        <w:rPr>
          <w:rFonts w:ascii="Times New Roman" w:cs="Times New Roman" w:eastAsia="Times New Roman" w:hAnsi="Times New Roman"/>
          <w:sz w:val="22"/>
          <w:szCs w:val="22"/>
          <w:b w:val="1"/>
          <w:bCs w:val="1"/>
          <w:color w:val="auto"/>
        </w:rPr>
        <w:t>provides an “affirmative defense” in the event there is an insider trading lawsuit. It does not prevent someone from bringing a lawsuit.</w:t>
      </w:r>
    </w:p>
    <w:p>
      <w:pPr>
        <w:spacing w:after="0" w:line="32"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w:t>
      </w:r>
    </w:p>
    <w:p>
      <w:pPr>
        <w:spacing w:after="0" w:line="33" w:lineRule="exact"/>
        <w:rPr>
          <w:sz w:val="20"/>
          <w:szCs w:val="20"/>
          <w:color w:val="auto"/>
        </w:rPr>
      </w:pPr>
    </w:p>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79"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Officers, directors and employees may adopt Trading Plans with brokers that outline a pre- set plan for trading of the Company’s stock, including the exercise of options. Trades pursuant to a Trading Plan generally may occur at any time. However, the Company requires a cooling-off period of 30 calendar days between the establishment of a Trading Plan and commencement of any transactions under such plan. An individual may adopt more than one Trading Plan. Please review the following description of how a Trading Plan works.</w:t>
      </w:r>
    </w:p>
    <w:p>
      <w:pPr>
        <w:spacing w:after="0" w:line="73"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Pursuant to Rule 10b5-1, an individual’s purchase or sale of securities will not be “on the basis of” material, non-public information if:</w:t>
      </w:r>
    </w:p>
    <w:p>
      <w:pPr>
        <w:spacing w:after="0" w:line="50" w:lineRule="exact"/>
        <w:rPr>
          <w:sz w:val="20"/>
          <w:szCs w:val="20"/>
          <w:color w:val="auto"/>
        </w:rPr>
      </w:pPr>
    </w:p>
    <w:p>
      <w:pPr>
        <w:jc w:val="both"/>
        <w:ind w:left="1580" w:right="299" w:hanging="316"/>
        <w:spacing w:after="0" w:line="239" w:lineRule="auto"/>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72" w:lineRule="exact"/>
        <w:rPr>
          <w:rFonts w:ascii="Times New Roman" w:cs="Times New Roman" w:eastAsia="Times New Roman" w:hAnsi="Times New Roman"/>
          <w:sz w:val="22"/>
          <w:szCs w:val="22"/>
          <w:color w:val="auto"/>
        </w:rPr>
      </w:pPr>
    </w:p>
    <w:p>
      <w:pPr>
        <w:ind w:left="1580" w:hanging="316"/>
        <w:spacing w:after="0"/>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Trading Plan must either:</w:t>
      </w:r>
    </w:p>
    <w:p>
      <w:pPr>
        <w:spacing w:after="0" w:line="98" w:lineRule="exact"/>
        <w:rPr>
          <w:rFonts w:ascii="Times New Roman" w:cs="Times New Roman" w:eastAsia="Times New Roman" w:hAnsi="Times New Roman"/>
          <w:sz w:val="22"/>
          <w:szCs w:val="22"/>
          <w:color w:val="auto"/>
        </w:rPr>
      </w:pPr>
    </w:p>
    <w:p>
      <w:pPr>
        <w:jc w:val="both"/>
        <w:ind w:left="2240" w:right="299" w:hanging="328"/>
        <w:spacing w:after="0" w:line="244" w:lineRule="auto"/>
        <w:tabs>
          <w:tab w:leader="none" w:pos="22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of securities to be purchased or sold, the price at which the securities are to be purchased or sold and the date on which the securities are to be purchased or sold;</w:t>
      </w:r>
    </w:p>
    <w:p>
      <w:pPr>
        <w:spacing w:after="0" w:line="65" w:lineRule="exact"/>
        <w:rPr>
          <w:rFonts w:ascii="Times New Roman" w:cs="Times New Roman" w:eastAsia="Times New Roman" w:hAnsi="Times New Roman"/>
          <w:sz w:val="22"/>
          <w:szCs w:val="22"/>
          <w:color w:val="auto"/>
        </w:rPr>
      </w:pPr>
    </w:p>
    <w:p>
      <w:pPr>
        <w:ind w:left="2240" w:right="319" w:hanging="328"/>
        <w:spacing w:after="0" w:line="258" w:lineRule="auto"/>
        <w:tabs>
          <w:tab w:leader="none" w:pos="22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computer program for determining the amount, price and date of the transactions; or</w:t>
      </w:r>
    </w:p>
    <w:p>
      <w:pPr>
        <w:spacing w:after="0" w:line="50" w:lineRule="exact"/>
        <w:rPr>
          <w:rFonts w:ascii="Times New Roman" w:cs="Times New Roman" w:eastAsia="Times New Roman" w:hAnsi="Times New Roman"/>
          <w:sz w:val="22"/>
          <w:szCs w:val="22"/>
          <w:color w:val="auto"/>
        </w:rPr>
      </w:pPr>
    </w:p>
    <w:p>
      <w:pPr>
        <w:jc w:val="both"/>
        <w:ind w:left="2240" w:right="299" w:hanging="328"/>
        <w:spacing w:after="0" w:line="244" w:lineRule="auto"/>
        <w:tabs>
          <w:tab w:leader="none" w:pos="22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individual from exercising any subsequent influence over the purchase or sale of the Company’s stock under the Trading Plan in question.</w:t>
      </w:r>
    </w:p>
    <w:p>
      <w:pPr>
        <w:spacing w:after="0" w:line="65" w:lineRule="exact"/>
        <w:rPr>
          <w:rFonts w:ascii="Times New Roman" w:cs="Times New Roman" w:eastAsia="Times New Roman" w:hAnsi="Times New Roman"/>
          <w:sz w:val="22"/>
          <w:szCs w:val="22"/>
          <w:color w:val="auto"/>
        </w:rPr>
      </w:pPr>
    </w:p>
    <w:p>
      <w:pPr>
        <w:jc w:val="both"/>
        <w:ind w:left="1580" w:right="319" w:hanging="316"/>
        <w:spacing w:after="0" w:line="244" w:lineRule="auto"/>
        <w:tabs>
          <w:tab w:leader="none" w:pos="1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the purchase or sale must occur pursuant to the Trading Plan and the individual must not enter into a corresponding hedging transaction or alter or deviate from the Trading Plan.</w:t>
      </w:r>
    </w:p>
    <w:p>
      <w:pPr>
        <w:spacing w:after="0" w:line="65"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539115</wp:posOffset>
            </wp:positionV>
            <wp:extent cx="703770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9" w:name="page110"/>
    <w:bookmarkEnd w:id="109"/>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7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22"/>
          <w:szCs w:val="22"/>
          <w:color w:val="auto"/>
        </w:rPr>
        <w:t>own counsel (as appropriate), to comply with applicable securities laws in connection with any Trading Plan.</w:t>
      </w:r>
    </w:p>
    <w:p>
      <w:pPr>
        <w:spacing w:after="0" w:line="10" w:lineRule="exact"/>
        <w:rPr>
          <w:sz w:val="20"/>
          <w:szCs w:val="20"/>
          <w:color w:val="auto"/>
        </w:rPr>
      </w:pPr>
    </w:p>
    <w:p>
      <w:pPr>
        <w:ind w:left="1580" w:hanging="640"/>
        <w:spacing w:after="0"/>
        <w:tabs>
          <w:tab w:leader="none" w:pos="15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of and Amendments to Trading Plans</w:t>
      </w:r>
    </w:p>
    <w:p>
      <w:pPr>
        <w:spacing w:after="0" w:line="206" w:lineRule="exact"/>
        <w:rPr>
          <w:sz w:val="20"/>
          <w:szCs w:val="20"/>
          <w:color w:val="auto"/>
        </w:rPr>
      </w:pPr>
    </w:p>
    <w:p>
      <w:pPr>
        <w:jc w:val="both"/>
        <w:ind w:left="300" w:right="319" w:firstLine="647"/>
        <w:spacing w:after="0" w:line="236" w:lineRule="auto"/>
        <w:rPr>
          <w:sz w:val="20"/>
          <w:szCs w:val="20"/>
          <w:color w:val="auto"/>
        </w:rPr>
      </w:pPr>
      <w:r>
        <w:rPr>
          <w:rFonts w:ascii="Times New Roman" w:cs="Times New Roman" w:eastAsia="Times New Roman" w:hAnsi="Times New Roman"/>
          <w:sz w:val="22"/>
          <w:szCs w:val="22"/>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90 calendar days before establishing a new Trading Plan.</w:t>
      </w:r>
    </w:p>
    <w:p>
      <w:pPr>
        <w:spacing w:after="0" w:line="73"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calendar days after the plan amendments are made.</w:t>
      </w:r>
    </w:p>
    <w:p>
      <w:pPr>
        <w:spacing w:after="0" w:line="68"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81" w:lineRule="exact"/>
        <w:rPr>
          <w:sz w:val="20"/>
          <w:szCs w:val="20"/>
          <w:color w:val="auto"/>
        </w:rPr>
      </w:pPr>
    </w:p>
    <w:p>
      <w:pPr>
        <w:ind w:left="1580" w:hanging="640"/>
        <w:spacing w:after="0"/>
        <w:tabs>
          <w:tab w:leader="none" w:pos="15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206"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65"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81" w:lineRule="exact"/>
        <w:rPr>
          <w:sz w:val="20"/>
          <w:szCs w:val="20"/>
          <w:color w:val="auto"/>
        </w:rPr>
      </w:pPr>
    </w:p>
    <w:p>
      <w:pPr>
        <w:ind w:left="1580" w:hanging="640"/>
        <w:spacing w:after="0"/>
        <w:tabs>
          <w:tab w:leader="none" w:pos="15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(if Required)</w:t>
      </w:r>
    </w:p>
    <w:p>
      <w:pPr>
        <w:spacing w:after="0" w:line="206"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-648970</wp:posOffset>
            </wp:positionV>
            <wp:extent cx="857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50" w:lineRule="exact"/>
        <w:rPr>
          <w:sz w:val="20"/>
          <w:szCs w:val="20"/>
          <w:color w:val="auto"/>
        </w:rPr>
      </w:pPr>
    </w:p>
    <w:p>
      <w:pPr>
        <w:ind w:left="1580" w:hanging="640"/>
        <w:spacing w:after="0"/>
        <w:tabs>
          <w:tab w:leader="none" w:pos="15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98"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554355</wp:posOffset>
            </wp:positionV>
            <wp:extent cx="703770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0" w:name="page111"/>
    <w:bookmarkEnd w:id="110"/>
    <w:p>
      <w:pPr>
        <w:ind w:left="736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330" w:lineRule="exact"/>
        <w:rPr>
          <w:sz w:val="20"/>
          <w:szCs w:val="20"/>
          <w:color w:val="auto"/>
        </w:rPr>
      </w:pPr>
    </w:p>
    <w:p>
      <w:pPr>
        <w:jc w:val="both"/>
        <w:ind w:left="300" w:right="319"/>
        <w:spacing w:after="0" w:line="238" w:lineRule="auto"/>
        <w:rPr>
          <w:sz w:val="20"/>
          <w:szCs w:val="20"/>
          <w:color w:val="auto"/>
        </w:rPr>
      </w:pPr>
      <w:r>
        <w:rPr>
          <w:rFonts w:ascii="Times New Roman" w:cs="Times New Roman" w:eastAsia="Times New Roman" w:hAnsi="Times New Roman"/>
          <w:sz w:val="22"/>
          <w:szCs w:val="22"/>
          <w:color w:val="auto"/>
        </w:rPr>
        <w:t>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69" w:lineRule="exact"/>
        <w:rPr>
          <w:sz w:val="20"/>
          <w:szCs w:val="20"/>
          <w:color w:val="auto"/>
        </w:rPr>
      </w:pPr>
    </w:p>
    <w:p>
      <w:pPr>
        <w:ind w:left="1580" w:hanging="640"/>
        <w:spacing w:after="0"/>
        <w:tabs>
          <w:tab w:leader="none" w:pos="15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98"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50" w:lineRule="exact"/>
        <w:rPr>
          <w:sz w:val="20"/>
          <w:szCs w:val="20"/>
          <w:color w:val="auto"/>
        </w:rPr>
      </w:pPr>
    </w:p>
    <w:p>
      <w:pPr>
        <w:ind w:left="1580" w:hanging="640"/>
        <w:spacing w:after="0"/>
        <w:tabs>
          <w:tab w:leader="none" w:pos="15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Announcements</w:t>
      </w:r>
    </w:p>
    <w:p>
      <w:pPr>
        <w:spacing w:after="0" w:line="98" w:lineRule="exact"/>
        <w:rPr>
          <w:sz w:val="20"/>
          <w:szCs w:val="20"/>
          <w:color w:val="auto"/>
        </w:rPr>
      </w:pPr>
    </w:p>
    <w:p>
      <w:pPr>
        <w:jc w:val="both"/>
        <w:ind w:left="300" w:right="299" w:firstLine="647"/>
        <w:spacing w:after="0" w:line="238" w:lineRule="auto"/>
        <w:rPr>
          <w:sz w:val="20"/>
          <w:szCs w:val="20"/>
          <w:color w:val="auto"/>
        </w:rPr>
      </w:pPr>
      <w:r>
        <w:rPr>
          <w:rFonts w:ascii="Times New Roman" w:cs="Times New Roman" w:eastAsia="Times New Roman" w:hAnsi="Times New Roman"/>
          <w:sz w:val="22"/>
          <w:szCs w:val="22"/>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69" w:lineRule="exact"/>
        <w:rPr>
          <w:sz w:val="20"/>
          <w:szCs w:val="20"/>
          <w:color w:val="auto"/>
        </w:rPr>
      </w:pPr>
    </w:p>
    <w:p>
      <w:pPr>
        <w:ind w:left="1580" w:hanging="640"/>
        <w:spacing w:after="0"/>
        <w:tabs>
          <w:tab w:leader="none" w:pos="15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98"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72" w:lineRule="exact"/>
        <w:rPr>
          <w:sz w:val="20"/>
          <w:szCs w:val="20"/>
          <w:color w:val="auto"/>
        </w:rPr>
      </w:pPr>
    </w:p>
    <w:p>
      <w:pPr>
        <w:ind w:left="1580" w:hanging="640"/>
        <w:spacing w:after="0"/>
        <w:tabs>
          <w:tab w:leader="none" w:pos="15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p>
    <w:p>
      <w:pPr>
        <w:spacing w:after="0" w:line="98" w:lineRule="exact"/>
        <w:rPr>
          <w:sz w:val="20"/>
          <w:szCs w:val="20"/>
          <w:color w:val="auto"/>
        </w:rPr>
      </w:pPr>
    </w:p>
    <w:p>
      <w:pPr>
        <w:ind w:left="300" w:right="399" w:firstLine="647"/>
        <w:spacing w:after="0" w:line="246" w:lineRule="auto"/>
        <w:rPr>
          <w:sz w:val="20"/>
          <w:szCs w:val="20"/>
          <w:color w:val="auto"/>
        </w:rPr>
      </w:pPr>
      <w:r>
        <w:rPr>
          <w:rFonts w:ascii="Times New Roman" w:cs="Times New Roman" w:eastAsia="Times New Roman" w:hAnsi="Times New Roman"/>
          <w:sz w:val="21"/>
          <w:szCs w:val="21"/>
          <w:color w:val="auto"/>
        </w:rPr>
        <w:t>None of the Company, the Chief Executive Officer, the Chief Financial Officer, General Counsel,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Chief Financial Officer, General Counsel, the Authorizing Officer, the Company’s other employees or any other person assumes any liability for the legality or consequences of such Trading Plan or transaction to the person engaging in or adopting such Trading Plan or transaction.</w:t>
      </w:r>
    </w:p>
    <w:p>
      <w:pPr>
        <w:spacing w:after="0" w:line="200" w:lineRule="exact"/>
        <w:rPr>
          <w:sz w:val="20"/>
          <w:szCs w:val="20"/>
          <w:color w:val="auto"/>
        </w:rPr>
      </w:pPr>
    </w:p>
    <w:p>
      <w:pPr>
        <w:spacing w:after="0" w:line="228"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VII.</w:t>
        <w:tab/>
        <w:t>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eturn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ertification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p>
    <w:p>
      <w:pPr>
        <w:spacing w:after="0" w:line="210"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After reading this Policy and on an annual basis, all officers, directors and employees should execute and return to the Company’s General Counsel the Certification of Compliance form.</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Effective Date: June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1755775</wp:posOffset>
            </wp:positionV>
            <wp:extent cx="703770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740" w:type="dxa"/>
            <w:vAlign w:val="bottom"/>
            <w:gridSpan w:val="3"/>
          </w:tcPr>
          <w:p>
            <w:pPr>
              <w:jc w:val="center"/>
              <w:ind w:right="3180"/>
              <w:spacing w:after="0"/>
              <w:rPr>
                <w:sz w:val="20"/>
                <w:szCs w:val="20"/>
                <w:color w:val="auto"/>
              </w:rPr>
            </w:pPr>
            <w:r>
              <w:rPr>
                <w:rFonts w:ascii="Times New Roman" w:cs="Times New Roman" w:eastAsia="Times New Roman" w:hAnsi="Times New Roman"/>
                <w:sz w:val="25"/>
                <w:szCs w:val="25"/>
                <w:b w:val="1"/>
                <w:bCs w:val="1"/>
                <w:color w:val="auto"/>
              </w:rPr>
              <w:t>Subsidiaries of Talkspace, Inc.</w:t>
            </w:r>
          </w:p>
        </w:tc>
      </w:tr>
      <w:tr>
        <w:trPr>
          <w:trHeight w:val="258"/>
        </w:trPr>
        <w:tc>
          <w:tcPr>
            <w:tcW w:w="10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7740" w:type="dxa"/>
            <w:vAlign w:val="bottom"/>
            <w:gridSpan w:val="3"/>
          </w:tcPr>
          <w:p>
            <w:pPr>
              <w:jc w:val="center"/>
              <w:ind w:right="3180"/>
              <w:spacing w:after="0"/>
              <w:rPr>
                <w:sz w:val="20"/>
                <w:szCs w:val="20"/>
                <w:color w:val="auto"/>
              </w:rPr>
            </w:pPr>
            <w:r>
              <w:rPr>
                <w:rFonts w:ascii="Times New Roman" w:cs="Times New Roman" w:eastAsia="Times New Roman" w:hAnsi="Times New Roman"/>
                <w:sz w:val="20"/>
                <w:szCs w:val="20"/>
                <w:color w:val="auto"/>
                <w:w w:val="98"/>
              </w:rPr>
              <w:t>As of December 31, 2025</w:t>
            </w:r>
          </w:p>
        </w:tc>
      </w:tr>
      <w:tr>
        <w:trPr>
          <w:trHeight w:val="669"/>
        </w:trPr>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33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20"/>
        </w:trPr>
        <w:tc>
          <w:tcPr>
            <w:tcW w:w="10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7"/>
        </w:trPr>
        <w:tc>
          <w:tcPr>
            <w:tcW w:w="35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Talkspace LLC</w:t>
            </w:r>
          </w:p>
        </w:tc>
        <w:tc>
          <w:tcPr>
            <w:tcW w:w="3360" w:type="dxa"/>
            <w:vAlign w:val="bottom"/>
          </w:tcPr>
          <w:p>
            <w:pPr>
              <w:spacing w:after="0"/>
              <w:rPr>
                <w:sz w:val="19"/>
                <w:szCs w:val="19"/>
                <w:color w:val="auto"/>
              </w:rPr>
            </w:pPr>
          </w:p>
        </w:tc>
        <w:tc>
          <w:tcPr>
            <w:tcW w:w="43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Delaware</w:t>
            </w:r>
          </w:p>
        </w:tc>
      </w:tr>
      <w:tr>
        <w:trPr>
          <w:trHeight w:val="230"/>
        </w:trPr>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Teenspace LLC</w:t>
            </w:r>
          </w:p>
        </w:tc>
        <w:tc>
          <w:tcPr>
            <w:tcW w:w="336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29"/>
        </w:trPr>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Sentia AI LLC</w:t>
            </w:r>
          </w:p>
        </w:tc>
        <w:tc>
          <w:tcPr>
            <w:tcW w:w="336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Groop Internet Platform Israel LTD</w:t>
            </w:r>
          </w:p>
        </w:tc>
        <w:tc>
          <w:tcPr>
            <w:tcW w:w="336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Israel</w:t>
            </w:r>
          </w:p>
        </w:tc>
      </w:tr>
      <w:tr>
        <w:trPr>
          <w:trHeight w:val="1769"/>
        </w:trPr>
        <w:tc>
          <w:tcPr>
            <w:tcW w:w="10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ind w:left="9380"/>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333-257686)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333-285763) pertaining to the 2021 Incentive Award Plan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333-277905) pertaining to the 2021 Incentive Award Plan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333-270825) pertaining to the 2021 Incentive Award Plan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333-263329) pertaining to the 2021 Incentive Award Plan and 2021 Employee Stock Purchase Plan of Talkspace, Inc.,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333-259165) pertaining to the 2014 Stock Incentive Plan, 2021 Incentive Award Plan and 2021 Employee Stock Purchase Plan of Talkspace, Inc.;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13, 2026, with respect to the consolidated financial statements of Talkspace, Inc. and the effectiveness of internal control over financial reporting of Talkspace, Inc. included in this Annual Report (Form 10-K) of Talkspace, Inc. for the year ended December 31,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R. Cohen, certify that:</w:t>
      </w:r>
    </w:p>
    <w:p>
      <w:pPr>
        <w:spacing w:after="0" w:line="225"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R. Cohen</w:t>
            </w:r>
          </w:p>
        </w:tc>
      </w:tr>
      <w:tr>
        <w:trPr>
          <w:trHeight w:val="191"/>
        </w:trPr>
        <w:tc>
          <w:tcPr>
            <w:tcW w:w="3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Harris, certify that:</w:t>
      </w:r>
    </w:p>
    <w:p>
      <w:pPr>
        <w:spacing w:after="0" w:line="225"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R. Cohen</w:t>
            </w:r>
          </w:p>
        </w:tc>
      </w:tr>
      <w:tr>
        <w:trPr>
          <w:trHeight w:val="191"/>
        </w:trPr>
        <w:tc>
          <w:tcPr>
            <w:tcW w:w="3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3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lowerLetter"/>
      <w:start w:val="1"/>
    </w:lvl>
    <w:lvl w:ilvl="1">
      <w:lvlJc w:val="left"/>
      <w:lvlText w:val="(%2)"/>
      <w:numFmt w:val="decimal"/>
      <w:start w:val="1"/>
    </w:lvl>
  </w:abstractNum>
  <w:abstractNum w:abstractNumId="30">
    <w:nsid w:val="39386575"/>
    <w:multiLevelType w:val="hybridMultilevel"/>
    <w:lvl w:ilvl="0">
      <w:lvlJc w:val="left"/>
      <w:lvlText w:val="(%1)"/>
      <w:numFmt w:val="lowerLetter"/>
      <w:start w:val="2"/>
    </w:lvl>
    <w:lvl w:ilvl="1">
      <w:lvlJc w:val="left"/>
      <w:lvlText w:val="%2"/>
      <w:numFmt w:val="decimal"/>
      <w:start w:val="1"/>
    </w:lvl>
  </w:abstractNum>
  <w:abstractNum w:abstractNumId="31">
    <w:nsid w:val="1CF10FD8"/>
    <w:multiLevelType w:val="hybridMultilevel"/>
    <w:lvl w:ilvl="0">
      <w:lvlJc w:val="left"/>
      <w:lvlText w:val="(%1)"/>
      <w:numFmt w:val="lowerLetter"/>
      <w:start w:val="3"/>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upperLetter"/>
      <w:start w:val="1"/>
    </w:lvl>
    <w:lvl w:ilvl="1">
      <w:lvlJc w:val="left"/>
      <w:lvlText w:val="•"/>
      <w:numFmt w:val="bullet"/>
      <w:start w:val="1"/>
    </w:lvl>
  </w:abstractNum>
  <w:abstractNum w:abstractNumId="35">
    <w:nsid w:val="354FE9F9"/>
    <w:multiLevelType w:val="hybridMultilevel"/>
    <w:lvl w:ilvl="0">
      <w:lvlJc w:val="left"/>
      <w:lvlText w:val="%1."/>
      <w:numFmt w:val="upperLetter"/>
      <w:start w:val="35"/>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upperLetter"/>
      <w:start w:val="6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upperLetter"/>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upperLetter"/>
      <w:start w:val="2"/>
    </w:lvl>
  </w:abstractNum>
  <w:abstractNum w:abstractNumId="43">
    <w:nsid w:val="77AE35EB"/>
    <w:multiLevelType w:val="hybridMultilevel"/>
    <w:lvl w:ilvl="0">
      <w:lvlJc w:val="left"/>
      <w:lvlText w:val="%1."/>
      <w:numFmt w:val="upperLetter"/>
      <w:start w:val="3"/>
    </w:lvl>
  </w:abstractNum>
  <w:abstractNum w:abstractNumId="44">
    <w:nsid w:val="579BE4F1"/>
    <w:multiLevelType w:val="hybridMultilevel"/>
    <w:lvl w:ilvl="0">
      <w:lvlJc w:val="left"/>
      <w:lvlText w:val="%1."/>
      <w:numFmt w:val="upperLetter"/>
      <w:start w:val="4"/>
    </w:lvl>
  </w:abstractNum>
  <w:abstractNum w:abstractNumId="45">
    <w:nsid w:val="310C50B3"/>
    <w:multiLevelType w:val="hybridMultilevel"/>
    <w:lvl w:ilvl="0">
      <w:lvlJc w:val="left"/>
      <w:lvlText w:val="%1."/>
      <w:numFmt w:val="upperLetter"/>
      <w:start w:val="5"/>
    </w:lvl>
  </w:abstractNum>
  <w:abstractNum w:abstractNumId="46">
    <w:nsid w:val="5FF87E05"/>
    <w:multiLevelType w:val="hybridMultilevel"/>
    <w:lvl w:ilvl="0">
      <w:lvlJc w:val="left"/>
      <w:lvlText w:val="•"/>
      <w:numFmt w:val="bullet"/>
      <w:start w:val="1"/>
    </w:lvl>
    <w:lvl w:ilvl="1">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upperLetter"/>
      <w:start w:val="6"/>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upperLetter"/>
      <w:start w:val="8"/>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upperLetter"/>
      <w:start w:val="1"/>
    </w:lvl>
  </w:abstractNum>
  <w:abstractNum w:abstractNumId="53">
    <w:nsid w:val="5DB70AE5"/>
    <w:multiLevelType w:val="hybridMultilevel"/>
    <w:lvl w:ilvl="0">
      <w:lvlJc w:val="left"/>
      <w:lvlText w:val="%1."/>
      <w:numFmt w:val="upperLetter"/>
      <w:start w:val="2"/>
    </w:lvl>
  </w:abstractNum>
  <w:abstractNum w:abstractNumId="54">
    <w:nsid w:val="100F8FCA"/>
    <w:multiLevelType w:val="hybridMultilevel"/>
    <w:lvl w:ilvl="0">
      <w:lvlJc w:val="left"/>
      <w:lvlText w:val="%1."/>
      <w:numFmt w:val="upperLetter"/>
      <w:start w:val="3"/>
    </w:lvl>
  </w:abstractNum>
  <w:abstractNum w:abstractNumId="55">
    <w:nsid w:val="6590700B"/>
    <w:multiLevelType w:val="hybridMultilevel"/>
    <w:lvl w:ilvl="0">
      <w:lvlJc w:val="left"/>
      <w:lvlText w:val="%1."/>
      <w:numFmt w:val="upperLetter"/>
      <w:start w:val="4"/>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2"/>
    </w:lvl>
  </w:abstractNum>
  <w:abstractNum w:abstractNumId="58">
    <w:nsid w:val="98A3148"/>
    <w:multiLevelType w:val="hybridMultilevel"/>
    <w:lvl w:ilvl="0">
      <w:lvlJc w:val="left"/>
      <w:lvlText w:val="%1."/>
      <w:numFmt w:val="upperLetter"/>
      <w:start w:val="5"/>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upperLetter"/>
      <w:start w:val="22"/>
    </w:lvl>
  </w:abstractNum>
  <w:abstractNum w:abstractNumId="61">
    <w:nsid w:val="42C296BD"/>
    <w:multiLevelType w:val="hybridMultilevel"/>
    <w:lvl w:ilvl="0">
      <w:lvlJc w:val="left"/>
      <w:lvlText w:val="%1."/>
      <w:numFmt w:val="upperLetter"/>
      <w:start w:val="1"/>
    </w:lvl>
  </w:abstractNum>
  <w:abstractNum w:abstractNumId="62">
    <w:nsid w:val="168E121F"/>
    <w:multiLevelType w:val="hybridMultilevel"/>
    <w:lvl w:ilvl="0">
      <w:lvlJc w:val="left"/>
      <w:lvlText w:val="%1."/>
      <w:numFmt w:val="upperLetter"/>
      <w:start w:val="2"/>
    </w:lvl>
  </w:abstractNum>
  <w:abstractNum w:abstractNumId="63">
    <w:nsid w:val="1EBA5D23"/>
    <w:multiLevelType w:val="hybridMultilevel"/>
    <w:lvl w:ilvl="0">
      <w:lvlJc w:val="left"/>
      <w:lvlText w:val="%1."/>
      <w:numFmt w:val="upperLetter"/>
      <w:start w:val="3"/>
    </w:lvl>
  </w:abstractNum>
  <w:abstractNum w:abstractNumId="64">
    <w:nsid w:val="661E3F1E"/>
    <w:multiLevelType w:val="hybridMultilevel"/>
    <w:lvl w:ilvl="0">
      <w:lvlJc w:val="left"/>
      <w:lvlText w:val="%1."/>
      <w:numFmt w:val="upperLetter"/>
      <w:start w:val="4"/>
    </w:lvl>
  </w:abstractNum>
  <w:abstractNum w:abstractNumId="65">
    <w:nsid w:val="5DC79EA8"/>
    <w:multiLevelType w:val="hybridMultilevel"/>
    <w:lvl w:ilvl="0">
      <w:lvlJc w:val="left"/>
      <w:lvlText w:val="%1."/>
      <w:numFmt w:val="upperLetter"/>
      <w:start w:val="5"/>
    </w:lvl>
  </w:abstractNum>
  <w:abstractNum w:abstractNumId="66">
    <w:nsid w:val="540A471C"/>
    <w:multiLevelType w:val="hybridMultilevel"/>
    <w:lvl w:ilvl="0">
      <w:lvlJc w:val="left"/>
      <w:lvlText w:val="%1."/>
      <w:numFmt w:val="upperLetter"/>
      <w:start w:val="6"/>
    </w:lvl>
  </w:abstractNum>
  <w:abstractNum w:abstractNumId="67">
    <w:nsid w:val="7BD3EE7B"/>
    <w:multiLevelType w:val="hybridMultilevel"/>
    <w:lvl w:ilvl="0">
      <w:lvlJc w:val="left"/>
      <w:lvlText w:val="%1."/>
      <w:numFmt w:val="upperLetter"/>
      <w:start w:val="1"/>
    </w:lvl>
  </w:abstractNum>
  <w:abstractNum w:abstractNumId="68">
    <w:nsid w:val="51D9C564"/>
    <w:multiLevelType w:val="hybridMultilevel"/>
    <w:lvl w:ilvl="0">
      <w:lvlJc w:val="left"/>
      <w:lvlText w:val="•"/>
      <w:numFmt w:val="bullet"/>
      <w:start w:val="1"/>
    </w:lvl>
    <w:lvl w:ilvl="1">
      <w:lvlJc w:val="left"/>
      <w:lvlText w:val="•"/>
      <w:numFmt w:val="bullet"/>
      <w:start w:val="1"/>
    </w:lvl>
  </w:abstractNum>
  <w:abstractNum w:abstractNumId="69">
    <w:nsid w:val="613EFDC5"/>
    <w:multiLevelType w:val="hybridMultilevel"/>
    <w:lvl w:ilvl="0">
      <w:lvlJc w:val="left"/>
      <w:lvlText w:val="%1."/>
      <w:numFmt w:val="upperLetter"/>
      <w:start w:val="2"/>
    </w:lvl>
  </w:abstractNum>
  <w:abstractNum w:abstractNumId="70">
    <w:nsid w:val="BF72B14"/>
    <w:multiLevelType w:val="hybridMultilevel"/>
    <w:lvl w:ilvl="0">
      <w:lvlJc w:val="left"/>
      <w:lvlText w:val="%1."/>
      <w:numFmt w:val="upperLetter"/>
      <w:start w:val="3"/>
    </w:lvl>
  </w:abstractNum>
  <w:abstractNum w:abstractNumId="71">
    <w:nsid w:val="11447B73"/>
    <w:multiLevelType w:val="hybridMultilevel"/>
    <w:lvl w:ilvl="0">
      <w:lvlJc w:val="left"/>
      <w:lvlText w:val="%1."/>
      <w:numFmt w:val="upperLetter"/>
      <w:start w:val="4"/>
    </w:lvl>
  </w:abstractNum>
  <w:abstractNum w:abstractNumId="72">
    <w:nsid w:val="42963E5A"/>
    <w:multiLevelType w:val="hybridMultilevel"/>
    <w:lvl w:ilvl="0">
      <w:lvlJc w:val="left"/>
      <w:lvlText w:val="%1."/>
      <w:numFmt w:val="upperLetter"/>
      <w:start w:val="5"/>
    </w:lvl>
  </w:abstractNum>
  <w:abstractNum w:abstractNumId="73">
    <w:nsid w:val="A0382C5"/>
    <w:multiLevelType w:val="hybridMultilevel"/>
    <w:lvl w:ilvl="0">
      <w:lvlJc w:val="left"/>
      <w:lvlText w:val="%1."/>
      <w:numFmt w:val="upperLetter"/>
      <w:start w:val="6"/>
    </w:lvl>
  </w:abstractNum>
  <w:abstractNum w:abstractNumId="74">
    <w:nsid w:val="8F2B15E"/>
    <w:multiLevelType w:val="hybridMultilevel"/>
    <w:lvl w:ilvl="0">
      <w:lvlJc w:val="left"/>
      <w:lvlText w:val="%1."/>
      <w:numFmt w:val="upperLetter"/>
      <w:start w:val="7"/>
    </w:lvl>
  </w:abstractNum>
  <w:abstractNum w:abstractNumId="75">
    <w:nsid w:val="1A32234B"/>
    <w:multiLevelType w:val="hybridMultilevel"/>
    <w:lvl w:ilvl="0">
      <w:lvlJc w:val="left"/>
      <w:lvlText w:val="%1."/>
      <w:numFmt w:val="upperLetter"/>
      <w:start w:val="8"/>
    </w:lvl>
  </w:abstractNum>
  <w:abstractNum w:abstractNumId="76">
    <w:nsid w:val="3B0FD379"/>
    <w:multiLevelType w:val="hybridMultilevel"/>
    <w:lvl w:ilvl="0">
      <w:lvlJc w:val="left"/>
      <w:lvlText w:val="%1."/>
      <w:numFmt w:val="upperLetter"/>
      <w:start w:val="9"/>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382" Type="http://schemas.openxmlformats.org/officeDocument/2006/relationships/hyperlink" Target="https://www.sec.gov/Archives/edgar/data/1803901/000119312521025013/d119648ds4.htm#rom119648_45" TargetMode="External"/><Relationship Id="rId383" Type="http://schemas.openxmlformats.org/officeDocument/2006/relationships/hyperlink" Target="https://www.sec.gov/Archives/edgar/data/1803901/000119312521197385/d182715dex31.htm" TargetMode="External"/><Relationship Id="rId384" Type="http://schemas.openxmlformats.org/officeDocument/2006/relationships/hyperlink" Target="https://www.sec.gov/Archives/edgar/data/1803901/000119312521197385/d182715dex32.htm" TargetMode="External"/><Relationship Id="rId385" Type="http://schemas.openxmlformats.org/officeDocument/2006/relationships/hyperlink" Target="https://www.sec.gov/Archives/edgar/data/0001803901/000119312520166711/d937996dex41.htm" TargetMode="External"/><Relationship Id="rId386" Type="http://schemas.openxmlformats.org/officeDocument/2006/relationships/hyperlink" Target="https://www.sec.gov/Archives/edgar/data/0001803901/000119312520161434/d846732dex43.htm" TargetMode="External"/><Relationship Id="rId387" Type="http://schemas.openxmlformats.org/officeDocument/2006/relationships/hyperlink" Target="https://www.sec.gov/Archives/edgar/data/0001803901/000119312521167533/d119648dex45.htm" TargetMode="External"/><Relationship Id="rId388" Type="http://schemas.openxmlformats.org/officeDocument/2006/relationships/hyperlink" Target="https://www.sec.gov/Archives/edgar/data/1803901/000095017022002102/talk-ex4_4.htm" TargetMode="External"/><Relationship Id="rId389" Type="http://schemas.openxmlformats.org/officeDocument/2006/relationships/hyperlink" Target="https://www.sec.gov/Archives/edgar/data/0001803901/000119312521260654/d552255dex991.htm" TargetMode="External"/><Relationship Id="rId390" Type="http://schemas.openxmlformats.org/officeDocument/2006/relationships/hyperlink" Target="https://www.sec.gov/Archives/edgar/data/0001803901/000119312521260654/d552255dex992.htm" TargetMode="External"/><Relationship Id="rId391" Type="http://schemas.openxmlformats.org/officeDocument/2006/relationships/hyperlink" Target="https://www.sec.gov/Archives/edgar/data/0001803901/000119312521260654/d552255dex993.htm" TargetMode="External"/><Relationship Id="rId392" Type="http://schemas.openxmlformats.org/officeDocument/2006/relationships/hyperlink" Target="https://www.sec.gov/Archives/edgar/data/0001803901/000119312521197353/d136958dex101.htm" TargetMode="External"/><Relationship Id="rId393" Type="http://schemas.openxmlformats.org/officeDocument/2006/relationships/hyperlink" Target="https://www.sec.gov/Archives/edgar/data/0001803901/000119312521197353/d136958dex102.htm" TargetMode="External"/><Relationship Id="rId394" Type="http://schemas.openxmlformats.org/officeDocument/2006/relationships/hyperlink" Target="https://www.sec.gov/Archives/edgar/data/1803901/000119312521197385/d182715dex103.htm" TargetMode="External"/><Relationship Id="rId395" Type="http://schemas.openxmlformats.org/officeDocument/2006/relationships/hyperlink" Target="https://www.sec.gov/Archives/edgar/data/0001803901/000119312521197353/d136958dex107a.htm" TargetMode="External"/><Relationship Id="rId396" Type="http://schemas.openxmlformats.org/officeDocument/2006/relationships/hyperlink" Target="https://www.sec.gov/Archives/edgar/data/0001803901/000119312521197353/d136958dex107b.htm" TargetMode="External"/><Relationship Id="rId397" Type="http://schemas.openxmlformats.org/officeDocument/2006/relationships/hyperlink" Target="https://www.sec.gov/Archives/edgar/data/0001803901/000119312521197353/d136958dex109.htm" TargetMode="External"/><Relationship Id="rId398" Type="http://schemas.openxmlformats.org/officeDocument/2006/relationships/hyperlink" Target="https://www.sec.gov/Archives/edgar/data/1803901/000095017022002102/talk-ex10_16.htm" TargetMode="External"/><Relationship Id="rId399" Type="http://schemas.openxmlformats.org/officeDocument/2006/relationships/hyperlink" Target="https://www.sec.gov/Archives/edgar/data/1803901/000095017022002102/talk-ex10_18.htm" TargetMode="External"/><Relationship Id="rId400" Type="http://schemas.openxmlformats.org/officeDocument/2006/relationships/hyperlink" Target="https://www.sec.gov/Archives/edgar/data/1803901/000095017022002102/talk-ex10_19.htm" TargetMode="External"/><Relationship Id="rId401" Type="http://schemas.openxmlformats.org/officeDocument/2006/relationships/hyperlink" Target="https://www.sec.gov/Archives/edgar/data/1803901/000095017022002102/talk-ex10_21.htm" TargetMode="External"/><Relationship Id="rId402" Type="http://schemas.openxmlformats.org/officeDocument/2006/relationships/hyperlink" Target="https://www.sec.gov/Archives/edgar/data/1803901/000095017023007147/talk-ex10_22.htm" TargetMode="External"/><Relationship Id="rId403" Type="http://schemas.openxmlformats.org/officeDocument/2006/relationships/hyperlink" Target="https://www.sec.gov/Archives/edgar/data/1803901/000095017024030872/talk-ex10_23.htm" TargetMode="External"/><Relationship Id="rId404" Type="http://schemas.openxmlformats.org/officeDocument/2006/relationships/hyperlink" Target="https://www.sec.gov/Archives/edgar/data/1803901/000095017024030872/talk-ex97_1.htm" TargetMode="External"/><Relationship Id="rId405" Type="http://schemas.openxmlformats.org/officeDocument/2006/relationships/hyperlink" Target="https://www.sec.gov/Archives/edgar/data/1803901/000095017024094085/talk-ex10_24.htm" TargetMode="External"/><Relationship Id="rId406" Type="http://schemas.openxmlformats.org/officeDocument/2006/relationships/hyperlink" Target="https://www.sec.gov/Archives/edgar/data/1803901/000095015726000267/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2026-03-13T08:12:16Z</dcterms:created>
  <dcterms:modified xsi:type="dcterms:W3CDTF">2026-03-13T08:12:16Z</dcterms:modified>
</cp:coreProperties>
</file>