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Section14(a) of the</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HUDSON EXECUTIVE INVESTMENT CORP.</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right="22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-3336290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-3002280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-2530475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-2196465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-1861820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-876300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-507365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229235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391795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434975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May 28, 2021</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FOR</w:t>
      </w:r>
    </w:p>
    <w:p>
      <w:pPr>
        <w:ind w:left="4100"/>
        <w:spacing w:after="0" w:line="226" w:lineRule="auto"/>
        <w:rPr>
          <w:sz w:val="20"/>
          <w:szCs w:val="20"/>
          <w:color w:val="auto"/>
        </w:rPr>
      </w:pPr>
      <w:r>
        <w:rPr>
          <w:rFonts w:ascii="Arial" w:cs="Arial" w:eastAsia="Arial" w:hAnsi="Arial"/>
          <w:sz w:val="14"/>
          <w:szCs w:val="14"/>
          <w:b w:val="1"/>
          <w:bCs w:val="1"/>
          <w:color w:val="auto"/>
        </w:rPr>
        <w:t>SPECIAL MEETING OF STOCKHOLDERS OF</w:t>
      </w:r>
    </w:p>
    <w:p>
      <w:pPr>
        <w:ind w:left="4140"/>
        <w:spacing w:after="0" w:line="221" w:lineRule="auto"/>
        <w:rPr>
          <w:sz w:val="20"/>
          <w:szCs w:val="20"/>
          <w:color w:val="auto"/>
        </w:rPr>
      </w:pPr>
      <w:r>
        <w:rPr>
          <w:rFonts w:ascii="Arial" w:cs="Arial" w:eastAsia="Arial" w:hAnsi="Arial"/>
          <w:sz w:val="14"/>
          <w:szCs w:val="14"/>
          <w:b w:val="1"/>
          <w:bCs w:val="1"/>
          <w:color w:val="auto"/>
        </w:rPr>
        <w:t>HUDSON EXECUTIVE INVESTMENT CORP.</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(A DELAWARE CORPORATION)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PROSPECTUS FOR 129,430,805 SHARES OF COMMON STOCK OF HUDSON EXECUTIVE INVESTMENT CORP. WHICH WILL BE RENAMED “TALKSPACE, INC.”</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CONNECTION WITH THE BUSINESS COMBINATION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0"/>
          <w:szCs w:val="20"/>
          <w:color w:val="auto"/>
        </w:rPr>
      </w:pPr>
    </w:p>
    <w:p>
      <w:pPr>
        <w:ind w:left="120"/>
        <w:spacing w:after="0" w:line="245" w:lineRule="auto"/>
        <w:rPr>
          <w:sz w:val="20"/>
          <w:szCs w:val="20"/>
          <w:color w:val="auto"/>
        </w:rPr>
      </w:pPr>
      <w:r>
        <w:rPr>
          <w:rFonts w:ascii="Arial" w:cs="Arial" w:eastAsia="Arial" w:hAnsi="Arial"/>
          <w:sz w:val="13"/>
          <w:szCs w:val="13"/>
          <w:color w:val="auto"/>
        </w:rPr>
        <w:t>The board of directors of Hudson Executive Investment Corp., a Delaware corporation (“</w:t>
      </w:r>
      <w:r>
        <w:rPr>
          <w:rFonts w:ascii="Arial" w:cs="Arial" w:eastAsia="Arial" w:hAnsi="Arial"/>
          <w:sz w:val="13"/>
          <w:szCs w:val="13"/>
          <w:i w:val="1"/>
          <w:iCs w:val="1"/>
          <w:color w:val="auto"/>
        </w:rPr>
        <w:t>HEC</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or “</w:t>
      </w:r>
      <w:r>
        <w:rPr>
          <w:rFonts w:ascii="Arial" w:cs="Arial" w:eastAsia="Arial" w:hAnsi="Arial"/>
          <w:sz w:val="13"/>
          <w:szCs w:val="13"/>
          <w:i w:val="1"/>
          <w:iCs w:val="1"/>
          <w:color w:val="auto"/>
        </w:rPr>
        <w:t>our</w:t>
      </w:r>
      <w:r>
        <w:rPr>
          <w:rFonts w:ascii="Arial" w:cs="Arial" w:eastAsia="Arial" w:hAnsi="Arial"/>
          <w:sz w:val="13"/>
          <w:szCs w:val="13"/>
          <w:color w:val="auto"/>
        </w:rPr>
        <w:t>”), has unanimously approved (1) each of the mergers of (x) Tailwind Merger Sub I, Inc., a Delaware corporation and a direct wholly owned subsidiary of HEC (“</w:t>
      </w:r>
      <w:r>
        <w:rPr>
          <w:rFonts w:ascii="Arial" w:cs="Arial" w:eastAsia="Arial" w:hAnsi="Arial"/>
          <w:sz w:val="13"/>
          <w:szCs w:val="13"/>
          <w:i w:val="1"/>
          <w:iCs w:val="1"/>
          <w:color w:val="auto"/>
        </w:rPr>
        <w:t>First Merger Sub</w:t>
      </w:r>
      <w:r>
        <w:rPr>
          <w:rFonts w:ascii="Arial" w:cs="Arial" w:eastAsia="Arial" w:hAnsi="Arial"/>
          <w:sz w:val="13"/>
          <w:szCs w:val="13"/>
          <w:color w:val="auto"/>
        </w:rPr>
        <w:t>”), with and into Groop Internet Platform, Inc. (d/b/a “Talkspace”), a Delaware corporation (“</w:t>
      </w:r>
      <w:r>
        <w:rPr>
          <w:rFonts w:ascii="Arial" w:cs="Arial" w:eastAsia="Arial" w:hAnsi="Arial"/>
          <w:sz w:val="13"/>
          <w:szCs w:val="13"/>
          <w:i w:val="1"/>
          <w:iCs w:val="1"/>
          <w:color w:val="auto"/>
        </w:rPr>
        <w:t>Talkspace</w:t>
      </w:r>
      <w:r>
        <w:rPr>
          <w:rFonts w:ascii="Arial" w:cs="Arial" w:eastAsia="Arial" w:hAnsi="Arial"/>
          <w:sz w:val="13"/>
          <w:szCs w:val="13"/>
          <w:color w:val="auto"/>
        </w:rPr>
        <w:t>”) (the “</w:t>
      </w:r>
      <w:r>
        <w:rPr>
          <w:rFonts w:ascii="Arial" w:cs="Arial" w:eastAsia="Arial" w:hAnsi="Arial"/>
          <w:sz w:val="13"/>
          <w:szCs w:val="13"/>
          <w:i w:val="1"/>
          <w:iCs w:val="1"/>
          <w:color w:val="auto"/>
        </w:rPr>
        <w:t>First Merger</w:t>
      </w:r>
      <w:r>
        <w:rPr>
          <w:rFonts w:ascii="Arial" w:cs="Arial" w:eastAsia="Arial" w:hAnsi="Arial"/>
          <w:sz w:val="13"/>
          <w:szCs w:val="13"/>
          <w:color w:val="auto"/>
        </w:rPr>
        <w:t>”), with Talkspace surviving the First Merger, and (y) immediately following the First Merger and as part of the same overall transaction as the First Merger, Talkspace to be merged with and into Tailwind Merger Sub II, LLC, a Delaware limited liability company (“</w:t>
      </w:r>
      <w:r>
        <w:rPr>
          <w:rFonts w:ascii="Arial" w:cs="Arial" w:eastAsia="Arial" w:hAnsi="Arial"/>
          <w:sz w:val="13"/>
          <w:szCs w:val="13"/>
          <w:i w:val="1"/>
          <w:iCs w:val="1"/>
          <w:color w:val="auto"/>
        </w:rPr>
        <w:t>Second Merger Sub</w:t>
      </w:r>
      <w:r>
        <w:rPr>
          <w:rFonts w:ascii="Arial" w:cs="Arial" w:eastAsia="Arial" w:hAnsi="Arial"/>
          <w:sz w:val="13"/>
          <w:szCs w:val="13"/>
          <w:color w:val="auto"/>
        </w:rPr>
        <w:t>”), with Second Merger Sub surviving the merger as a wholly owned subsidiary of HEC, in each case, pursuant to the terms of the Agreement and Plan of Merger, dated as of January 12, 2021 (the “</w:t>
      </w:r>
      <w:r>
        <w:rPr>
          <w:rFonts w:ascii="Arial" w:cs="Arial" w:eastAsia="Arial" w:hAnsi="Arial"/>
          <w:sz w:val="13"/>
          <w:szCs w:val="13"/>
          <w:i w:val="1"/>
          <w:iCs w:val="1"/>
          <w:color w:val="auto"/>
        </w:rPr>
        <w:t>Merger Agreement</w:t>
      </w:r>
      <w:r>
        <w:rPr>
          <w:rFonts w:ascii="Arial" w:cs="Arial" w:eastAsia="Arial" w:hAnsi="Arial"/>
          <w:sz w:val="13"/>
          <w:szCs w:val="13"/>
          <w:color w:val="auto"/>
        </w:rPr>
        <w:t>”), by and among HEC, Talkspace, First Merger Sub, and Second Merger Sub (the “</w:t>
      </w:r>
      <w:r>
        <w:rPr>
          <w:rFonts w:ascii="Arial" w:cs="Arial" w:eastAsia="Arial" w:hAnsi="Arial"/>
          <w:sz w:val="13"/>
          <w:szCs w:val="13"/>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attached to this proxy statement/prospectus as </w:t>
      </w:r>
      <w:r>
        <w:rPr>
          <w:rFonts w:ascii="Arial" w:cs="Arial" w:eastAsia="Arial" w:hAnsi="Arial"/>
          <w:sz w:val="13"/>
          <w:szCs w:val="13"/>
          <w:i w:val="1"/>
          <w:iCs w:val="1"/>
          <w:color w:val="auto"/>
        </w:rPr>
        <w:t>Annex A</w:t>
      </w:r>
      <w:r>
        <w:rPr>
          <w:rFonts w:ascii="Arial" w:cs="Arial" w:eastAsia="Arial" w:hAnsi="Arial"/>
          <w:sz w:val="13"/>
          <w:szCs w:val="13"/>
          <w:color w:val="auto"/>
        </w:rPr>
        <w:t>, as more fully described elsewhere in this proxy statement/prospectus; and (2) the other transactions contemplated by the Merger Agreement (together with the business combination,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 “</w:t>
      </w:r>
      <w:r>
        <w:rPr>
          <w:rFonts w:ascii="Arial" w:cs="Arial" w:eastAsia="Arial" w:hAnsi="Arial"/>
          <w:sz w:val="13"/>
          <w:szCs w:val="13"/>
          <w:i w:val="1"/>
          <w:iCs w:val="1"/>
          <w:color w:val="auto"/>
        </w:rPr>
        <w:t>Transactions</w:t>
      </w:r>
      <w:r>
        <w:rPr>
          <w:rFonts w:ascii="Arial" w:cs="Arial" w:eastAsia="Arial" w:hAnsi="Arial"/>
          <w:sz w:val="13"/>
          <w:szCs w:val="13"/>
          <w:color w:val="auto"/>
        </w:rPr>
        <w:t>”). In connection with the business combination, HEC will change its name to “Talkspace, Inc.”</w:t>
      </w:r>
    </w:p>
    <w:p>
      <w:pPr>
        <w:spacing w:after="0" w:line="75" w:lineRule="exact"/>
        <w:rPr>
          <w:sz w:val="20"/>
          <w:szCs w:val="20"/>
          <w:color w:val="auto"/>
        </w:rPr>
      </w:pPr>
    </w:p>
    <w:p>
      <w:pPr>
        <w:ind w:left="120" w:right="40"/>
        <w:spacing w:after="0" w:line="261" w:lineRule="auto"/>
        <w:rPr>
          <w:sz w:val="20"/>
          <w:szCs w:val="20"/>
          <w:color w:val="auto"/>
        </w:rPr>
      </w:pPr>
      <w:r>
        <w:rPr>
          <w:rFonts w:ascii="Arial" w:cs="Arial" w:eastAsia="Arial" w:hAnsi="Arial"/>
          <w:sz w:val="12"/>
          <w:szCs w:val="12"/>
          <w:color w:val="auto"/>
        </w:rPr>
        <w:t>As a result of and upon the Closing (as defined below), among other things, and as more fully described elsewhere in this proxy statement/prospectus, all shares of Talkspace common stock and Talkspace preferred stock (as defined herein) (collectively, “</w:t>
      </w:r>
      <w:r>
        <w:rPr>
          <w:rFonts w:ascii="Arial" w:cs="Arial" w:eastAsia="Arial" w:hAnsi="Arial"/>
          <w:sz w:val="12"/>
          <w:szCs w:val="12"/>
          <w:i w:val="1"/>
          <w:iCs w:val="1"/>
          <w:color w:val="auto"/>
        </w:rPr>
        <w:t>Talkspace stock</w:t>
      </w:r>
      <w:r>
        <w:rPr>
          <w:rFonts w:ascii="Arial" w:cs="Arial" w:eastAsia="Arial" w:hAnsi="Arial"/>
          <w:sz w:val="12"/>
          <w:szCs w:val="12"/>
          <w:color w:val="auto"/>
        </w:rPr>
        <w:t>”) and all vested options exercisable for common stock of Talkspace outstanding as of immediately prior to Closing (“</w:t>
      </w:r>
      <w:r>
        <w:rPr>
          <w:rFonts w:ascii="Arial" w:cs="Arial" w:eastAsia="Arial" w:hAnsi="Arial"/>
          <w:sz w:val="12"/>
          <w:szCs w:val="12"/>
          <w:i w:val="1"/>
          <w:iCs w:val="1"/>
          <w:color w:val="auto"/>
        </w:rPr>
        <w:t>Vested Talkspace Options</w:t>
      </w:r>
      <w:r>
        <w:rPr>
          <w:rFonts w:ascii="Arial" w:cs="Arial" w:eastAsia="Arial" w:hAnsi="Arial"/>
          <w:sz w:val="12"/>
          <w:szCs w:val="12"/>
          <w:color w:val="auto"/>
        </w:rPr>
        <w:t>”) will be cancelled or assumed, as applicable, and converted into the right to receive, at the election of the holders thereof, a number of shares of common stock of Talkspace, Inc. (“</w:t>
      </w:r>
      <w:r>
        <w:rPr>
          <w:rFonts w:ascii="Arial" w:cs="Arial" w:eastAsia="Arial" w:hAnsi="Arial"/>
          <w:sz w:val="12"/>
          <w:szCs w:val="12"/>
          <w:i w:val="1"/>
          <w:iCs w:val="1"/>
          <w:color w:val="auto"/>
        </w:rPr>
        <w:t>Talkspace, Inc. common stock</w:t>
      </w:r>
      <w:r>
        <w:rPr>
          <w:rFonts w:ascii="Arial" w:cs="Arial" w:eastAsia="Arial" w:hAnsi="Arial"/>
          <w:sz w:val="12"/>
          <w:szCs w:val="12"/>
          <w:color w:val="auto"/>
        </w:rPr>
        <w:t>”) or a combination of shares of Talkspace, Inc. common stock and cash, in each case, as adjusted pursuant to the terms of the Merger Agreement, which in the aggregate with the unvested options to acquire common stock of Talkspace to be assumed by Talkspace, Inc. in exchange for options to acquire Talkspace, Inc. common stock (“</w:t>
      </w:r>
      <w:r>
        <w:rPr>
          <w:rFonts w:ascii="Arial" w:cs="Arial" w:eastAsia="Arial" w:hAnsi="Arial"/>
          <w:sz w:val="12"/>
          <w:szCs w:val="12"/>
          <w:i w:val="1"/>
          <w:iCs w:val="1"/>
          <w:color w:val="auto"/>
        </w:rPr>
        <w:t>Unvested Talkspace Options</w:t>
      </w:r>
      <w:r>
        <w:rPr>
          <w:rFonts w:ascii="Arial" w:cs="Arial" w:eastAsia="Arial" w:hAnsi="Arial"/>
          <w:sz w:val="12"/>
          <w:szCs w:val="12"/>
          <w:color w:val="auto"/>
        </w:rPr>
        <w:t>”, and together with Vested Talkspace Options, “</w:t>
      </w:r>
      <w:r>
        <w:rPr>
          <w:rFonts w:ascii="Arial" w:cs="Arial" w:eastAsia="Arial" w:hAnsi="Arial"/>
          <w:sz w:val="12"/>
          <w:szCs w:val="12"/>
          <w:i w:val="1"/>
          <w:iCs w:val="1"/>
          <w:color w:val="auto"/>
        </w:rPr>
        <w:t>Talkspace Options</w:t>
      </w:r>
      <w:r>
        <w:rPr>
          <w:rFonts w:ascii="Arial" w:cs="Arial" w:eastAsia="Arial" w:hAnsi="Arial"/>
          <w:sz w:val="12"/>
          <w:szCs w:val="12"/>
          <w:color w:val="auto"/>
        </w:rPr>
        <w:t>”), will equal $1,400,000,000, reduced by certain deductions for the parties’ transaction expenses and the value (the “</w:t>
      </w:r>
      <w:r>
        <w:rPr>
          <w:rFonts w:ascii="Arial" w:cs="Arial" w:eastAsia="Arial" w:hAnsi="Arial"/>
          <w:sz w:val="12"/>
          <w:szCs w:val="12"/>
          <w:i w:val="1"/>
          <w:iCs w:val="1"/>
          <w:color w:val="auto"/>
        </w:rPr>
        <w:t>Sponsor Share Amount</w:t>
      </w:r>
      <w:r>
        <w:rPr>
          <w:rFonts w:ascii="Arial" w:cs="Arial" w:eastAsia="Arial" w:hAnsi="Arial"/>
          <w:sz w:val="12"/>
          <w:szCs w:val="12"/>
          <w:color w:val="auto"/>
        </w:rPr>
        <w:t>”) of the shares of HEC’s Class B common stock held by HEC Sponsor LLC (the “</w:t>
      </w:r>
      <w:r>
        <w:rPr>
          <w:rFonts w:ascii="Arial" w:cs="Arial" w:eastAsia="Arial" w:hAnsi="Arial"/>
          <w:sz w:val="12"/>
          <w:szCs w:val="12"/>
          <w:i w:val="1"/>
          <w:iCs w:val="1"/>
          <w:color w:val="auto"/>
        </w:rPr>
        <w:t>Sponsor</w:t>
      </w:r>
      <w:r>
        <w:rPr>
          <w:rFonts w:ascii="Arial" w:cs="Arial" w:eastAsia="Arial" w:hAnsi="Arial"/>
          <w:sz w:val="12"/>
          <w:szCs w:val="12"/>
          <w:color w:val="auto"/>
        </w:rPr>
        <w:t>”) immediately prior to the consummation of the Transactions (the “</w:t>
      </w:r>
      <w:r>
        <w:rPr>
          <w:rFonts w:ascii="Arial" w:cs="Arial" w:eastAsia="Arial" w:hAnsi="Arial"/>
          <w:sz w:val="12"/>
          <w:szCs w:val="12"/>
          <w:i w:val="1"/>
          <w:iCs w:val="1"/>
          <w:color w:val="auto"/>
        </w:rPr>
        <w:t>Closing Merger Consideration</w:t>
      </w:r>
      <w:r>
        <w:rPr>
          <w:rFonts w:ascii="Arial" w:cs="Arial" w:eastAsia="Arial" w:hAnsi="Arial"/>
          <w:sz w:val="12"/>
          <w:szCs w:val="12"/>
          <w:color w:val="auto"/>
        </w:rPr>
        <w:t>”). The maximum amount of cash (the “</w:t>
      </w:r>
      <w:r>
        <w:rPr>
          <w:rFonts w:ascii="Arial" w:cs="Arial" w:eastAsia="Arial" w:hAnsi="Arial"/>
          <w:sz w:val="12"/>
          <w:szCs w:val="12"/>
          <w:i w:val="1"/>
          <w:iCs w:val="1"/>
          <w:color w:val="auto"/>
        </w:rPr>
        <w:t>Closing Cash Consideration</w:t>
      </w:r>
      <w:r>
        <w:rPr>
          <w:rFonts w:ascii="Arial" w:cs="Arial" w:eastAsia="Arial" w:hAnsi="Arial"/>
          <w:sz w:val="12"/>
          <w:szCs w:val="12"/>
          <w:color w:val="auto"/>
        </w:rPr>
        <w:t xml:space="preserve">”)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2"/>
          <w:szCs w:val="12"/>
          <w:i w:val="1"/>
          <w:iCs w:val="1"/>
          <w:color w:val="auto"/>
        </w:rPr>
        <w:t>plus</w:t>
      </w:r>
      <w:r>
        <w:rPr>
          <w:rFonts w:ascii="Arial" w:cs="Arial" w:eastAsia="Arial" w:hAnsi="Arial"/>
          <w:sz w:val="12"/>
          <w:szCs w:val="12"/>
          <w:color w:val="auto"/>
        </w:rPr>
        <w:t xml:space="preserve"> (ii) the amounts received by HEC upon the consummation of the PIPE Investment and the transactions contemplated under the HEC Forward Purchase Agreement, </w:t>
      </w:r>
      <w:r>
        <w:rPr>
          <w:rFonts w:ascii="Arial" w:cs="Arial" w:eastAsia="Arial" w:hAnsi="Arial"/>
          <w:sz w:val="12"/>
          <w:szCs w:val="12"/>
          <w:i w:val="1"/>
          <w:iCs w:val="1"/>
          <w:color w:val="auto"/>
        </w:rPr>
        <w:t>minus</w:t>
      </w:r>
      <w:r>
        <w:rPr>
          <w:rFonts w:ascii="Arial" w:cs="Arial" w:eastAsia="Arial" w:hAnsi="Arial"/>
          <w:sz w:val="12"/>
          <w:szCs w:val="12"/>
          <w:color w:val="auto"/>
        </w:rPr>
        <w:t xml:space="preserve"> (iii) $250,000,000,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(iv) the transaction expenses of the parties to the Merger Agreement. The maximum number of shares (the “</w:t>
      </w:r>
      <w:r>
        <w:rPr>
          <w:rFonts w:ascii="Arial" w:cs="Arial" w:eastAsia="Arial" w:hAnsi="Arial"/>
          <w:sz w:val="12"/>
          <w:szCs w:val="12"/>
          <w:i w:val="1"/>
          <w:iCs w:val="1"/>
          <w:color w:val="auto"/>
        </w:rPr>
        <w:t>Closing Share Consideration</w:t>
      </w:r>
      <w:r>
        <w:rPr>
          <w:rFonts w:ascii="Arial" w:cs="Arial" w:eastAsia="Arial" w:hAnsi="Arial"/>
          <w:sz w:val="12"/>
          <w:szCs w:val="12"/>
          <w:color w:val="auto"/>
        </w:rPr>
        <w:t xml:space="preserve">”) of Talkspace, Inc.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w:t>
      </w:r>
      <w:r>
        <w:rPr>
          <w:rFonts w:ascii="Arial" w:cs="Arial" w:eastAsia="Arial" w:hAnsi="Arial"/>
          <w:sz w:val="12"/>
          <w:szCs w:val="12"/>
          <w:i w:val="1"/>
          <w:iCs w:val="1"/>
          <w:color w:val="auto"/>
        </w:rPr>
        <w:t>minus</w:t>
      </w:r>
    </w:p>
    <w:p>
      <w:pPr>
        <w:spacing w:after="0" w:line="141" w:lineRule="exact"/>
        <w:rPr>
          <w:sz w:val="20"/>
          <w:szCs w:val="20"/>
          <w:color w:val="auto"/>
        </w:rPr>
      </w:pPr>
    </w:p>
    <w:p>
      <w:pPr>
        <w:ind w:left="320" w:hanging="204"/>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the Closing Cash Consideration, </w:t>
      </w:r>
      <w:r>
        <w:rPr>
          <w:rFonts w:ascii="Arial" w:cs="Arial" w:eastAsia="Arial" w:hAnsi="Arial"/>
          <w:sz w:val="13"/>
          <w:szCs w:val="13"/>
          <w:i w:val="1"/>
          <w:iCs w:val="1"/>
          <w:color w:val="auto"/>
        </w:rPr>
        <w:t>minus</w:t>
      </w:r>
      <w:r>
        <w:rPr>
          <w:rFonts w:ascii="Arial" w:cs="Arial" w:eastAsia="Arial" w:hAnsi="Arial"/>
          <w:sz w:val="13"/>
          <w:szCs w:val="13"/>
          <w:color w:val="auto"/>
        </w:rPr>
        <w:t xml:space="preserve"> (iii) the Sponsor Share Amount, </w:t>
      </w:r>
      <w:r>
        <w:rPr>
          <w:rFonts w:ascii="Arial" w:cs="Arial" w:eastAsia="Arial" w:hAnsi="Arial"/>
          <w:sz w:val="13"/>
          <w:szCs w:val="13"/>
          <w:i w:val="1"/>
          <w:iCs w:val="1"/>
          <w:color w:val="auto"/>
        </w:rPr>
        <w:t>minus</w:t>
      </w:r>
      <w:r>
        <w:rPr>
          <w:rFonts w:ascii="Arial" w:cs="Arial" w:eastAsia="Arial" w:hAnsi="Arial"/>
          <w:sz w:val="13"/>
          <w:szCs w:val="13"/>
          <w:color w:val="auto"/>
        </w:rPr>
        <w:t xml:space="preserve"> (iv) the transaction expenses of the parties to the Merger Agreement, by (b) $10.00. At the election of the</w:t>
      </w:r>
    </w:p>
    <w:p>
      <w:pPr>
        <w:ind w:left="120"/>
        <w:spacing w:after="0" w:line="238" w:lineRule="auto"/>
        <w:rPr>
          <w:rFonts w:ascii="Arial" w:cs="Arial" w:eastAsia="Arial" w:hAnsi="Arial"/>
          <w:sz w:val="13"/>
          <w:szCs w:val="13"/>
          <w:color w:val="auto"/>
        </w:rPr>
      </w:pPr>
      <w:r>
        <w:rPr>
          <w:rFonts w:ascii="Arial" w:cs="Arial" w:eastAsia="Arial" w:hAnsi="Arial"/>
          <w:sz w:val="13"/>
          <w:szCs w:val="13"/>
          <w:color w:val="auto"/>
        </w:rPr>
        <w:t>Company, in certain circumstances the Closing Cash Consideration may be reduced (with a corresponding increase to the Closing Share Consideration) to the extent required to ensure that the business combination qualifies for the Intended Income Tax Treatment (as defined herein).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3"/>
          <w:szCs w:val="13"/>
          <w:i w:val="1"/>
          <w:iCs w:val="1"/>
          <w:color w:val="auto"/>
        </w:rPr>
        <w:t>Maximum</w:t>
      </w:r>
      <w:r>
        <w:rPr>
          <w:rFonts w:ascii="Arial" w:cs="Arial" w:eastAsia="Arial" w:hAnsi="Arial"/>
          <w:sz w:val="13"/>
          <w:szCs w:val="13"/>
          <w:color w:val="auto"/>
        </w:rPr>
        <w:t xml:space="preserve"> </w:t>
      </w:r>
      <w:r>
        <w:rPr>
          <w:rFonts w:ascii="Arial" w:cs="Arial" w:eastAsia="Arial" w:hAnsi="Arial"/>
          <w:sz w:val="13"/>
          <w:szCs w:val="13"/>
          <w:i w:val="1"/>
          <w:iCs w:val="1"/>
          <w:color w:val="auto"/>
        </w:rPr>
        <w:t>Consideration</w:t>
      </w:r>
      <w:r>
        <w:rPr>
          <w:rFonts w:ascii="Arial" w:cs="Arial" w:eastAsia="Arial" w:hAnsi="Arial"/>
          <w:sz w:val="13"/>
          <w:szCs w:val="13"/>
          <w:color w:val="auto"/>
        </w:rPr>
        <w:t>”). It is anticipated that, upon the Closing (as defined below): (i) existing stockholders of Talkspace will own approximately 50.8% of Talkspace, Inc. on a fully diluted net</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 basis; (ii) HEC’s public stockholders (other than the PIPE Investors) will retain an ownership interest of approximately 25.1% in Talkspace, Inc. on a fully diluted net exercise basis;</w:t>
      </w:r>
    </w:p>
    <w:p>
      <w:pPr>
        <w:spacing w:after="0" w:line="1" w:lineRule="exact"/>
        <w:rPr>
          <w:rFonts w:ascii="Arial" w:cs="Arial" w:eastAsia="Arial" w:hAnsi="Arial"/>
          <w:sz w:val="13"/>
          <w:szCs w:val="13"/>
          <w:color w:val="auto"/>
        </w:rPr>
      </w:pPr>
    </w:p>
    <w:p>
      <w:pPr>
        <w:ind w:left="120" w:right="40" w:hanging="4"/>
        <w:spacing w:after="0" w:line="229" w:lineRule="auto"/>
        <w:tabs>
          <w:tab w:leader="none" w:pos="3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PIPE Investors (as defined below)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 $49 million.</w:t>
      </w:r>
    </w:p>
    <w:p>
      <w:pPr>
        <w:spacing w:after="0" w:line="76" w:lineRule="exact"/>
        <w:rPr>
          <w:sz w:val="20"/>
          <w:szCs w:val="20"/>
          <w:color w:val="auto"/>
        </w:rPr>
      </w:pPr>
    </w:p>
    <w:p>
      <w:pPr>
        <w:ind w:left="120" w:right="20"/>
        <w:spacing w:after="0" w:line="255" w:lineRule="auto"/>
        <w:rPr>
          <w:sz w:val="20"/>
          <w:szCs w:val="20"/>
          <w:color w:val="auto"/>
        </w:rPr>
      </w:pPr>
      <w:r>
        <w:rPr>
          <w:rFonts w:ascii="Arial" w:cs="Arial" w:eastAsia="Arial" w:hAnsi="Arial"/>
          <w:sz w:val="13"/>
          <w:szCs w:val="13"/>
          <w:color w:val="auto"/>
        </w:rPr>
        <w:t>This proxy statement/prospectus also relates to the issuance by HEC of up to 21,068,268 shares of Talkspace, Inc. common stock upon the exercise of options to purchase shares of Talkspace, Inc. common stock following the Closing and the resale of such shares of Talkspace, Inc. common stock (the “</w:t>
      </w:r>
      <w:r>
        <w:rPr>
          <w:rFonts w:ascii="Arial" w:cs="Arial" w:eastAsia="Arial" w:hAnsi="Arial"/>
          <w:sz w:val="13"/>
          <w:szCs w:val="13"/>
          <w:i w:val="1"/>
          <w:iCs w:val="1"/>
          <w:color w:val="auto"/>
        </w:rPr>
        <w:t>Resale Shares</w:t>
      </w:r>
      <w:r>
        <w:rPr>
          <w:rFonts w:ascii="Arial" w:cs="Arial" w:eastAsia="Arial" w:hAnsi="Arial"/>
          <w:sz w:val="13"/>
          <w:szCs w:val="13"/>
          <w:color w:val="auto"/>
        </w:rPr>
        <w:t>”). The holders of the Resale Shares may from time to time sell, transfer or otherwise dispose of any or all of their Resale Shares in a number of different ways and at varying prices, and we will not receive any proceeds from such transactions. See “</w:t>
      </w:r>
      <w:r>
        <w:rPr>
          <w:rFonts w:ascii="Arial" w:cs="Arial" w:eastAsia="Arial" w:hAnsi="Arial"/>
          <w:sz w:val="13"/>
          <w:szCs w:val="13"/>
          <w:i w:val="1"/>
          <w:iCs w:val="1"/>
          <w:color w:val="auto"/>
        </w:rPr>
        <w:t>Proposal No. 1—The Business Combination Proposal—Certain Agreements Related to the Business Combination—Merger Agreement—Closing Merger Consideration</w:t>
      </w:r>
      <w:r>
        <w:rPr>
          <w:rFonts w:ascii="Arial" w:cs="Arial" w:eastAsia="Arial" w:hAnsi="Arial"/>
          <w:sz w:val="13"/>
          <w:szCs w:val="13"/>
          <w:color w:val="auto"/>
        </w:rPr>
        <w:t>.”</w:t>
      </w:r>
    </w:p>
    <w:p>
      <w:pPr>
        <w:spacing w:after="0" w:line="67" w:lineRule="exact"/>
        <w:rPr>
          <w:sz w:val="20"/>
          <w:szCs w:val="20"/>
          <w:color w:val="auto"/>
        </w:rPr>
      </w:pPr>
    </w:p>
    <w:p>
      <w:pPr>
        <w:ind w:left="120" w:right="20"/>
        <w:spacing w:after="0" w:line="248" w:lineRule="auto"/>
        <w:rPr>
          <w:sz w:val="20"/>
          <w:szCs w:val="20"/>
          <w:color w:val="auto"/>
        </w:rPr>
      </w:pPr>
      <w:r>
        <w:rPr>
          <w:rFonts w:ascii="Arial" w:cs="Arial" w:eastAsia="Arial" w:hAnsi="Arial"/>
          <w:sz w:val="13"/>
          <w:szCs w:val="13"/>
          <w:color w:val="auto"/>
        </w:rPr>
        <w:t>HEC’s units, HEC’s Class A common stock and HEC’s warrants are currently listed on the Nasdaq Stock Market (the “</w:t>
      </w:r>
      <w:r>
        <w:rPr>
          <w:rFonts w:ascii="Arial" w:cs="Arial" w:eastAsia="Arial" w:hAnsi="Arial"/>
          <w:sz w:val="13"/>
          <w:szCs w:val="13"/>
          <w:i w:val="1"/>
          <w:iCs w:val="1"/>
          <w:color w:val="auto"/>
        </w:rPr>
        <w:t>Nasdaq</w:t>
      </w:r>
      <w:r>
        <w:rPr>
          <w:rFonts w:ascii="Arial" w:cs="Arial" w:eastAsia="Arial" w:hAnsi="Arial"/>
          <w:sz w:val="13"/>
          <w:szCs w:val="13"/>
          <w:color w:val="auto"/>
        </w:rPr>
        <w:t xml:space="preserve">”) under the symbols “HECCU,” “HEC” and “HECCW”, respectively. Upon the Closing, HEC’s units will separate into the component securities and will no longer trade as a separate security. HEC intends to apply for listing, effective at the time of the Closing, of Talkspace, Inc. common stock and Talkspace, Inc. warrants on the Nasdaq under the symbols “TALK” and “TALKW”, respectively. </w:t>
      </w:r>
      <w:r>
        <w:rPr>
          <w:rFonts w:ascii="Arial" w:cs="Arial" w:eastAsia="Arial" w:hAnsi="Arial"/>
          <w:sz w:val="13"/>
          <w:szCs w:val="13"/>
          <w:b w:val="1"/>
          <w:bCs w:val="1"/>
          <w:color w:val="auto"/>
        </w:rPr>
        <w:t>This proxy statement/prospectus</w:t>
      </w:r>
      <w:r>
        <w:rPr>
          <w:rFonts w:ascii="Arial" w:cs="Arial" w:eastAsia="Arial" w:hAnsi="Arial"/>
          <w:sz w:val="13"/>
          <w:szCs w:val="13"/>
          <w:color w:val="auto"/>
        </w:rPr>
        <w:t xml:space="preserve"> </w:t>
      </w:r>
      <w:r>
        <w:rPr>
          <w:rFonts w:ascii="Arial" w:cs="Arial" w:eastAsia="Arial" w:hAnsi="Arial"/>
          <w:sz w:val="13"/>
          <w:szCs w:val="13"/>
          <w:b w:val="1"/>
          <w:bCs w:val="1"/>
          <w:color w:val="auto"/>
        </w:rPr>
        <w:t>provides stockholders of HEC with detailed information about the proposed business combination and other matters to be considered at the special meeting of HEC. We encourage you to read this entire document, including the Annexes and other documents referred to herein, carefully and in their entirety. You should also carefully consider the risk factors described in the section entitled “</w:t>
      </w:r>
      <w:r>
        <w:rPr>
          <w:rFonts w:ascii="Arial" w:cs="Arial" w:eastAsia="Arial" w:hAnsi="Arial"/>
          <w:sz w:val="13"/>
          <w:szCs w:val="13"/>
          <w:b w:val="1"/>
          <w:bCs w:val="1"/>
          <w:i w:val="1"/>
          <w:iCs w:val="1"/>
          <w:u w:val="single" w:color="auto"/>
          <w:color w:val="auto"/>
        </w:rPr>
        <w:t>Risk Factors</w:t>
      </w:r>
      <w:r>
        <w:rPr>
          <w:rFonts w:ascii="Arial" w:cs="Arial" w:eastAsia="Arial" w:hAnsi="Arial"/>
          <w:sz w:val="13"/>
          <w:szCs w:val="13"/>
          <w:color w:val="auto"/>
        </w:rPr>
        <w:t>” beginning on page 51 of this proxy statement/prospectus.</w:t>
      </w:r>
    </w:p>
    <w:p>
      <w:pPr>
        <w:spacing w:after="0" w:line="68" w:lineRule="exact"/>
        <w:rPr>
          <w:sz w:val="20"/>
          <w:szCs w:val="20"/>
          <w:color w:val="auto"/>
        </w:rPr>
      </w:pPr>
    </w:p>
    <w:p>
      <w:pPr>
        <w:ind w:left="120" w:right="220"/>
        <w:spacing w:after="0" w:line="235" w:lineRule="auto"/>
        <w:rPr>
          <w:sz w:val="20"/>
          <w:szCs w:val="20"/>
          <w:color w:val="auto"/>
        </w:rPr>
      </w:pPr>
      <w:r>
        <w:rPr>
          <w:rFonts w:ascii="Arial" w:cs="Arial" w:eastAsia="Arial" w:hAnsi="Arial"/>
          <w:sz w:val="14"/>
          <w:szCs w:val="14"/>
          <w:b w:val="1"/>
          <w:bCs w:val="1"/>
          <w:color w:val="auto"/>
        </w:rPr>
        <w:t>NEITHER THE SECURITIES AND EXCHANGE COMMISSION NOR ANY STATE SECURITIES REGULATORY AGENCY HAS APPROVED OR DISAPPROVED THE TRANSACTIONS DESCRIBED IN THIS PROXY STATEMENT/PROSPECTUS, PASSED UPON THE MERITS OR FAIRNESS OF THE BUSINESS COMBINATION OR RELATED TRANSACTIONS OR PASSED UPON THE ADEQUACY OR ACCURACY OF THE DISCLOSURE IN THIS PROXY STATEMENT/PROSPECTUS. ANY REPRESENTATION TO THE CONTRARY CONSTITUTES A CRIMINAL OFFENSE.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This proxy statement/prospectus is dated May 28, 2021, and is first being mailed to HEC’s stockholders on or about June 1,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570 Lexington Avenue, 35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NY 10022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Hudson Executive Investment Corp. Stockholders,</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behalf of the Hudson Executive Investment Corp. board of directors (the “</w:t>
      </w:r>
      <w:r>
        <w:rPr>
          <w:rFonts w:ascii="Arial" w:cs="Arial" w:eastAsia="Arial" w:hAnsi="Arial"/>
          <w:sz w:val="18"/>
          <w:szCs w:val="18"/>
          <w:i w:val="1"/>
          <w:iCs w:val="1"/>
          <w:color w:val="auto"/>
        </w:rPr>
        <w:t>HEC Board</w:t>
      </w:r>
      <w:r>
        <w:rPr>
          <w:rFonts w:ascii="Arial" w:cs="Arial" w:eastAsia="Arial" w:hAnsi="Arial"/>
          <w:sz w:val="18"/>
          <w:szCs w:val="18"/>
          <w:color w:val="auto"/>
        </w:rPr>
        <w:t>”), we cordially invite you to a special meeting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of stockholders of Hudson Executive Investment Corp., a Delaware corporation (“</w:t>
      </w:r>
      <w:r>
        <w:rPr>
          <w:rFonts w:ascii="Arial" w:cs="Arial" w:eastAsia="Arial" w:hAnsi="Arial"/>
          <w:sz w:val="18"/>
          <w:szCs w:val="18"/>
          <w:i w:val="1"/>
          <w:iCs w:val="1"/>
          <w:color w:val="auto"/>
        </w:rPr>
        <w:t>HEC</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to be held via live webcast at 8.30</w:t>
      </w:r>
      <w:r>
        <w:rPr>
          <w:rFonts w:ascii="Arial" w:cs="Arial" w:eastAsia="Arial" w:hAnsi="Arial"/>
          <w:sz w:val="18"/>
          <w:szCs w:val="18"/>
          <w:i w:val="1"/>
          <w:iCs w:val="1"/>
          <w:color w:val="auto"/>
        </w:rPr>
        <w:t xml:space="preserve"> </w:t>
      </w:r>
      <w:r>
        <w:rPr>
          <w:rFonts w:ascii="Arial" w:cs="Arial" w:eastAsia="Arial" w:hAnsi="Arial"/>
          <w:sz w:val="18"/>
          <w:szCs w:val="18"/>
          <w:color w:val="auto"/>
        </w:rPr>
        <w:t>a.m. Eastern Time, on June 17, 2021. The special meeting can be accessed by visiting https://www.cstproxy.com/hudsoninvestcorp/sm2021, where you will be able to listen to the meeting live and vote during the meeting. Please note that you will only be able to access the special meeting by means of remote communication.</w:t>
      </w:r>
    </w:p>
    <w:p>
      <w:pPr>
        <w:spacing w:after="0" w:line="18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On January 12, 2021, HEC entered into an Agreement and Plan of Merger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HEC, Groop Internet Platform, Inc. (d/b/a “Talkspace”), a Delaware corporation (“</w:t>
      </w:r>
      <w:r>
        <w:rPr>
          <w:rFonts w:ascii="Arial" w:cs="Arial" w:eastAsia="Arial" w:hAnsi="Arial"/>
          <w:sz w:val="16"/>
          <w:szCs w:val="16"/>
          <w:i w:val="1"/>
          <w:iCs w:val="1"/>
          <w:color w:val="auto"/>
        </w:rPr>
        <w:t>Talkspace</w:t>
      </w:r>
      <w:r>
        <w:rPr>
          <w:rFonts w:ascii="Arial" w:cs="Arial" w:eastAsia="Arial" w:hAnsi="Arial"/>
          <w:sz w:val="16"/>
          <w:szCs w:val="16"/>
          <w:color w:val="auto"/>
        </w:rPr>
        <w:t>”), Tailwind Merger Sub I, Inc., a newly formed Delaware corporation and subsidiary of HEC (“</w:t>
      </w:r>
      <w:r>
        <w:rPr>
          <w:rFonts w:ascii="Arial" w:cs="Arial" w:eastAsia="Arial" w:hAnsi="Arial"/>
          <w:sz w:val="16"/>
          <w:szCs w:val="16"/>
          <w:i w:val="1"/>
          <w:iCs w:val="1"/>
          <w:color w:val="auto"/>
        </w:rPr>
        <w:t>First Merger Sub</w:t>
      </w:r>
      <w:r>
        <w:rPr>
          <w:rFonts w:ascii="Arial" w:cs="Arial" w:eastAsia="Arial" w:hAnsi="Arial"/>
          <w:sz w:val="16"/>
          <w:szCs w:val="16"/>
          <w:color w:val="auto"/>
        </w:rPr>
        <w:t>”), and Tailwind Merger Sub II, LLC, a newly formed Delaware limited liability company and subsidiary of HEC (“</w:t>
      </w:r>
      <w:r>
        <w:rPr>
          <w:rFonts w:ascii="Arial" w:cs="Arial" w:eastAsia="Arial" w:hAnsi="Arial"/>
          <w:sz w:val="16"/>
          <w:szCs w:val="16"/>
          <w:i w:val="1"/>
          <w:iCs w:val="1"/>
          <w:color w:val="auto"/>
        </w:rPr>
        <w:t>Second Merger</w:t>
      </w:r>
      <w:r>
        <w:rPr>
          <w:rFonts w:ascii="Arial" w:cs="Arial" w:eastAsia="Arial" w:hAnsi="Arial"/>
          <w:sz w:val="16"/>
          <w:szCs w:val="16"/>
          <w:color w:val="auto"/>
        </w:rPr>
        <w:t xml:space="preserve"> </w:t>
      </w:r>
      <w:r>
        <w:rPr>
          <w:rFonts w:ascii="Arial" w:cs="Arial" w:eastAsia="Arial" w:hAnsi="Arial"/>
          <w:sz w:val="16"/>
          <w:szCs w:val="16"/>
          <w:i w:val="1"/>
          <w:iCs w:val="1"/>
          <w:color w:val="auto"/>
        </w:rPr>
        <w:t>Sub</w:t>
      </w:r>
      <w:r>
        <w:rPr>
          <w:rFonts w:ascii="Arial" w:cs="Arial" w:eastAsia="Arial" w:hAnsi="Arial"/>
          <w:sz w:val="16"/>
          <w:szCs w:val="16"/>
          <w:color w:val="auto"/>
        </w:rPr>
        <w:t>”), a copy of which is attached to the accompanying proxy statement as</w:t>
      </w:r>
      <w:r>
        <w:rPr>
          <w:rFonts w:ascii="Arial" w:cs="Arial" w:eastAsia="Arial" w:hAnsi="Arial"/>
          <w:sz w:val="16"/>
          <w:szCs w:val="16"/>
          <w:i w:val="1"/>
          <w:iCs w:val="1"/>
          <w:color w:val="auto"/>
        </w:rPr>
        <w:t xml:space="preserve"> Annex A</w:t>
      </w:r>
      <w:r>
        <w:rPr>
          <w:rFonts w:ascii="Arial" w:cs="Arial" w:eastAsia="Arial" w:hAnsi="Arial"/>
          <w:sz w:val="16"/>
          <w:szCs w:val="16"/>
          <w:color w:val="auto"/>
        </w:rPr>
        <w:t>, which, among other things, provides for (i) First Merger Sub to be</w:t>
      </w:r>
      <w:r>
        <w:rPr>
          <w:rFonts w:ascii="Arial" w:cs="Arial" w:eastAsia="Arial" w:hAnsi="Arial"/>
          <w:sz w:val="16"/>
          <w:szCs w:val="16"/>
          <w:i w:val="1"/>
          <w:iCs w:val="1"/>
          <w:color w:val="auto"/>
        </w:rPr>
        <w:t xml:space="preserve"> </w:t>
      </w:r>
      <w:r>
        <w:rPr>
          <w:rFonts w:ascii="Arial" w:cs="Arial" w:eastAsia="Arial" w:hAnsi="Arial"/>
          <w:sz w:val="16"/>
          <w:szCs w:val="16"/>
          <w:color w:val="auto"/>
        </w:rPr>
        <w:t>merged with and into Talkspace with Talkspace being the surviving company in the merger (the “</w:t>
      </w:r>
      <w:r>
        <w:rPr>
          <w:rFonts w:ascii="Arial" w:cs="Arial" w:eastAsia="Arial" w:hAnsi="Arial"/>
          <w:sz w:val="16"/>
          <w:szCs w:val="16"/>
          <w:i w:val="1"/>
          <w:iCs w:val="1"/>
          <w:color w:val="auto"/>
        </w:rPr>
        <w:t>First Merger</w:t>
      </w:r>
      <w:r>
        <w:rPr>
          <w:rFonts w:ascii="Arial" w:cs="Arial" w:eastAsia="Arial" w:hAnsi="Arial"/>
          <w:sz w:val="16"/>
          <w:szCs w:val="16"/>
          <w:color w:val="auto"/>
        </w:rPr>
        <w:t>”) and (ii) immediately following the First Merger and as part of the same overall transaction as the First Merger, Talkspace to be merged with and into Second Merger Sub, with Second Merger Sub surviving the merger as a wholly owned subsidiary of HEC (the “</w:t>
      </w:r>
      <w:r>
        <w:rPr>
          <w:rFonts w:ascii="Arial" w:cs="Arial" w:eastAsia="Arial" w:hAnsi="Arial"/>
          <w:sz w:val="16"/>
          <w:szCs w:val="16"/>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the business combination, together with the other transactions contemplated by the Merger Agreement, the “</w:t>
      </w:r>
      <w:r>
        <w:rPr>
          <w:rFonts w:ascii="Arial" w:cs="Arial" w:eastAsia="Arial" w:hAnsi="Arial"/>
          <w:sz w:val="16"/>
          <w:szCs w:val="16"/>
          <w:i w:val="1"/>
          <w:iCs w:val="1"/>
          <w:color w:val="auto"/>
        </w:rPr>
        <w:t>Transactions</w:t>
      </w:r>
      <w:r>
        <w:rPr>
          <w:rFonts w:ascii="Arial" w:cs="Arial" w:eastAsia="Arial" w:hAnsi="Arial"/>
          <w:sz w:val="16"/>
          <w:szCs w:val="16"/>
          <w:color w:val="auto"/>
        </w:rPr>
        <w:t>”). As a result of the First Merger, HEC will own 100% of the outstanding common stock of Talkspace as the surviving corporation in the First Merger and each outstanding share of common stock and preferred stock of Talkspace (other than treasury shares or shares owned by HEC, First Merger Sub or Talkspace) will be cancelled and converted into the right to receive the merger consideration in accordance with the Merger Agreement. Following the Second Merger, HEC will own 100% of the outstanding interests of Second Merger Sub. Following the Closing (as defined below), HEC will own, directly or indirectly, all of the outstanding equity interests of the surviving company and the stockholders of Talkspace will own a portion of Talkspace, Inc. common stock (as defined in the accompanying proxy statement/prospectus).</w:t>
      </w:r>
    </w:p>
    <w:p>
      <w:pPr>
        <w:spacing w:after="0" w:line="17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As a result of and upon the Closing, among other things, and as more fully described elsewhere in this proxy statement/prospectus, all shares of common stock and preferred stock of Talkspace (collectively, “</w:t>
      </w:r>
      <w:r>
        <w:rPr>
          <w:rFonts w:ascii="Arial" w:cs="Arial" w:eastAsia="Arial" w:hAnsi="Arial"/>
          <w:sz w:val="16"/>
          <w:szCs w:val="16"/>
          <w:i w:val="1"/>
          <w:iCs w:val="1"/>
          <w:color w:val="auto"/>
        </w:rPr>
        <w:t>Talkspace stock</w:t>
      </w:r>
      <w:r>
        <w:rPr>
          <w:rFonts w:ascii="Arial" w:cs="Arial" w:eastAsia="Arial" w:hAnsi="Arial"/>
          <w:sz w:val="16"/>
          <w:szCs w:val="16"/>
          <w:color w:val="auto"/>
        </w:rPr>
        <w:t>”) and all vested options exercisable for common stock of Talkspace outstanding as of immediately prior to Closing (“</w:t>
      </w:r>
      <w:r>
        <w:rPr>
          <w:rFonts w:ascii="Arial" w:cs="Arial" w:eastAsia="Arial" w:hAnsi="Arial"/>
          <w:sz w:val="16"/>
          <w:szCs w:val="16"/>
          <w:i w:val="1"/>
          <w:iCs w:val="1"/>
          <w:color w:val="auto"/>
        </w:rPr>
        <w:t>Vested Talkspace Options</w:t>
      </w:r>
      <w:r>
        <w:rPr>
          <w:rFonts w:ascii="Arial" w:cs="Arial" w:eastAsia="Arial" w:hAnsi="Arial"/>
          <w:sz w:val="16"/>
          <w:szCs w:val="16"/>
          <w:color w:val="auto"/>
        </w:rPr>
        <w:t>”) will be cancelled or assumed, as applicable, and converted into the right to receive, at the election of the holders thereof, a number of shares of common stock of Talkspace, Inc. (“</w:t>
      </w:r>
      <w:r>
        <w:rPr>
          <w:rFonts w:ascii="Arial" w:cs="Arial" w:eastAsia="Arial" w:hAnsi="Arial"/>
          <w:sz w:val="16"/>
          <w:szCs w:val="16"/>
          <w:i w:val="1"/>
          <w:iCs w:val="1"/>
          <w:color w:val="auto"/>
        </w:rPr>
        <w:t>Talkspace, Inc. common stock</w:t>
      </w:r>
      <w:r>
        <w:rPr>
          <w:rFonts w:ascii="Arial" w:cs="Arial" w:eastAsia="Arial" w:hAnsi="Arial"/>
          <w:sz w:val="16"/>
          <w:szCs w:val="16"/>
          <w:color w:val="auto"/>
        </w:rPr>
        <w:t>”) or a combination of shares of Talkspace, Inc. common stock and cash, in each case, as adjusted pursuant to the terms of the Merger Agreement, which in the aggregate with the unvested options to acquire common stock of Talkspace to be assumed by HEC in exchange for options to acquire Talkspace, Inc. common stock (“</w:t>
      </w:r>
      <w:r>
        <w:rPr>
          <w:rFonts w:ascii="Arial" w:cs="Arial" w:eastAsia="Arial" w:hAnsi="Arial"/>
          <w:sz w:val="16"/>
          <w:szCs w:val="16"/>
          <w:i w:val="1"/>
          <w:iCs w:val="1"/>
          <w:color w:val="auto"/>
        </w:rPr>
        <w:t>Unvested Talkspace Options</w:t>
      </w:r>
      <w:r>
        <w:rPr>
          <w:rFonts w:ascii="Arial" w:cs="Arial" w:eastAsia="Arial" w:hAnsi="Arial"/>
          <w:sz w:val="16"/>
          <w:szCs w:val="16"/>
          <w:color w:val="auto"/>
        </w:rPr>
        <w:t>”, and together with Vested Talkspace Options, “</w:t>
      </w:r>
      <w:r>
        <w:rPr>
          <w:rFonts w:ascii="Arial" w:cs="Arial" w:eastAsia="Arial" w:hAnsi="Arial"/>
          <w:sz w:val="16"/>
          <w:szCs w:val="16"/>
          <w:i w:val="1"/>
          <w:iCs w:val="1"/>
          <w:color w:val="auto"/>
        </w:rPr>
        <w:t>Talkspace Options</w:t>
      </w:r>
      <w:r>
        <w:rPr>
          <w:rFonts w:ascii="Arial" w:cs="Arial" w:eastAsia="Arial" w:hAnsi="Arial"/>
          <w:sz w:val="16"/>
          <w:szCs w:val="16"/>
          <w:color w:val="auto"/>
        </w:rPr>
        <w:t>”), will equal $1,400,000,000, reduced by certain deductions for the parties’ transaction expenses and the value (the “</w:t>
      </w:r>
      <w:r>
        <w:rPr>
          <w:rFonts w:ascii="Arial" w:cs="Arial" w:eastAsia="Arial" w:hAnsi="Arial"/>
          <w:sz w:val="16"/>
          <w:szCs w:val="16"/>
          <w:i w:val="1"/>
          <w:iCs w:val="1"/>
          <w:color w:val="auto"/>
        </w:rPr>
        <w:t>Sponsor Share Amount</w:t>
      </w:r>
      <w:r>
        <w:rPr>
          <w:rFonts w:ascii="Arial" w:cs="Arial" w:eastAsia="Arial" w:hAnsi="Arial"/>
          <w:sz w:val="16"/>
          <w:szCs w:val="16"/>
          <w:color w:val="auto"/>
        </w:rPr>
        <w:t>”) of the shares of HEC’s Class B common stock held by HEC Sponsor LLC (the “</w:t>
      </w:r>
      <w:r>
        <w:rPr>
          <w:rFonts w:ascii="Arial" w:cs="Arial" w:eastAsia="Arial" w:hAnsi="Arial"/>
          <w:sz w:val="16"/>
          <w:szCs w:val="16"/>
          <w:i w:val="1"/>
          <w:iCs w:val="1"/>
          <w:color w:val="auto"/>
        </w:rPr>
        <w:t>Sponsor</w:t>
      </w:r>
      <w:r>
        <w:rPr>
          <w:rFonts w:ascii="Arial" w:cs="Arial" w:eastAsia="Arial" w:hAnsi="Arial"/>
          <w:sz w:val="16"/>
          <w:szCs w:val="16"/>
          <w:color w:val="auto"/>
        </w:rPr>
        <w:t>”) immediately prior to the consummation of the Transactions (the “</w:t>
      </w:r>
      <w:r>
        <w:rPr>
          <w:rFonts w:ascii="Arial" w:cs="Arial" w:eastAsia="Arial" w:hAnsi="Arial"/>
          <w:sz w:val="16"/>
          <w:szCs w:val="16"/>
          <w:i w:val="1"/>
          <w:iCs w:val="1"/>
          <w:color w:val="auto"/>
        </w:rPr>
        <w:t>Closing Merger Consideration</w:t>
      </w:r>
      <w:r>
        <w:rPr>
          <w:rFonts w:ascii="Arial" w:cs="Arial" w:eastAsia="Arial" w:hAnsi="Arial"/>
          <w:sz w:val="16"/>
          <w:szCs w:val="16"/>
          <w:color w:val="auto"/>
        </w:rPr>
        <w:t>”). The maximum amount of cash (the “</w:t>
      </w:r>
      <w:r>
        <w:rPr>
          <w:rFonts w:ascii="Arial" w:cs="Arial" w:eastAsia="Arial" w:hAnsi="Arial"/>
          <w:sz w:val="16"/>
          <w:szCs w:val="16"/>
          <w:i w:val="1"/>
          <w:iCs w:val="1"/>
          <w:color w:val="auto"/>
        </w:rPr>
        <w:t>Closing Cash Consideration</w:t>
      </w:r>
      <w:r>
        <w:rPr>
          <w:rFonts w:ascii="Arial" w:cs="Arial" w:eastAsia="Arial" w:hAnsi="Arial"/>
          <w:sz w:val="16"/>
          <w:szCs w:val="16"/>
          <w:color w:val="auto"/>
        </w:rPr>
        <w:t xml:space="preserve">”)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the consummation of the PIPE Investment and the transactions contemplated under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The maximum number of shares (the “</w:t>
      </w:r>
      <w:r>
        <w:rPr>
          <w:rFonts w:ascii="Arial" w:cs="Arial" w:eastAsia="Arial" w:hAnsi="Arial"/>
          <w:sz w:val="16"/>
          <w:szCs w:val="16"/>
          <w:i w:val="1"/>
          <w:iCs w:val="1"/>
          <w:color w:val="auto"/>
        </w:rPr>
        <w:t>Closing Share Consideration</w:t>
      </w:r>
      <w:r>
        <w:rPr>
          <w:rFonts w:ascii="Arial" w:cs="Arial" w:eastAsia="Arial" w:hAnsi="Arial"/>
          <w:sz w:val="16"/>
          <w:szCs w:val="16"/>
          <w:color w:val="auto"/>
        </w:rPr>
        <w:t>”) of Talkspace, Inc. common stock that may be issued to the pre-closing holders of Talkspace stock and Talkspace Options (including shares of Talkspace’s common stock underlying any Talkspace Options on a net exercise basis) pursuant to the foregoing is equal to a</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number determined dividing (a)(i)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Sponsor Share Amount, </w:t>
      </w:r>
      <w:r>
        <w:rPr>
          <w:rFonts w:ascii="Arial" w:cs="Arial" w:eastAsia="Arial" w:hAnsi="Arial"/>
          <w:sz w:val="16"/>
          <w:szCs w:val="16"/>
          <w:i w:val="1"/>
          <w:iCs w:val="1"/>
          <w:color w:val="auto"/>
        </w:rPr>
        <w:t xml:space="preserve">minus </w:t>
      </w:r>
      <w:r>
        <w:rPr>
          <w:rFonts w:ascii="Arial" w:cs="Arial" w:eastAsia="Arial" w:hAnsi="Arial"/>
          <w:sz w:val="16"/>
          <w:szCs w:val="16"/>
          <w:color w:val="auto"/>
        </w:rPr>
        <w:t>(iv) the transaction expenses of the parties to the Merger Agreement, by (b) $10.00. At the election of the Company, in certain circumstances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Cash Consideration may be reduced (with a corresponding increase to the Closing Share Consideration) to the extent required to ensure that the business combination qualifies for the Intended Income Tax Treatment (as defined herein).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6"/>
          <w:szCs w:val="16"/>
          <w:i w:val="1"/>
          <w:iCs w:val="1"/>
          <w:color w:val="auto"/>
        </w:rPr>
        <w:t>Maximum Consideration</w:t>
      </w:r>
      <w:r>
        <w:rPr>
          <w:rFonts w:ascii="Arial" w:cs="Arial" w:eastAsia="Arial" w:hAnsi="Arial"/>
          <w:sz w:val="16"/>
          <w:szCs w:val="16"/>
          <w:color w:val="auto"/>
        </w:rPr>
        <w: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special meeting, HEC stockholders will be asked to consider and vote upon:</w:t>
      </w:r>
    </w:p>
    <w:p>
      <w:pPr>
        <w:spacing w:after="0" w:line="131" w:lineRule="exact"/>
        <w:rPr>
          <w:sz w:val="20"/>
          <w:szCs w:val="20"/>
          <w:color w:val="auto"/>
        </w:rPr>
      </w:pPr>
    </w:p>
    <w:p>
      <w:pPr>
        <w:ind w:left="540" w:right="280" w:hanging="424"/>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No. 1—To consider and vote upon a proposal to approve the business combination described in the accompanying proxy statement/prospectus, including (a) adopting the Merger Agreement and (b) approving the transactions contemplated by the Merger Agreement and related agreements described in the accompanying proxy statement/prospectus—we refer to this proposal as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jc w:val="both"/>
        <w:ind w:left="540" w:right="20" w:hanging="424"/>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Proposal No. 2—To consider and vote upon a proposal to approve and adopt the second amended and restated certificate of incorporation of HEC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amended and restated certificate of incorporation</w:t>
      </w:r>
      <w:r>
        <w:rPr>
          <w:rFonts w:ascii="Arial" w:cs="Arial" w:eastAsia="Arial" w:hAnsi="Arial"/>
          <w:sz w:val="18"/>
          <w:szCs w:val="18"/>
          <w:color w:val="auto"/>
        </w:rPr>
        <w:t>”)—we refer to this proposal as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No. 3—To consider and vote upon, on a non-binding advisory basis, certain governance provisions in the second amended and restated certificate of incorporation, presented separately in accordance with the United States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requirements —we refer to this proposal as the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Proposal No. 4—To consider and vote on a proposal to approve the Talkspace, Inc. 2021 Incentive Award Plan (the “</w:t>
      </w:r>
      <w:r>
        <w:rPr>
          <w:rFonts w:ascii="Arial" w:cs="Arial" w:eastAsia="Arial" w:hAnsi="Arial"/>
          <w:sz w:val="16"/>
          <w:szCs w:val="16"/>
          <w:i w:val="1"/>
          <w:iCs w:val="1"/>
          <w:color w:val="auto"/>
        </w:rPr>
        <w:t>2021 Plan</w:t>
      </w:r>
      <w:r>
        <w:rPr>
          <w:rFonts w:ascii="Arial" w:cs="Arial" w:eastAsia="Arial" w:hAnsi="Arial"/>
          <w:sz w:val="16"/>
          <w:szCs w:val="16"/>
          <w:color w:val="auto"/>
        </w:rPr>
        <w:t>”)—we refer to this proposal as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xml:space="preserve">.” A copy of the 2021 Plan is attached to the accompanying proxy statement/prospectus as </w:t>
      </w:r>
      <w:r>
        <w:rPr>
          <w:rFonts w:ascii="Arial" w:cs="Arial" w:eastAsia="Arial" w:hAnsi="Arial"/>
          <w:sz w:val="16"/>
          <w:szCs w:val="16"/>
          <w:i w:val="1"/>
          <w:iCs w:val="1"/>
          <w:color w:val="auto"/>
        </w:rPr>
        <w:t>Annex G</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right="40" w:hanging="424"/>
        <w:spacing w:after="0" w:line="30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Proposal No. 5—To consider and vote on a proposal to approve the Talkspace, Inc. Employee Stock Purchase Plan (the “</w:t>
      </w:r>
      <w:r>
        <w:rPr>
          <w:rFonts w:ascii="Arial" w:cs="Arial" w:eastAsia="Arial" w:hAnsi="Arial"/>
          <w:sz w:val="17"/>
          <w:szCs w:val="17"/>
          <w:i w:val="1"/>
          <w:iCs w:val="1"/>
          <w:color w:val="auto"/>
        </w:rPr>
        <w:t>ESPP</w:t>
      </w:r>
      <w:r>
        <w:rPr>
          <w:rFonts w:ascii="Arial" w:cs="Arial" w:eastAsia="Arial" w:hAnsi="Arial"/>
          <w:sz w:val="17"/>
          <w:szCs w:val="17"/>
          <w:color w:val="auto"/>
        </w:rPr>
        <w:t>”)—we refer to this proposal as the “</w:t>
      </w:r>
      <w:r>
        <w:rPr>
          <w:rFonts w:ascii="Arial" w:cs="Arial" w:eastAsia="Arial" w:hAnsi="Arial"/>
          <w:sz w:val="17"/>
          <w:szCs w:val="17"/>
          <w:i w:val="1"/>
          <w:iCs w:val="1"/>
          <w:color w:val="auto"/>
        </w:rPr>
        <w:t>ESPP proposal</w:t>
      </w:r>
      <w:r>
        <w:rPr>
          <w:rFonts w:ascii="Arial" w:cs="Arial" w:eastAsia="Arial" w:hAnsi="Arial"/>
          <w:sz w:val="17"/>
          <w:szCs w:val="17"/>
          <w:color w:val="auto"/>
        </w:rPr>
        <w:t xml:space="preserve">.” A copy of the ESPP is attached to the accompanying proxy statement/prospectus as </w:t>
      </w:r>
      <w:r>
        <w:rPr>
          <w:rFonts w:ascii="Arial" w:cs="Arial" w:eastAsia="Arial" w:hAnsi="Arial"/>
          <w:sz w:val="17"/>
          <w:szCs w:val="17"/>
          <w:i w:val="1"/>
          <w:iCs w:val="1"/>
          <w:color w:val="auto"/>
        </w:rPr>
        <w:t>Annex H</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540" w:hanging="424"/>
        <w:spacing w:after="0" w:line="286"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Proposal No. 6—To consider and vote upon 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qualified—we refer to this proposal as the “</w:t>
      </w:r>
      <w:r>
        <w:rPr>
          <w:rFonts w:ascii="Arial" w:cs="Arial" w:eastAsia="Arial" w:hAnsi="Arial"/>
          <w:sz w:val="17"/>
          <w:szCs w:val="17"/>
          <w:i w:val="1"/>
          <w:iCs w:val="1"/>
          <w:color w:val="auto"/>
        </w:rPr>
        <w:t>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40" w:right="280" w:hanging="424"/>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No. 7—To consider and vote upon a proposal to approve, for purposes of complying with the applicable provisions of Nasdaq Listing Rule 5635, the issuance of more than 20% of HEC’s issued and outstanding shares of Talkspace, Inc.’s common stock in connection with the business combination, including, without limitation, the PIPE Investment (as described below)—we refer to this proposal as the “</w:t>
      </w:r>
      <w:r>
        <w:rPr>
          <w:rFonts w:ascii="Arial" w:cs="Arial" w:eastAsia="Arial" w:hAnsi="Arial"/>
          <w:sz w:val="18"/>
          <w:szCs w:val="18"/>
          <w:i w:val="1"/>
          <w:iCs w:val="1"/>
          <w:color w:val="auto"/>
        </w:rPr>
        <w:t>Nasdaq</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540" w:right="480" w:hanging="424"/>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Proposal No. 8—To consider and vote upon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proposal—we refer to this proposal as the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Each of these proposals is more fully described in the attached proxy statement/prospectus, which we encourage you to read carefully and in its entirety before voting. Only holders of record of HEC’s common stock at the close of business on May 19, 2021 are entitled to notice of the special meeting and to vote and have their votes counted at the special meeting and any adjournments or postponements thereof.</w:t>
      </w:r>
    </w:p>
    <w:p>
      <w:pPr>
        <w:spacing w:after="0" w:line="16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careful consideration, the HEC Board has determined that the business combination proposal, the charter proposal, the governance proposal, the incentive plan proposal, the ESPP proposal, the director election proposal, the Nasdaq proposal and the adjournment proposal are fair to and in the best interests of HEC and its stockholders and unanimously recommends that you vote or give instruction to vote “FOR” the business combination proposal, “FOR” the charter proposal, “FOR” the governance proposal, “FOR” the incentive plan proposal, “FOR” the ESPP proposal, “FOR” the director election proposal, “FOR” the Nasdaq proposal and “FOR” the adjournment proposal, if presented. 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7"/>
          <w:szCs w:val="17"/>
          <w:i w:val="1"/>
          <w:iCs w:val="1"/>
          <w:color w:val="auto"/>
        </w:rPr>
        <w:t>Proposal No. 1—The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Proposal—Interests of Certain Persons in the Business Combination</w:t>
      </w:r>
      <w:r>
        <w:rPr>
          <w:rFonts w:ascii="Arial" w:cs="Arial" w:eastAsia="Arial" w:hAnsi="Arial"/>
          <w:sz w:val="17"/>
          <w:szCs w:val="17"/>
          <w:color w:val="auto"/>
        </w:rPr>
        <w:t>” for additional information. The HEC Board was aware of and considered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among other matters, in evaluating and negotiating the Transactions and in recommending to the HEC stockholders that they vote in favor of the proposals presented at the special meeting</w:t>
      </w:r>
      <w:r>
        <w:rPr>
          <w:rFonts w:ascii="Arial" w:cs="Arial" w:eastAsia="Arial" w:hAnsi="Arial"/>
          <w:sz w:val="17"/>
          <w:szCs w:val="17"/>
          <w:i w:val="1"/>
          <w:iCs w:val="1"/>
          <w:color w:val="auto"/>
        </w:rPr>
        <w:t>.</w:t>
      </w:r>
    </w:p>
    <w:p>
      <w:pPr>
        <w:spacing w:after="0" w:line="18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170"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In connection with the Merger Agreement, the HEC Insiders (as defined herein) have entered into the Sponsor Support Agreement, pursuant to which, among other things, such stockholders have agreed to: (i) vote their shares in favor of the business combination proposal and the other Condition Precedent Proposals included in the accompanying proxy statement/prospectus, (ii) not transfer their shares of Talkspace, Inc. common stock and warrants (including the shares of Talkspace, Inc. common stock issuable upon exercise thereof) held by each HEC Insider immediately following the Closing for a period of 180 days following the Closing Date, subject to certain exceptions and (iii) certain vesting provisions of their shares.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To raise additional proceeds to fund the Transactions, HEC entered into subscription agreements (containing commitments to funding that are subject only to conditions that are generally aligned with the conditions set forth in the Merger Agreement), pursuant to which certain investors have agreed to purchase an aggregate of 30,000,000 shares of Talkspace, Inc. common stock, which we refer to as the “</w:t>
      </w:r>
      <w:r>
        <w:rPr>
          <w:rFonts w:ascii="Arial" w:cs="Arial" w:eastAsia="Arial" w:hAnsi="Arial"/>
          <w:sz w:val="18"/>
          <w:szCs w:val="18"/>
          <w:i w:val="1"/>
          <w:iCs w:val="1"/>
          <w:color w:val="auto"/>
        </w:rPr>
        <w:t>PIPE Investment</w:t>
      </w:r>
      <w:r>
        <w:rPr>
          <w:rFonts w:ascii="Arial" w:cs="Arial" w:eastAsia="Arial" w:hAnsi="Arial"/>
          <w:sz w:val="18"/>
          <w:szCs w:val="18"/>
          <w:color w:val="auto"/>
        </w:rPr>
        <w:t>,” for a price of $10.00 per share for an aggregate commitment of $300,000,000.</w:t>
      </w:r>
    </w:p>
    <w:p>
      <w:pPr>
        <w:spacing w:after="0" w:line="18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All HEC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1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HEC’s units, HEC’s Class A common stock and public warrants are currently listed on the Nasdaq Stock Market (the “</w:t>
      </w:r>
      <w:r>
        <w:rPr>
          <w:rFonts w:ascii="Arial" w:cs="Arial" w:eastAsia="Arial" w:hAnsi="Arial"/>
          <w:sz w:val="18"/>
          <w:szCs w:val="18"/>
          <w:i w:val="1"/>
          <w:iCs w:val="1"/>
          <w:color w:val="auto"/>
        </w:rPr>
        <w:t>Nasdaq</w:t>
      </w:r>
      <w:r>
        <w:rPr>
          <w:rFonts w:ascii="Arial" w:cs="Arial" w:eastAsia="Arial" w:hAnsi="Arial"/>
          <w:sz w:val="18"/>
          <w:szCs w:val="18"/>
          <w:color w:val="auto"/>
        </w:rPr>
        <w:t>”) under the symbols “HECCU,” “HEC” and “HECCW”, respectively.</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Pursuant to HEC’s current certificate of incorporation, its public stockholders may demand that HEC redeem their public shares for cash if the business combination is consummated. Public stockholders will be entitled to receive cash for these shares only if they demand that HEC redeem their public shares for cash no later than the second business day prior to the vote on the business combination proposal by delivering their stock to HEC’s transfer agent prior to the vote at the special meeting Additionally, each public stockholder may elect to redeem their public shares irrespective of whether they vote for or against the proposed transaction or don’t vote at all. If a public stockholder properly demands redemption, HEC will redeem each public share for a pro rata portion of the trust account holding the proceeds from the HEC IPO, calculated as of two business days prior to the Closing.</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rFonts w:ascii="Arial" w:cs="Arial" w:eastAsia="Arial" w:hAnsi="Arial"/>
          <w:sz w:val="18"/>
          <w:szCs w:val="18"/>
          <w:color w:val="auto"/>
        </w:rPr>
      </w:pPr>
      <w:r>
        <w:rPr>
          <w:rFonts w:ascii="Arial" w:cs="Arial" w:eastAsia="Arial" w:hAnsi="Arial"/>
          <w:sz w:val="18"/>
          <w:szCs w:val="18"/>
          <w:color w:val="auto"/>
        </w:rPr>
        <w:t>This proxy statement/prospectus provides you with detailed information about the Transactions and other matters to be considered at the special meeting of HEC’s stockholders. We encourage you to carefully read this entire document, including the Annexes attached hereto. You should also carefully consider the risk factors described in “</w:t>
      </w:r>
      <w:hyperlink w:anchor="page65">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color w:val="auto"/>
        </w:rPr>
        <w:t>” beginning on page 51.</w:t>
      </w:r>
    </w:p>
    <w:p>
      <w:pPr>
        <w:spacing w:after="0" w:line="184"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Your vote is important regardless of the number of shares you own. Whether you plan to attend the special meeting or not, please sign, date and return the enclosed proxy card as soon as possible in the envelope provided. If your shares are held in “street name” or are in a margin or similar account, you should contact your broker to ensure that votes related to the shares you beneficially own are properly counted.</w:t>
      </w:r>
    </w:p>
    <w:p>
      <w:pPr>
        <w:spacing w:after="0" w:line="161"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b w:val="1"/>
          <w:bCs w:val="1"/>
          <w:color w:val="auto"/>
        </w:rPr>
        <w:t>The Transactions described in the accompanying proxy statement/prospectus have not been approved or disapproved by the Securities and Exchange Commission or any state securities commission nor has the Securities and Exchange Commission or any state securities commission passed upon the merits or fairness of the business combination or related Transactions, or passed upon the accuracy or adequacy of the disclosure in this proxy statement/prospectus. Any representation to the contrary is a criminal offense.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Douglas L. Braunstein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Chairman and Director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IF YOU RETURN YOUR PROXY CARD WITHOUT AN INDICATION OF HOW YOU WISH TO VOTE, YOUR SHARES WILL BE VOTED IN FAVOR OF EACH OF THE PROPOSALS.</w:t>
      </w:r>
    </w:p>
    <w:p>
      <w:pPr>
        <w:spacing w:after="0" w:line="1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TO EXERCISE YOUR REDEMPTION RIGHTS, YOU MUST ELECT TO HAVE HEC REDEEM YOUR SHARES FOR A PRO RATA PORTION OF THE FUNDS HELD IN THE TRUST ACCOUNT AND TENDER YOUR SHARES TO HEC’S TRANSFER AGENT AT LEAST TWO (2) BUSINESS DAYS PRIOR TO THE VOTE AT THE SPECIAL MEETING. YOU MAY TENDER YOUR SHARES BY EITHER DELIVERING YOUR SHARE CERTIFICATE TO THE TRANSFER AGENT OR BY DELIVERING YOUR SHARES ELECTRONICALLY USING THE DEPOSITORY TRUST COMPANY’S DWAC (DEPOSIT AND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PLEASE SEE THE SECTION ENTITLED “</w:t>
      </w:r>
      <w:r>
        <w:rPr>
          <w:rFonts w:ascii="Arial" w:cs="Arial" w:eastAsia="Arial" w:hAnsi="Arial"/>
          <w:sz w:val="18"/>
          <w:szCs w:val="18"/>
          <w:b w:val="1"/>
          <w:bCs w:val="1"/>
          <w:i w:val="1"/>
          <w:iCs w:val="1"/>
          <w:color w:val="auto"/>
        </w:rPr>
        <w:t>SPECIAL MEETING OF HEC STOCKHOLDERS—REDEMPTION RIGHTS</w:t>
      </w:r>
      <w:r>
        <w:rPr>
          <w:rFonts w:ascii="Arial" w:cs="Arial" w:eastAsia="Arial" w:hAnsi="Arial"/>
          <w:sz w:val="18"/>
          <w:szCs w:val="18"/>
          <w:b w:val="1"/>
          <w:bCs w:val="1"/>
          <w:color w:val="auto"/>
        </w:rPr>
        <w:t>” FOR MORE SPECIFIC INSTRUCTIONS.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statement/prospectus is dated May 28, 2021 and is first being mailed to HEC stockholders on or about June 1, 2021.</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570 Lexington Avenue, 35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17,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HUDSON EXECUTIVE INVESTMENT CORP.</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NOTICE IS HEREBY GIVEN that a special meeting of stockholders of Hudson Executive Investment Corp., a Delaware corporation (“</w:t>
      </w:r>
      <w:r>
        <w:rPr>
          <w:rFonts w:ascii="Arial" w:cs="Arial" w:eastAsia="Arial" w:hAnsi="Arial"/>
          <w:sz w:val="18"/>
          <w:szCs w:val="18"/>
          <w:i w:val="1"/>
          <w:iCs w:val="1"/>
          <w:color w:val="auto"/>
        </w:rPr>
        <w:t>HEC</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will be held via live webcast at 8.30 a.m. Eastern Time, on June 17, 2021. The special meeting can be accessed by visiting https://www.cstproxy.com/hudsoninvestcorp/sm2021, where you will be able to listen to the meeting live and vote during the meeting. Please note that you will only be able to access the special meeting by means of remote communication.</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On behalf of HEC’s board of directors (the “</w:t>
      </w:r>
      <w:r>
        <w:rPr>
          <w:rFonts w:ascii="Arial" w:cs="Arial" w:eastAsia="Arial" w:hAnsi="Arial"/>
          <w:sz w:val="18"/>
          <w:szCs w:val="18"/>
          <w:i w:val="1"/>
          <w:iCs w:val="1"/>
          <w:color w:val="auto"/>
        </w:rPr>
        <w:t>HEC Board</w:t>
      </w:r>
      <w:r>
        <w:rPr>
          <w:rFonts w:ascii="Arial" w:cs="Arial" w:eastAsia="Arial" w:hAnsi="Arial"/>
          <w:sz w:val="18"/>
          <w:szCs w:val="18"/>
          <w:color w:val="auto"/>
        </w:rPr>
        <w:t>”), you are cordially invited to attend the special meeting, to conduct the following business items:</w:t>
      </w:r>
    </w:p>
    <w:p>
      <w:pPr>
        <w:spacing w:after="0" w:line="76" w:lineRule="exact"/>
        <w:rPr>
          <w:sz w:val="20"/>
          <w:szCs w:val="20"/>
          <w:color w:val="auto"/>
        </w:rPr>
      </w:pPr>
    </w:p>
    <w:p>
      <w:pPr>
        <w:ind w:left="540" w:right="80" w:hanging="424"/>
        <w:spacing w:after="0" w:line="28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No. 1—To consider and vote upon a proposal to approve the business combination described in this proxy statement/prospectus, including (a) adopting the Agreement and Plan of Merger, dated as of January 12, 2021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HEC, Groop Internet Platform, Inc. (d/b/a “Talkspace”), a Delaware corporation (“</w:t>
      </w:r>
      <w:r>
        <w:rPr>
          <w:rFonts w:ascii="Arial" w:cs="Arial" w:eastAsia="Arial" w:hAnsi="Arial"/>
          <w:sz w:val="16"/>
          <w:szCs w:val="16"/>
          <w:i w:val="1"/>
          <w:iCs w:val="1"/>
          <w:color w:val="auto"/>
        </w:rPr>
        <w:t>Talkspace</w:t>
      </w:r>
      <w:r>
        <w:rPr>
          <w:rFonts w:ascii="Arial" w:cs="Arial" w:eastAsia="Arial" w:hAnsi="Arial"/>
          <w:sz w:val="16"/>
          <w:szCs w:val="16"/>
          <w:color w:val="auto"/>
        </w:rPr>
        <w:t>”), Tailwind Merger Sub I, Inc., a newly formed Delaware corporation and subsidiary of HEC (“</w:t>
      </w:r>
      <w:r>
        <w:rPr>
          <w:rFonts w:ascii="Arial" w:cs="Arial" w:eastAsia="Arial" w:hAnsi="Arial"/>
          <w:sz w:val="16"/>
          <w:szCs w:val="16"/>
          <w:i w:val="1"/>
          <w:iCs w:val="1"/>
          <w:color w:val="auto"/>
        </w:rPr>
        <w:t>First Merger Sub</w:t>
      </w:r>
      <w:r>
        <w:rPr>
          <w:rFonts w:ascii="Arial" w:cs="Arial" w:eastAsia="Arial" w:hAnsi="Arial"/>
          <w:sz w:val="16"/>
          <w:szCs w:val="16"/>
          <w:color w:val="auto"/>
        </w:rPr>
        <w:t>”), and Tailwind Merger Sub II, LLC, a newly formed Delaware limited liability company and subsidiary of HEC (“</w:t>
      </w:r>
      <w:r>
        <w:rPr>
          <w:rFonts w:ascii="Arial" w:cs="Arial" w:eastAsia="Arial" w:hAnsi="Arial"/>
          <w:sz w:val="16"/>
          <w:szCs w:val="16"/>
          <w:i w:val="1"/>
          <w:iCs w:val="1"/>
          <w:color w:val="auto"/>
        </w:rPr>
        <w:t>Second Merger Sub</w:t>
      </w:r>
      <w:r>
        <w:rPr>
          <w:rFonts w:ascii="Arial" w:cs="Arial" w:eastAsia="Arial" w:hAnsi="Arial"/>
          <w:sz w:val="16"/>
          <w:szCs w:val="16"/>
          <w:color w:val="auto"/>
        </w:rPr>
        <w:t xml:space="preserve">”), a copy of which is attached to the accompanying proxy statement/prospectus as </w:t>
      </w:r>
      <w:r>
        <w:rPr>
          <w:rFonts w:ascii="Arial" w:cs="Arial" w:eastAsia="Arial" w:hAnsi="Arial"/>
          <w:sz w:val="16"/>
          <w:szCs w:val="16"/>
          <w:i w:val="1"/>
          <w:iCs w:val="1"/>
          <w:color w:val="auto"/>
        </w:rPr>
        <w:t>Annex A</w:t>
      </w:r>
      <w:r>
        <w:rPr>
          <w:rFonts w:ascii="Arial" w:cs="Arial" w:eastAsia="Arial" w:hAnsi="Arial"/>
          <w:sz w:val="16"/>
          <w:szCs w:val="16"/>
          <w:color w:val="auto"/>
        </w:rPr>
        <w:t>, which, among other things, provides for (i) First Merger Sub to be merged with and into Talkspace with Talkspace being the surviving company in the merger (the “</w:t>
      </w:r>
      <w:r>
        <w:rPr>
          <w:rFonts w:ascii="Arial" w:cs="Arial" w:eastAsia="Arial" w:hAnsi="Arial"/>
          <w:sz w:val="16"/>
          <w:szCs w:val="16"/>
          <w:i w:val="1"/>
          <w:iCs w:val="1"/>
          <w:color w:val="auto"/>
        </w:rPr>
        <w:t>First Merger</w:t>
      </w:r>
      <w:r>
        <w:rPr>
          <w:rFonts w:ascii="Arial" w:cs="Arial" w:eastAsia="Arial" w:hAnsi="Arial"/>
          <w:sz w:val="16"/>
          <w:szCs w:val="16"/>
          <w:color w:val="auto"/>
        </w:rPr>
        <w:t>”) and (ii) immediately following the First Merger and as part of the same overall transaction as the First Merger, Talkspace to be merged with and into Second Merger Sub, with Second Merger Sub surviving the merger as a wholly owned subsidiary of HEC (the “</w:t>
      </w:r>
      <w:r>
        <w:rPr>
          <w:rFonts w:ascii="Arial" w:cs="Arial" w:eastAsia="Arial" w:hAnsi="Arial"/>
          <w:sz w:val="16"/>
          <w:szCs w:val="16"/>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the business combination, together with the other transactions contemplated by the Merger Agreement, the “</w:t>
      </w:r>
      <w:r>
        <w:rPr>
          <w:rFonts w:ascii="Arial" w:cs="Arial" w:eastAsia="Arial" w:hAnsi="Arial"/>
          <w:sz w:val="16"/>
          <w:szCs w:val="16"/>
          <w:i w:val="1"/>
          <w:iCs w:val="1"/>
          <w:color w:val="auto"/>
        </w:rPr>
        <w:t>Transactions</w:t>
      </w:r>
      <w:r>
        <w:rPr>
          <w:rFonts w:ascii="Arial" w:cs="Arial" w:eastAsia="Arial" w:hAnsi="Arial"/>
          <w:sz w:val="16"/>
          <w:szCs w:val="16"/>
          <w:color w:val="auto"/>
        </w:rPr>
        <w:t>”) and (b) approving the other transactions contemplated by the Merger Agreement and related agreements described in this proxy statement/prospectus-we refer to this proposal as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jc w:val="both"/>
        <w:ind w:left="540" w:right="20" w:hanging="424"/>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Proposal No. 2—To consider and vote upon a proposal to approve and adopt the second amended and restated certificate of incorporation of HEC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amended and restated certificate of incorporation</w:t>
      </w:r>
      <w:r>
        <w:rPr>
          <w:rFonts w:ascii="Arial" w:cs="Arial" w:eastAsia="Arial" w:hAnsi="Arial"/>
          <w:sz w:val="18"/>
          <w:szCs w:val="18"/>
          <w:color w:val="auto"/>
        </w:rPr>
        <w:t>”)—we refer to this proposal as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right="180" w:hanging="424"/>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3—To consider and vote upon, on a non-binding advisory basis, certain governance provisions in the second amended and restated certificate of incorporation, presented separately in accordance with the United States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requirements-we refer to this proposal as the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No. 4—To consider and vote on a proposal to approve the Talkspace, Inc. 2021 Incentive Award Plan (the “</w:t>
      </w:r>
      <w:r>
        <w:rPr>
          <w:rFonts w:ascii="Arial" w:cs="Arial" w:eastAsia="Arial" w:hAnsi="Arial"/>
          <w:sz w:val="16"/>
          <w:szCs w:val="16"/>
          <w:i w:val="1"/>
          <w:iCs w:val="1"/>
          <w:color w:val="auto"/>
        </w:rPr>
        <w:t>2021 Plan</w:t>
      </w:r>
      <w:r>
        <w:rPr>
          <w:rFonts w:ascii="Arial" w:cs="Arial" w:eastAsia="Arial" w:hAnsi="Arial"/>
          <w:sz w:val="16"/>
          <w:szCs w:val="16"/>
          <w:color w:val="auto"/>
        </w:rPr>
        <w:t>”)—we refer to this proposal as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xml:space="preserve">.” A copy of the 2021 Plan is attached to the accompanying proxy statement/prospectus as </w:t>
      </w:r>
      <w:r>
        <w:rPr>
          <w:rFonts w:ascii="Arial" w:cs="Arial" w:eastAsia="Arial" w:hAnsi="Arial"/>
          <w:sz w:val="16"/>
          <w:szCs w:val="16"/>
          <w:i w:val="1"/>
          <w:iCs w:val="1"/>
          <w:color w:val="auto"/>
        </w:rPr>
        <w:t>Annex G</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right="200" w:hanging="424"/>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No. 5—To consider and vote on a proposal to approve the Talkspace, Inc. Employee Stock Purchase Plan (the “</w:t>
      </w:r>
      <w:r>
        <w:rPr>
          <w:rFonts w:ascii="Arial" w:cs="Arial" w:eastAsia="Arial" w:hAnsi="Arial"/>
          <w:sz w:val="16"/>
          <w:szCs w:val="16"/>
          <w:i w:val="1"/>
          <w:iCs w:val="1"/>
          <w:color w:val="auto"/>
        </w:rPr>
        <w:t>ESPP—we refer to this</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as the “ESPP proposal.” A copy of the ESPP is attached to the accompanying proxy statement/prospectus as Annex H</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hanging="424"/>
        <w:spacing w:after="0" w:line="286"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No. 6—To consider and vote upon a proposal to divide the board of directors into three classes to serve staggered terms on the Talkspace, Inc. board of directors until immediately following the 2022, 2023 and 2024 annual meetings of Talkspace, Inc. stockholders, as applicable, and until their respective successors are duly elected and qualified-we refer to this proposal as the “</w:t>
      </w:r>
      <w:r>
        <w:rPr>
          <w:rFonts w:ascii="Arial" w:cs="Arial" w:eastAsia="Arial" w:hAnsi="Arial"/>
          <w:sz w:val="17"/>
          <w:szCs w:val="17"/>
          <w:i w:val="1"/>
          <w:iCs w:val="1"/>
          <w:color w:val="auto"/>
        </w:rPr>
        <w:t>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40" w:right="28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7—To consider and vote upon a proposal to approve, for purposes of complying with the applicable provisions of Nasdaq Listing Rule 5635, the issuance of more than 20% of HEC’s issued and</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outstanding shares of HEC’s common stock in connection with the business combination, including, without limitation, the PIPE Investment (as described below)—we refer to this proposal as the “</w:t>
      </w:r>
      <w:r>
        <w:rPr>
          <w:rFonts w:ascii="Arial" w:cs="Arial" w:eastAsia="Arial" w:hAnsi="Arial"/>
          <w:sz w:val="18"/>
          <w:szCs w:val="18"/>
          <w:i w:val="1"/>
          <w:iCs w:val="1"/>
          <w:color w:val="auto"/>
        </w:rPr>
        <w:t>Nasdaq proposal</w:t>
      </w:r>
      <w:r>
        <w:rPr>
          <w:rFonts w:ascii="Arial" w:cs="Arial" w:eastAsia="Arial" w:hAnsi="Arial"/>
          <w:sz w:val="18"/>
          <w:szCs w:val="18"/>
          <w:color w:val="auto"/>
        </w:rPr>
        <w:t>”; and</w:t>
      </w:r>
    </w:p>
    <w:p>
      <w:pPr>
        <w:spacing w:after="0" w:line="76" w:lineRule="exact"/>
        <w:rPr>
          <w:sz w:val="20"/>
          <w:szCs w:val="20"/>
          <w:color w:val="auto"/>
        </w:rPr>
      </w:pPr>
    </w:p>
    <w:p>
      <w:pPr>
        <w:ind w:left="540" w:right="480" w:hanging="424"/>
        <w:spacing w:after="0" w:line="27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 No. 8—To consider and vote upon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proposal—we refer to this proposal as the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pacing w:after="0" w:line="18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Each of these proposals is more fully described in the accompanying proxy statement/prospectus, which we encourage you to read carefully and in its entirety before voting. Only holders of record of HEC’s common stock at the close of business on May 19, 2021 are entitled to notice of the special meeting and to vote and have their votes counted at the special meeting and any adjournments or postponements thereof.</w:t>
      </w:r>
    </w:p>
    <w:p>
      <w:pPr>
        <w:spacing w:after="0" w:line="165"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After careful consideration, the HEC Board has determined that the business combination proposal, the charter proposal, the governance proposal, the incentive plan proposal, the ESPP proposal, the director election proposal, the Nasdaq proposal and the adjournment proposal are fair to and in the best interests of HEC and its stockholders and unanimously recommends that you vote or give instruction to vote “FOR” the business combination proposal, “FOR” the charter proposal, “FOR” the governance proposal, “FOR” the incentive plan proposal, “FOR” the ESPP proposal, “FOR” the director election proposal, “FOR” the Nasdaq proposal and “FOR” the adjournment proposal, if presented. 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7"/>
          <w:szCs w:val="17"/>
          <w:i w:val="1"/>
          <w:iCs w:val="1"/>
          <w:color w:val="auto"/>
        </w:rPr>
        <w:t>Proposal No. 1—The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Proposal—Interests of Certain Persons in the Business Combination</w:t>
      </w:r>
      <w:r>
        <w:rPr>
          <w:rFonts w:ascii="Arial" w:cs="Arial" w:eastAsia="Arial" w:hAnsi="Arial"/>
          <w:sz w:val="17"/>
          <w:szCs w:val="17"/>
          <w:color w:val="auto"/>
        </w:rPr>
        <w:t>” for additional information. The HEC Board was aware of and considered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among other matters, in evaluating and negotiating the Transactions and in recommending to the HEC stockholders that they vote in favor of the proposals presented at the special meeting.</w:t>
      </w:r>
    </w:p>
    <w:p>
      <w:pPr>
        <w:spacing w:after="0" w:line="185"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In connection with the Merger Agreement, the HEC Insiders (as defined herein) have entered into the Sponsor Support Agreement, pursuant to which, among other things, such stockholders have agreed (i) to vote their shares in favor of the business combination proposal and the other Condition Precedent Proposals included in the accompanying proxy statement/prospectus, (ii) not transfer their shares of Talkspace, Inc. common stock and warrants (including the shares of Talkspace, Inc. common stock issuable upon exercise thereof) held by each HEC Insider immediately following the Closing for a period of 180 days following the Closing Date, subject to certain exceptions and (iii) certain vesting provisions of their shares.</w:t>
      </w:r>
    </w:p>
    <w:p>
      <w:pPr>
        <w:spacing w:after="0" w:line="16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170"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To raise additional proceeds to fund the Transactions, HEC has entered into subscription agreements (containing commitments to funding that are subject only to conditions that are generally aligned with the conditions set forth in the Merger Agreement), pursuant to which certain investors have agreed to purchase an aggregate of 30,000,000 shares of Talkspace, Inc. common stock, which we refer to as the “</w:t>
      </w:r>
      <w:r>
        <w:rPr>
          <w:rFonts w:ascii="Arial" w:cs="Arial" w:eastAsia="Arial" w:hAnsi="Arial"/>
          <w:sz w:val="18"/>
          <w:szCs w:val="18"/>
          <w:i w:val="1"/>
          <w:iCs w:val="1"/>
          <w:color w:val="auto"/>
        </w:rPr>
        <w:t>PIPE Investment</w:t>
      </w:r>
      <w:r>
        <w:rPr>
          <w:rFonts w:ascii="Arial" w:cs="Arial" w:eastAsia="Arial" w:hAnsi="Arial"/>
          <w:sz w:val="18"/>
          <w:szCs w:val="18"/>
          <w:color w:val="auto"/>
        </w:rPr>
        <w:t>,” for a price of $10.00 per share for an aggregate commitment of $300,000,000.</w:t>
      </w:r>
    </w:p>
    <w:p>
      <w:pPr>
        <w:spacing w:after="0" w:line="18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HEC’s current certificate of incorporation, a public stockholder may demand that HEC redeem such shares for cash if the business combination is consummated. Public stockholders will be entitled to receive cash</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these shares only if they demand that HEC redeem their shares for cash no later than the second business day prior to the vote on the business combination proposal by delivering their stock to HEC’s transfer agent prior to the vote at the special meeting. If a public stockholder properly demands redemption, HEC will redeem each public share for a full pro rata portion of the trust account holding the proceeds from the HEC IPO, calculated as of two business days prior to the Closing. Each public stockholder may elect to redeem their public shares irrespective of whether they vote for or against the proposed transaction or don’t vote at all.</w:t>
      </w:r>
    </w:p>
    <w:p>
      <w:pPr>
        <w:spacing w:after="0" w:line="18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All HEC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176"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Your vote is important regardless of the number of shares you own. Whether you plan to attend the special meeting or not, please sign, date and return the enclosed proxy card as soon as possible in the envelope provided. If your shares are held in “street name” or are in a margin or similar account, you should contact your broker to ensure that votes related to the shares you beneficially own are properly counted.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Douglas L. Braunstein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Chairman and Director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IF YOU RETURN YOUR PROXY CARD WITHOUT AN INDICATION OF HOW YOU WISH TO VOTE, YOUR SHARES WILL BE VOTED IN FAVOR OF EACH OF THE PROPOSALS.</w:t>
      </w:r>
    </w:p>
    <w:p>
      <w:pPr>
        <w:spacing w:after="0" w:line="1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TO EXERCISE YOUR REDEMPTION RIGHTS, YOU MUST ELECT TO HAVE HEC REDEEM YOUR SHARES FOR A PRO RATA PORTION OF THE FUNDS HELD IN THE TRUST ACCOUNT AND TENDER YOUR SHARES TO HEC’S TRANSFER AGENT AT LEAST TWO (2) BUSINESS DAYS PRIOR TO THE VOTE AT THE SPECIAL MEETING. YOU MAY TENDER YOUR SHARES BY EITHER DELIVERING YOUR SHARE CERTIFICATE TO THE TRANSFER AGENT OR BY DELIVERING YOUR SHARES ELECTRONICALLY USING THE DEPOSITORY TRUST COMPANY’S DWAC (DEPOSIT AND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PLEASE SEE THE SECTION ENTITLED “</w:t>
      </w:r>
      <w:r>
        <w:rPr>
          <w:rFonts w:ascii="Arial" w:cs="Arial" w:eastAsia="Arial" w:hAnsi="Arial"/>
          <w:sz w:val="18"/>
          <w:szCs w:val="18"/>
          <w:b w:val="1"/>
          <w:bCs w:val="1"/>
          <w:i w:val="1"/>
          <w:iCs w:val="1"/>
          <w:color w:val="auto"/>
        </w:rPr>
        <w:t>SPECIAL MEETING OF HEC STOCKHOLDERS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REDEMPTION RIGHTS</w:t>
      </w:r>
      <w:r>
        <w:rPr>
          <w:rFonts w:ascii="Arial" w:cs="Arial" w:eastAsia="Arial" w:hAnsi="Arial"/>
          <w:sz w:val="18"/>
          <w:szCs w:val="18"/>
          <w:b w:val="1"/>
          <w:bCs w:val="1"/>
          <w:color w:val="auto"/>
        </w:rPr>
        <w:t>” FOR MORE SPECIFIC INSTRUCTIONS.</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7"/>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41"/>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Market, Industry and Other Data</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41"/>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Trademarks</w:t>
              </w:r>
            </w:hyperlink>
          </w:p>
        </w:tc>
        <w:tc>
          <w:tcPr>
            <w:tcW w:w="830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Frequently Used Terms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Summary of the Material Terms of the Transactions</w:t>
              </w:r>
            </w:hyperlink>
          </w:p>
        </w:tc>
        <w:tc>
          <w:tcPr>
            <w:tcW w:w="692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Questions and Answers about the Proposals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Summary of the Proxy Statement/Prospectus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HEC’s Summary Historical Financial Information</w:t>
              </w:r>
            </w:hyperlink>
          </w:p>
        </w:tc>
        <w:tc>
          <w:tcPr>
            <w:tcW w:w="70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Talkspace’s Summary Historical Financial Information</w:t>
              </w:r>
            </w:hyperlink>
          </w:p>
        </w:tc>
        <w:tc>
          <w:tcPr>
            <w:tcW w:w="66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Summary Unaudited Pro Forma Condensed Combined Financial Information</w:t>
              </w:r>
            </w:hyperlink>
          </w:p>
        </w:tc>
        <w:tc>
          <w:tcPr>
            <w:tcW w:w="50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Comparative Share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Cautionary Note Regarding Forward-Looking Statements</w:t>
              </w:r>
            </w:hyperlink>
          </w:p>
        </w:tc>
        <w:tc>
          <w:tcPr>
            <w:tcW w:w="64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Special Meeting of HEC Stockholders</w:t>
              </w:r>
            </w:hyperlink>
          </w:p>
        </w:tc>
        <w:tc>
          <w:tcPr>
            <w:tcW w:w="788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Proposal No. 1—The Business Combination Proposal</w:t>
              </w:r>
            </w:hyperlink>
          </w:p>
        </w:tc>
        <w:tc>
          <w:tcPr>
            <w:tcW w:w="67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Proposal No. 2—The Charter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Proposal No. 3—The Governance Proposal</w:t>
              </w:r>
            </w:hyperlink>
          </w:p>
        </w:tc>
        <w:tc>
          <w:tcPr>
            <w:tcW w:w="75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Proposal No. 4—The Incentive Plan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Proposal No. 5—The ESPP Proposal</w:t>
              </w:r>
            </w:hyperlink>
          </w:p>
        </w:tc>
        <w:tc>
          <w:tcPr>
            <w:tcW w:w="73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Proposal No. 6—The Director Election Proposal</w:t>
              </w:r>
            </w:hyperlink>
          </w:p>
        </w:tc>
        <w:tc>
          <w:tcPr>
            <w:tcW w:w="714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Proposal No. 7—The Nasdaq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Proposal No. 8—The Adjournment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24"/>
          </w:tcPr>
          <w:p>
            <w:pPr>
              <w:spacing w:after="0" w:line="196"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U.S. Federal Income Tax Considerations</w:t>
              </w:r>
            </w:hyperlink>
          </w:p>
        </w:tc>
        <w:tc>
          <w:tcPr>
            <w:tcW w:w="74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96">
              <w:r>
                <w:rPr>
                  <w:rFonts w:ascii="Arial" w:cs="Arial" w:eastAsia="Arial" w:hAnsi="Arial"/>
                  <w:sz w:val="18"/>
                  <w:szCs w:val="18"/>
                  <w:color w:val="0000EE"/>
                  <w:w w:val="91"/>
                </w:rPr>
                <w:t>Other Information Related to HEC</w:t>
              </w:r>
            </w:hyperlink>
          </w:p>
        </w:tc>
        <w:tc>
          <w:tcPr>
            <w:tcW w:w="420" w:type="dxa"/>
            <w:vAlign w:val="bottom"/>
            <w:tcBorders>
              <w:top w:val="single" w:sz="8" w:color="0000EE"/>
            </w:tcBorders>
            <w:gridSpan w:val="7"/>
          </w:tcPr>
          <w:p>
            <w:pPr>
              <w:spacing w:after="0"/>
              <w:rPr>
                <w:sz w:val="17"/>
                <w:szCs w:val="17"/>
                <w:color w:val="auto"/>
              </w:rPr>
            </w:pPr>
          </w:p>
        </w:tc>
        <w:tc>
          <w:tcPr>
            <w:tcW w:w="772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206">
              <w:r>
                <w:rPr>
                  <w:rFonts w:ascii="Arial" w:cs="Arial" w:eastAsia="Arial" w:hAnsi="Arial"/>
                  <w:sz w:val="18"/>
                  <w:szCs w:val="18"/>
                  <w:color w:val="0000EE"/>
                  <w:w w:val="91"/>
                </w:rPr>
                <w:t>HEC’s Management’s Discussion and Analysis of Financial Condition and Results of Operations</w:t>
              </w:r>
            </w:hyperlink>
          </w:p>
        </w:tc>
        <w:tc>
          <w:tcPr>
            <w:tcW w:w="36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Information about Talkspace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241">
              <w:r>
                <w:rPr>
                  <w:rFonts w:ascii="Arial" w:cs="Arial" w:eastAsia="Arial" w:hAnsi="Arial"/>
                  <w:sz w:val="18"/>
                  <w:szCs w:val="18"/>
                  <w:color w:val="0000EE"/>
                  <w:w w:val="90"/>
                </w:rPr>
                <w:t>Management of Talkspace, Inc. Following the Business Combination</w:t>
              </w:r>
            </w:hyperlink>
          </w:p>
        </w:tc>
        <w:tc>
          <w:tcPr>
            <w:tcW w:w="56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47">
              <w:r>
                <w:rPr>
                  <w:rFonts w:ascii="Arial" w:cs="Arial" w:eastAsia="Arial" w:hAnsi="Arial"/>
                  <w:sz w:val="18"/>
                  <w:szCs w:val="18"/>
                  <w:color w:val="0000EE"/>
                  <w:w w:val="89"/>
                </w:rPr>
                <w:t>Executive Compensation</w:t>
              </w:r>
            </w:hyperlink>
          </w:p>
        </w:tc>
        <w:tc>
          <w:tcPr>
            <w:tcW w:w="8840" w:type="dxa"/>
            <w:vAlign w:val="bottom"/>
            <w:gridSpan w:val="3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58">
              <w:r>
                <w:rPr>
                  <w:rFonts w:ascii="Arial" w:cs="Arial" w:eastAsia="Arial" w:hAnsi="Arial"/>
                  <w:sz w:val="18"/>
                  <w:szCs w:val="18"/>
                  <w:color w:val="0000EE"/>
                  <w:w w:val="90"/>
                </w:rPr>
                <w:t>Unaudited Pro Forma Condensed Combined Financial Information</w:t>
              </w:r>
            </w:hyperlink>
          </w:p>
        </w:tc>
        <w:tc>
          <w:tcPr>
            <w:tcW w:w="58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244</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HEC’s Selected Historical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Talkspace Selected Historical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275">
              <w:r>
                <w:rPr>
                  <w:rFonts w:ascii="Arial" w:cs="Arial" w:eastAsia="Arial" w:hAnsi="Arial"/>
                  <w:sz w:val="18"/>
                  <w:szCs w:val="18"/>
                  <w:color w:val="0000EE"/>
                  <w:w w:val="90"/>
                </w:rPr>
                <w:t>Talkspace’s Management’s Discussion and Analysis of Financial Condition and Results of Operations</w:t>
              </w:r>
            </w:hyperlink>
          </w:p>
        </w:tc>
        <w:tc>
          <w:tcPr>
            <w:tcW w:w="33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261</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Description of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278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301">
              <w:r>
                <w:rPr>
                  <w:rFonts w:ascii="Arial" w:cs="Arial" w:eastAsia="Arial" w:hAnsi="Arial"/>
                  <w:sz w:val="18"/>
                  <w:szCs w:val="18"/>
                  <w:color w:val="0000EE"/>
                  <w:w w:val="92"/>
                </w:rPr>
                <w:t>Market Price and Dividend Information</w:t>
              </w:r>
            </w:hyperlink>
          </w:p>
        </w:tc>
        <w:tc>
          <w:tcPr>
            <w:tcW w:w="7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287</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02">
              <w:r>
                <w:rPr>
                  <w:rFonts w:ascii="Arial" w:cs="Arial" w:eastAsia="Arial" w:hAnsi="Arial"/>
                  <w:sz w:val="18"/>
                  <w:szCs w:val="18"/>
                  <w:color w:val="0000EE"/>
                  <w:w w:val="91"/>
                </w:rPr>
                <w:t>Beneficial Ownership of Securities</w:t>
              </w:r>
            </w:hyperlink>
          </w:p>
        </w:tc>
        <w:tc>
          <w:tcPr>
            <w:tcW w:w="812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Certain Relationships and Related Person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80" w:type="dxa"/>
            <w:vAlign w:val="bottom"/>
            <w:gridSpan w:val="10"/>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310">
              <w:r>
                <w:rPr>
                  <w:rFonts w:ascii="Arial" w:cs="Arial" w:eastAsia="Arial" w:hAnsi="Arial"/>
                  <w:sz w:val="18"/>
                  <w:szCs w:val="18"/>
                  <w:color w:val="0000EE"/>
                  <w:w w:val="90"/>
                </w:rPr>
                <w:t>Securities Act Restrictions on Resale of HEC’s Securities</w:t>
              </w:r>
            </w:hyperlink>
          </w:p>
        </w:tc>
        <w:tc>
          <w:tcPr>
            <w:tcW w:w="6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296</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11">
              <w:r>
                <w:rPr>
                  <w:rFonts w:ascii="Arial" w:cs="Arial" w:eastAsia="Arial" w:hAnsi="Arial"/>
                  <w:sz w:val="18"/>
                  <w:szCs w:val="18"/>
                  <w:color w:val="0000EE"/>
                  <w:w w:val="91"/>
                </w:rPr>
                <w:t>Appraisal Rights</w:t>
              </w:r>
            </w:hyperlink>
          </w:p>
        </w:tc>
        <w:tc>
          <w:tcPr>
            <w:tcW w:w="9420" w:type="dxa"/>
            <w:vAlign w:val="bottom"/>
            <w:gridSpan w:val="3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297</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Submission of Stockholder Proposals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297</w:t>
            </w:r>
          </w:p>
        </w:tc>
        <w:tc>
          <w:tcPr>
            <w:tcW w:w="0" w:type="dxa"/>
            <w:vAlign w:val="bottom"/>
          </w:tcPr>
          <w:p>
            <w:pPr>
              <w:spacing w:after="0"/>
              <w:rPr>
                <w:sz w:val="1"/>
                <w:szCs w:val="1"/>
                <w:color w:val="auto"/>
              </w:rPr>
            </w:pPr>
          </w:p>
        </w:tc>
      </w:tr>
      <w:tr>
        <w:trPr>
          <w:trHeight w:val="196"/>
        </w:trPr>
        <w:tc>
          <w:tcPr>
            <w:tcW w:w="2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Future Stockholder Proposals</w:t>
              </w:r>
            </w:hyperlink>
          </w:p>
        </w:tc>
        <w:tc>
          <w:tcPr>
            <w:tcW w:w="796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297</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12">
              <w:r>
                <w:rPr>
                  <w:rFonts w:ascii="Arial" w:cs="Arial" w:eastAsia="Arial" w:hAnsi="Arial"/>
                  <w:sz w:val="18"/>
                  <w:szCs w:val="18"/>
                  <w:color w:val="0000EE"/>
                </w:rPr>
                <w:t>Legal Matters</w:t>
              </w:r>
            </w:hyperlink>
          </w:p>
        </w:tc>
        <w:tc>
          <w:tcPr>
            <w:tcW w:w="852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2">
              <w:r>
                <w:rPr>
                  <w:rFonts w:ascii="Arial" w:cs="Arial" w:eastAsia="Arial" w:hAnsi="Arial"/>
                  <w:sz w:val="18"/>
                  <w:szCs w:val="18"/>
                  <w:color w:val="0000EE"/>
                </w:rPr>
                <w:t>Experts</w:t>
              </w:r>
            </w:hyperlink>
          </w:p>
        </w:tc>
        <w:tc>
          <w:tcPr>
            <w:tcW w:w="9640" w:type="dxa"/>
            <w:vAlign w:val="bottom"/>
            <w:gridSpan w:val="3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312">
              <w:r>
                <w:rPr>
                  <w:rFonts w:ascii="Arial" w:cs="Arial" w:eastAsia="Arial" w:hAnsi="Arial"/>
                  <w:sz w:val="18"/>
                  <w:szCs w:val="18"/>
                  <w:color w:val="0000EE"/>
                  <w:w w:val="92"/>
                </w:rPr>
                <w:t>Other Stockholder Communications</w:t>
              </w:r>
            </w:hyperlink>
          </w:p>
        </w:tc>
        <w:tc>
          <w:tcPr>
            <w:tcW w:w="798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298</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312">
              <w:r>
                <w:rPr>
                  <w:rFonts w:ascii="Arial" w:cs="Arial" w:eastAsia="Arial" w:hAnsi="Arial"/>
                  <w:sz w:val="18"/>
                  <w:szCs w:val="18"/>
                  <w:color w:val="0000EE"/>
                  <w:w w:val="91"/>
                </w:rPr>
                <w:t>Delivery of Documents to Stockholders</w:t>
              </w:r>
            </w:hyperlink>
          </w:p>
        </w:tc>
        <w:tc>
          <w:tcPr>
            <w:tcW w:w="7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298</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12">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298</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314">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9"/>
          </w:tcPr>
          <w:p>
            <w:pPr>
              <w:spacing w:after="0"/>
              <w:rPr>
                <w:sz w:val="17"/>
                <w:szCs w:val="17"/>
                <w:color w:val="auto"/>
              </w:rPr>
            </w:pPr>
          </w:p>
        </w:tc>
        <w:tc>
          <w:tcPr>
            <w:tcW w:w="7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96">
              <w:r>
                <w:rPr>
                  <w:rFonts w:ascii="Arial" w:cs="Arial" w:eastAsia="Arial" w:hAnsi="Arial"/>
                  <w:sz w:val="18"/>
                  <w:szCs w:val="18"/>
                  <w:color w:val="0000EE"/>
                </w:rPr>
                <w:t>Annex A—Merger Agreement</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gridSpan w:val="13"/>
            <w:shd w:val="clear" w:color="auto" w:fill="0000EE"/>
          </w:tcPr>
          <w:p>
            <w:pPr>
              <w:spacing w:after="0" w:line="20" w:lineRule="exact"/>
              <w:rPr>
                <w:sz w:val="1"/>
                <w:szCs w:val="1"/>
                <w:color w:val="auto"/>
              </w:rPr>
            </w:pPr>
          </w:p>
        </w:tc>
        <w:tc>
          <w:tcPr>
            <w:tcW w:w="3520" w:type="dxa"/>
            <w:vAlign w:val="bottom"/>
            <w:gridSpan w:val="2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481">
              <w:r>
                <w:rPr>
                  <w:rFonts w:ascii="Arial" w:cs="Arial" w:eastAsia="Arial" w:hAnsi="Arial"/>
                  <w:sz w:val="18"/>
                  <w:szCs w:val="18"/>
                  <w:color w:val="0000EE"/>
                  <w:w w:val="91"/>
                </w:rPr>
                <w:t>Annex B—Form of Second Amended and Restated Certificate of Incorporation</w:t>
              </w:r>
            </w:hyperlink>
          </w:p>
        </w:tc>
        <w:tc>
          <w:tcPr>
            <w:tcW w:w="49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0"/>
        <w:spacing w:after="0"/>
        <w:rPr>
          <w:rFonts w:ascii="Arial" w:cs="Arial" w:eastAsia="Arial" w:hAnsi="Arial"/>
          <w:sz w:val="18"/>
          <w:szCs w:val="18"/>
          <w:u w:val="single" w:color="auto"/>
          <w:color w:val="0000EE"/>
        </w:rPr>
      </w:pPr>
      <w:hyperlink w:anchor="page494">
        <w:r>
          <w:rPr>
            <w:rFonts w:ascii="Arial" w:cs="Arial" w:eastAsia="Arial" w:hAnsi="Arial"/>
            <w:sz w:val="18"/>
            <w:szCs w:val="18"/>
            <w:u w:val="single" w:color="auto"/>
            <w:color w:val="0000EE"/>
          </w:rPr>
          <w:t>Annex C—Form of Amended and Restated Bylaws</w:t>
        </w:r>
      </w:hyperlink>
    </w:p>
    <w:p>
      <w:pPr>
        <w:spacing w:after="0" w:line="23" w:lineRule="exact"/>
        <w:rPr>
          <w:sz w:val="20"/>
          <w:szCs w:val="20"/>
          <w:color w:val="auto"/>
        </w:rPr>
      </w:pPr>
    </w:p>
    <w:p>
      <w:pPr>
        <w:ind w:left="1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Annex D—Form of Registration Rights Agreement</w:t>
        </w:r>
      </w:hyperlink>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Annex E—Talkspace Holders Support Agreement</w:t>
        </w:r>
      </w:hyperlink>
    </w:p>
    <w:p>
      <w:pPr>
        <w:spacing w:after="0" w:line="23" w:lineRule="exact"/>
        <w:rPr>
          <w:sz w:val="20"/>
          <w:szCs w:val="20"/>
          <w:color w:val="auto"/>
        </w:rPr>
      </w:pPr>
    </w:p>
    <w:p>
      <w:pPr>
        <w:ind w:left="120"/>
        <w:spacing w:after="0"/>
        <w:rPr>
          <w:rFonts w:ascii="Arial" w:cs="Arial" w:eastAsia="Arial" w:hAnsi="Arial"/>
          <w:sz w:val="18"/>
          <w:szCs w:val="18"/>
          <w:u w:val="single" w:color="auto"/>
          <w:color w:val="0000EE"/>
        </w:rPr>
      </w:pPr>
      <w:hyperlink w:anchor="page566">
        <w:r>
          <w:rPr>
            <w:rFonts w:ascii="Arial" w:cs="Arial" w:eastAsia="Arial" w:hAnsi="Arial"/>
            <w:sz w:val="18"/>
            <w:szCs w:val="18"/>
            <w:u w:val="single" w:color="auto"/>
            <w:color w:val="0000EE"/>
          </w:rPr>
          <w:t>Annex F—Form of the PIPE Subscription Agreement</w:t>
        </w:r>
      </w:hyperlink>
    </w:p>
    <w:p>
      <w:pPr>
        <w:spacing w:after="0" w:line="9" w:lineRule="exact"/>
        <w:rPr>
          <w:sz w:val="20"/>
          <w:szCs w:val="20"/>
          <w:color w:val="auto"/>
        </w:rPr>
      </w:pPr>
    </w:p>
    <w:p>
      <w:pPr>
        <w:ind w:left="120"/>
        <w:spacing w:after="0"/>
        <w:rPr>
          <w:rFonts w:ascii="Arial" w:cs="Arial" w:eastAsia="Arial" w:hAnsi="Arial"/>
          <w:sz w:val="18"/>
          <w:szCs w:val="18"/>
          <w:u w:val="single" w:color="auto"/>
          <w:color w:val="0000EE"/>
        </w:rPr>
      </w:pPr>
      <w:hyperlink w:anchor="page593">
        <w:r>
          <w:rPr>
            <w:rFonts w:ascii="Arial" w:cs="Arial" w:eastAsia="Arial" w:hAnsi="Arial"/>
            <w:sz w:val="18"/>
            <w:szCs w:val="18"/>
            <w:u w:val="single" w:color="auto"/>
            <w:color w:val="0000EE"/>
          </w:rPr>
          <w:t>Annex G—Talkspace, Inc. 2021 Incentive Award Plan</w:t>
        </w:r>
      </w:hyperlink>
    </w:p>
    <w:p>
      <w:pPr>
        <w:spacing w:after="0" w:line="9" w:lineRule="exact"/>
        <w:rPr>
          <w:sz w:val="20"/>
          <w:szCs w:val="20"/>
          <w:color w:val="auto"/>
        </w:rPr>
      </w:pPr>
    </w:p>
    <w:p>
      <w:pPr>
        <w:ind w:left="120"/>
        <w:spacing w:after="0"/>
        <w:rPr>
          <w:rFonts w:ascii="Arial" w:cs="Arial" w:eastAsia="Arial" w:hAnsi="Arial"/>
          <w:sz w:val="18"/>
          <w:szCs w:val="18"/>
          <w:u w:val="single" w:color="auto"/>
          <w:color w:val="0000EE"/>
        </w:rPr>
      </w:pPr>
      <w:hyperlink w:anchor="page610">
        <w:r>
          <w:rPr>
            <w:rFonts w:ascii="Arial" w:cs="Arial" w:eastAsia="Arial" w:hAnsi="Arial"/>
            <w:sz w:val="18"/>
            <w:szCs w:val="18"/>
            <w:u w:val="single" w:color="auto"/>
            <w:color w:val="0000EE"/>
          </w:rPr>
          <w:t>Annex H—Talkspace, Inc. 2021 Employee Stock Purchase Plan</w:t>
        </w:r>
      </w:hyperlink>
    </w:p>
    <w:p>
      <w:pPr>
        <w:spacing w:after="0" w:line="9" w:lineRule="exact"/>
        <w:rPr>
          <w:sz w:val="20"/>
          <w:szCs w:val="20"/>
          <w:color w:val="auto"/>
        </w:rPr>
      </w:pPr>
    </w:p>
    <w:p>
      <w:pPr>
        <w:ind w:left="120"/>
        <w:spacing w:after="0"/>
        <w:rPr>
          <w:rFonts w:ascii="Arial" w:cs="Arial" w:eastAsia="Arial" w:hAnsi="Arial"/>
          <w:sz w:val="18"/>
          <w:szCs w:val="18"/>
          <w:u w:val="single" w:color="auto"/>
          <w:color w:val="0000EE"/>
        </w:rPr>
      </w:pPr>
      <w:hyperlink w:anchor="page623">
        <w:r>
          <w:rPr>
            <w:rFonts w:ascii="Arial" w:cs="Arial" w:eastAsia="Arial" w:hAnsi="Arial"/>
            <w:sz w:val="18"/>
            <w:szCs w:val="18"/>
            <w:u w:val="single" w:color="auto"/>
            <w:color w:val="0000EE"/>
          </w:rPr>
          <w:t>Annex I—Sponsor Support Agreement</w:t>
        </w:r>
      </w:hyperlink>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This proxy statement/prospectus includes estimates regarding market and industry data and forecasts, which are based on publicly available information, industry publications and surveys, reports from government agencies, reports by market research firms or other independent sources and our own estimates based on our management’s knowledge of and experience in the market sectors in which we compete.</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Certain monetary amounts, percentages and other figures included in this proxy statement/prospectus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This proxy statement/prospectus also contains trademarks, service marks, copyrights and trade names of other companies, which are the property of their respective owners. We do not intend our use or display of other companies’ trademarks, copyrights or trade names to imply a relationship with, or endorsement or sponsorship of us by any other companies. Solely for convenience, our trademarks and trade names referred to in this proxy statement/prospectus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stated in this proxy statement/prospectus or the context otherwise requires, references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xml:space="preserve">” are to the Talkspace, Inc. 2021 Incentive Award Plan attached to this proxy statement/prospectus as </w:t>
      </w:r>
      <w:r>
        <w:rPr>
          <w:rFonts w:ascii="Arial" w:cs="Arial" w:eastAsia="Arial" w:hAnsi="Arial"/>
          <w:sz w:val="18"/>
          <w:szCs w:val="18"/>
          <w:i w:val="1"/>
          <w:iCs w:val="1"/>
          <w:color w:val="auto"/>
        </w:rPr>
        <w:t>Annex G</w:t>
      </w:r>
      <w:r>
        <w:rPr>
          <w:rFonts w:ascii="Arial" w:cs="Arial" w:eastAsia="Arial" w:hAnsi="Arial"/>
          <w:sz w:val="18"/>
          <w:szCs w:val="18"/>
          <w:color w:val="auto"/>
        </w:rPr>
        <w:t>;</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Action</w:t>
      </w:r>
      <w:r>
        <w:rPr>
          <w:rFonts w:ascii="Arial" w:cs="Arial" w:eastAsia="Arial" w:hAnsi="Arial"/>
          <w:sz w:val="18"/>
          <w:szCs w:val="18"/>
          <w:color w:val="auto"/>
        </w:rPr>
        <w:t>” are to any claim, action, suit, assessment, arbitration or legal, judicial or administrative proceeding (whether at law or in equity) or arbitration;</w:t>
      </w:r>
    </w:p>
    <w:p>
      <w:pPr>
        <w:spacing w:after="0" w:line="170"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Assumed Vested Talkspace Option Election Consideration</w:t>
      </w:r>
      <w:r>
        <w:rPr>
          <w:rFonts w:ascii="Arial" w:cs="Arial" w:eastAsia="Arial" w:hAnsi="Arial"/>
          <w:sz w:val="17"/>
          <w:szCs w:val="17"/>
          <w:color w:val="auto"/>
        </w:rPr>
        <w:t xml:space="preserve">” are to (a) with respect to an Eligible Cash-Out Vested Talkspace Option, cash in an amount equal to (i) (A) the Per Share Merger Consideration multiplied by (B) such number of shares of Talkspace common stock underlying the Eligible Cash-Out Vested Talkspace Option,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aggregate exercise price applicable to each share of Talkspace common stock underlying such Eligible Cash-Out Vested Talkspace Option and (b) with respect to the remaining shares of Talkspace common stock subject to such Vested Talkspace Option, a Vested HEC Option; </w:t>
      </w:r>
      <w:r>
        <w:rPr>
          <w:rFonts w:ascii="Arial" w:cs="Arial" w:eastAsia="Arial" w:hAnsi="Arial"/>
          <w:sz w:val="17"/>
          <w:szCs w:val="17"/>
          <w:i w:val="1"/>
          <w:iCs w:val="1"/>
          <w:color w:val="auto"/>
        </w:rPr>
        <w:t>provided</w:t>
      </w:r>
      <w:r>
        <w:rPr>
          <w:rFonts w:ascii="Arial" w:cs="Arial" w:eastAsia="Arial" w:hAnsi="Arial"/>
          <w:sz w:val="17"/>
          <w:szCs w:val="17"/>
          <w:color w:val="auto"/>
        </w:rPr>
        <w:t>, that the Eligible Cash-Out Vested Talkspace Option shall mean an amount, expressed as a percentage, equal the Adjusted Assumed Vested Talkspace Option Election Percentage;</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Assumed Vested Talkspace Option Election Percentage</w:t>
      </w:r>
      <w:r>
        <w:rPr>
          <w:rFonts w:ascii="Arial" w:cs="Arial" w:eastAsia="Arial" w:hAnsi="Arial"/>
          <w:sz w:val="18"/>
          <w:szCs w:val="18"/>
          <w:color w:val="auto"/>
        </w:rPr>
        <w:t xml:space="preserve">” are to an amount, expressed as a percentage, (a) (i) the numerator of which is equal to the absolute value of the Available Excess Cash Amount, and (ii) the denominator of which is equal to the sum of (A) the Closing Cash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result of multiplying (1) the Closing Share Consideration by (2)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(3) a fraction, (x) the numerator of which is the sum of the total number of Stock Electing Shares and Assumed Electing Options and (y) the denominator of which is the Aggregate Fully Diluted Talkspace Common Stock;</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Optionholder Cash Weighted Mixed Election Consideration</w:t>
      </w:r>
      <w:r>
        <w:rPr>
          <w:rFonts w:ascii="Arial" w:cs="Arial" w:eastAsia="Arial" w:hAnsi="Arial"/>
          <w:sz w:val="17"/>
          <w:szCs w:val="17"/>
          <w:color w:val="auto"/>
        </w:rPr>
        <w:t xml:space="preserve">” are to (a) with respect to an Eligible Cash-Out Vested Talkspace Option, cash in an amount equal to (i) (A) the Per Share Merger Consideration multiplied by (B) such number of shares of Talkspace common stock underlying the Eligible Cash-Out Vested Talkspace Option,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aggregate exercise price applicable to each share of Talkspace common stock underlying such Eligible Cash-Out Vested Talkspace Option and (b) with respect to the remaining shares of Talkspace common stock subject to such Vested Talkspace Option, a Vested HEC Option; </w:t>
      </w:r>
      <w:r>
        <w:rPr>
          <w:rFonts w:ascii="Arial" w:cs="Arial" w:eastAsia="Arial" w:hAnsi="Arial"/>
          <w:sz w:val="17"/>
          <w:szCs w:val="17"/>
          <w:i w:val="1"/>
          <w:iCs w:val="1"/>
          <w:color w:val="auto"/>
        </w:rPr>
        <w:t>provided</w:t>
      </w:r>
      <w:r>
        <w:rPr>
          <w:rFonts w:ascii="Arial" w:cs="Arial" w:eastAsia="Arial" w:hAnsi="Arial"/>
          <w:sz w:val="17"/>
          <w:szCs w:val="17"/>
          <w:color w:val="auto"/>
        </w:rPr>
        <w:t>, that the Eligible Cash-Out Vested Talkspace Option shall mean an amount, expressed as a percentage, equal to the Adjusted Optionholder Cash Weighted Mixed Election Percentage;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Optionholder Cash Weighted Mixed Election Percentage</w:t>
      </w:r>
      <w:r>
        <w:rPr>
          <w:rFonts w:ascii="Arial" w:cs="Arial" w:eastAsia="Arial" w:hAnsi="Arial"/>
          <w:sz w:val="18"/>
          <w:szCs w:val="18"/>
          <w:color w:val="auto"/>
        </w:rPr>
        <w:t xml:space="preserve">” are to an amount, expressed as a percentage, (a) (i) the numerator of which is equal to the absolute value of the result of (A) (1) the Closing Cash Consideration minus (2) the amount of cash elected to be paid in respect of all Standard Mixed Electing Shares and Standard Mixed Electing Options, and (ii) the denominator of which is equal to the sum of (A) the Closing Cash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result of multiplying (1) the Closing Share Consideration by (2)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a fraction, (i) the numerator of which is the sum of the total number of Cash Weighted Mixed Electing Shares and Cash Weighted Mixed Electing Options and (ii) the denominator of which is the Aggregate Fully Diluted Talkspace Common Stock;</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Stock Election Consideration</w:t>
      </w:r>
      <w:r>
        <w:rPr>
          <w:rFonts w:ascii="Arial" w:cs="Arial" w:eastAsia="Arial" w:hAnsi="Arial"/>
          <w:sz w:val="18"/>
          <w:szCs w:val="18"/>
          <w:color w:val="auto"/>
        </w:rPr>
        <w:t xml:space="preserve">” are to (a) a number of shares of Talkspace, Inc. common stock equal to (i) the Exchange Ratio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difference obtained by subtracting the Adjusted Stock Election Percentage from clause (i), and (b) cash in an amount equal to (i) the Per Share Merger Consideration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Adjusted Stock Election Percentage;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Stock Election Percentage</w:t>
      </w:r>
      <w:r>
        <w:rPr>
          <w:rFonts w:ascii="Arial" w:cs="Arial" w:eastAsia="Arial" w:hAnsi="Arial"/>
          <w:sz w:val="17"/>
          <w:szCs w:val="17"/>
          <w:color w:val="auto"/>
        </w:rPr>
        <w:t>” are to an amount, expressed as a percentage, (a) a fraction, (i) the numerator of which is equal to the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absolute value of the Available Cash Excess Amount, and (ii) the denominator of which is equal to the sum of (A) the Closing Cash Consideration </w:t>
      </w:r>
      <w:r>
        <w:rPr>
          <w:rFonts w:ascii="Arial" w:cs="Arial" w:eastAsia="Arial" w:hAnsi="Arial"/>
          <w:sz w:val="16"/>
          <w:szCs w:val="16"/>
          <w:i w:val="1"/>
          <w:iCs w:val="1"/>
          <w:color w:val="auto"/>
        </w:rPr>
        <w:t>plus</w:t>
      </w:r>
    </w:p>
    <w:p>
      <w:pPr>
        <w:spacing w:after="0" w:line="32" w:lineRule="exact"/>
        <w:rPr>
          <w:sz w:val="20"/>
          <w:szCs w:val="20"/>
          <w:color w:val="auto"/>
        </w:rPr>
      </w:pPr>
    </w:p>
    <w:p>
      <w:pPr>
        <w:ind w:left="120" w:right="320" w:hanging="4"/>
        <w:spacing w:after="0" w:line="255"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result of multiplying (1) the Closing Share Consideration by (2)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a fraction, (i) the numerator of which is the sum of the total number of Stock Electing Shares and Assumed Electing Options and (ii) the denominator of which is the Aggregate Fully Diluted Talkspace Common Stock;</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Stockholder Cash Weighted Mixed Election Consideration</w:t>
      </w:r>
      <w:r>
        <w:rPr>
          <w:rFonts w:ascii="Arial" w:cs="Arial" w:eastAsia="Arial" w:hAnsi="Arial"/>
          <w:sz w:val="16"/>
          <w:szCs w:val="16"/>
          <w:color w:val="auto"/>
        </w:rPr>
        <w:t>” are to (a) a number of shares of Talkspace, Inc. common stock equal to</w:t>
      </w:r>
    </w:p>
    <w:p>
      <w:pPr>
        <w:spacing w:after="0" w:line="46" w:lineRule="exact"/>
        <w:rPr>
          <w:sz w:val="20"/>
          <w:szCs w:val="20"/>
          <w:color w:val="auto"/>
        </w:rPr>
      </w:pPr>
    </w:p>
    <w:p>
      <w:pPr>
        <w:ind w:left="120" w:right="240" w:hanging="4"/>
        <w:spacing w:after="0" w:line="255"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Exchange Ratio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difference obtained by subtracting the Adjusted Stockholder Cash Weighted Mixed Election Percentage from clause (i), and (b) cash in an amount equal to (i) the Per Share Merger Consideration multiplied by (ii) the Adjusted Stockholder Cash Weighted Mixed Election Percentage;</w:t>
      </w:r>
    </w:p>
    <w:p>
      <w:pPr>
        <w:spacing w:after="0" w:line="190"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Stockholder Cash Weighted Mixed Election Percentage</w:t>
      </w:r>
      <w:r>
        <w:rPr>
          <w:rFonts w:ascii="Arial" w:cs="Arial" w:eastAsia="Arial" w:hAnsi="Arial"/>
          <w:sz w:val="16"/>
          <w:szCs w:val="16"/>
          <w:color w:val="auto"/>
        </w:rPr>
        <w:t xml:space="preserve">” are to an amount, expressed as a percentage, (a) a fraction, (i) the numerator of which is equal to the absolute value of the result of (A) (1)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amount of cash that would be elected to be paid in respect of all Standard Mixed Electing Shares and Standard Mixed Electing Options but for the adjustment set forth in the Merger Agreement, and</w:t>
      </w:r>
    </w:p>
    <w:p>
      <w:pPr>
        <w:spacing w:after="0" w:line="2" w:lineRule="exact"/>
        <w:rPr>
          <w:sz w:val="20"/>
          <w:szCs w:val="20"/>
          <w:color w:val="auto"/>
        </w:rPr>
      </w:pPr>
    </w:p>
    <w:p>
      <w:pPr>
        <w:ind w:left="120" w:hanging="4"/>
        <w:spacing w:after="0" w:line="277" w:lineRule="auto"/>
        <w:tabs>
          <w:tab w:leader="none" w:pos="3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denominator of which is equal to the sum of (A) the Closing Cash Consideration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result of multiplying (1) the Closing Share Consideration by (2) $10.00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(b) a fraction, (i) the numerator of which is the sum of the total number of Cash Weighted Mixed Electing Shares and Cash Weighted Mixed Electing Options and (ii) the denominator of which is the Aggregate Fully Diluted Talkspace Common Stock;</w:t>
      </w:r>
    </w:p>
    <w:p>
      <w:pPr>
        <w:spacing w:after="0" w:line="17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Aggregate Fully Diluted Talkspace Common Stock</w:t>
      </w:r>
      <w:r>
        <w:rPr>
          <w:rFonts w:ascii="Arial" w:cs="Arial" w:eastAsia="Arial" w:hAnsi="Arial"/>
          <w:sz w:val="17"/>
          <w:szCs w:val="17"/>
          <w:color w:val="auto"/>
        </w:rPr>
        <w:t xml:space="preserve">” are to, without duplication, (a) the aggregate number of shares of Talkspace common stock that are (i) issued and outstanding immediately prior to the First Effective Time after giving effect to the Pre-Closing Restructuring or (ii) issuable upon, or subject to, the settlement of Talkspace Options (whether or not then vested or exercisable), in each case, that are outstanding immediately prior to the First Effective Time, minus (b) the Talkspace treasury shares, if any, outstanding immediately prior to the First Effective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a number of shares equal to the aggregate exercise price of the Talkspace Options described in clause (ii) above divided by the Per Share Merger Consideration; provided, that any Talkspace Option with an exercise price equal to or greater than the Per Share Merger Consideration shall not be counted for purposes of determining the number of Aggregate Fully Diluted Talkspace Common Shares;</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Electing Options”</w:t>
      </w:r>
      <w:r>
        <w:rPr>
          <w:rFonts w:ascii="Arial" w:cs="Arial" w:eastAsia="Arial" w:hAnsi="Arial"/>
          <w:sz w:val="18"/>
          <w:szCs w:val="18"/>
          <w:color w:val="auto"/>
        </w:rPr>
        <w:t xml:space="preserve"> are to the Vested Talkspace Options with respect to which an Assumed Vested Company Option Election has been properly made and not revoked or lost</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Assumed Vested Talkspace Option Election</w:t>
      </w:r>
      <w:r>
        <w:rPr>
          <w:rFonts w:ascii="Arial" w:cs="Arial" w:eastAsia="Arial" w:hAnsi="Arial"/>
          <w:sz w:val="17"/>
          <w:szCs w:val="17"/>
          <w:color w:val="auto"/>
        </w:rPr>
        <w:t>” are to, with respect to any holder of Vested Talkspace Options, an election by such holder to receive the Assumed Vested Talkspace Option Election Consideration, as it may be adjusted pursuant to the Merger Agreement;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Vested Company Option Election Consideration</w:t>
      </w:r>
      <w:r>
        <w:rPr>
          <w:rFonts w:ascii="Arial" w:cs="Arial" w:eastAsia="Arial" w:hAnsi="Arial"/>
          <w:sz w:val="18"/>
          <w:szCs w:val="18"/>
          <w:color w:val="auto"/>
        </w:rPr>
        <w:t>” are to a Vested HEC Option;</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Available Closing HEC Cash</w:t>
      </w:r>
      <w:r>
        <w:rPr>
          <w:rFonts w:ascii="Arial" w:cs="Arial" w:eastAsia="Arial" w:hAnsi="Arial"/>
          <w:sz w:val="16"/>
          <w:szCs w:val="16"/>
          <w:color w:val="auto"/>
        </w:rPr>
        <w:t xml:space="preserve">” are to an amount equal to (i) all amounts in HEC’s trust account (after reduction for the aggregate amount of payments required to be made in connection with valid redemptions by stockholders of HEC),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amount of cash that has been funded to and remains with HEC pursuant to the Subscription Agreements as of immediately prior to the Closing,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aggregate amount of cash that has been funded to and remains with HEC pursuant to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expenses of HEC and its affiliates incurred prior to the Closing Date consistent with the disclosure set forth in HEC’s SEC filings (other than the HEC transaction expenses);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Available Excess Cash Amount</w:t>
      </w:r>
      <w:r>
        <w:rPr>
          <w:rFonts w:ascii="Arial" w:cs="Arial" w:eastAsia="Arial" w:hAnsi="Arial"/>
          <w:sz w:val="17"/>
          <w:szCs w:val="17"/>
          <w:color w:val="auto"/>
        </w:rPr>
        <w:t>” are to the amount, if the Closing Cash Consideration exceeds the Cash Election Amount, of such excess;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are to, together, (i) the First Merger and (ii) the Second Merger;</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Cash Election Amount</w:t>
      </w:r>
      <w:r>
        <w:rPr>
          <w:rFonts w:ascii="Arial" w:cs="Arial" w:eastAsia="Arial" w:hAnsi="Arial"/>
          <w:sz w:val="17"/>
          <w:szCs w:val="17"/>
          <w:color w:val="auto"/>
        </w:rPr>
        <w:t xml:space="preserve">” are to (a) the aggregate amount of cash consideration elected by all holders of Standard Mixed Election Shares (before giving effect to any adjustment pursuant to the Merger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amount of cash consideration elected by all holders of Cash Weighted Mixed Consideration Shares (before giving effect to any adjustment pursuant to the Merger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aggregate amount of cash consideration elected by all holders of Standard Mixed Election Options (before giving effect to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 xml:space="preserve">adjustment pursuant to the Merger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aggregate amount of cash consideration elected by all holders of Cash Weighted Mixed Election Options (before giving effect to any adjustment pursuant to the Merger Agreement);</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Weighted Mixed Electing Options</w:t>
      </w:r>
      <w:r>
        <w:rPr>
          <w:rFonts w:ascii="Arial" w:cs="Arial" w:eastAsia="Arial" w:hAnsi="Arial"/>
          <w:sz w:val="18"/>
          <w:szCs w:val="18"/>
          <w:color w:val="auto"/>
        </w:rPr>
        <w:t>” are to the Vested Talkspace Options with respect to which an Optionholder Cash Weighted Mixed Election has been properly made and not revoked or lost;</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Weighted Mixed Electing Shares</w:t>
      </w:r>
      <w:r>
        <w:rPr>
          <w:rFonts w:ascii="Arial" w:cs="Arial" w:eastAsia="Arial" w:hAnsi="Arial"/>
          <w:sz w:val="18"/>
          <w:szCs w:val="18"/>
          <w:color w:val="auto"/>
        </w:rPr>
        <w:t>” are to the shares of Talkspace stock with respect to which a Stockholder Cash Weighted Mixed Election has been properly made and not revoked or lost;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business combination;</w:t>
      </w:r>
    </w:p>
    <w:p>
      <w:pPr>
        <w:spacing w:after="0" w:line="225" w:lineRule="exact"/>
        <w:rPr>
          <w:sz w:val="20"/>
          <w:szCs w:val="20"/>
          <w:color w:val="auto"/>
        </w:rPr>
      </w:pPr>
    </w:p>
    <w:p>
      <w:pPr>
        <w:ind w:left="120" w:right="4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Cash Consideration</w:t>
      </w:r>
      <w:r>
        <w:rPr>
          <w:rFonts w:ascii="Arial" w:cs="Arial" w:eastAsia="Arial" w:hAnsi="Arial"/>
          <w:sz w:val="17"/>
          <w:szCs w:val="17"/>
          <w:color w:val="auto"/>
        </w:rPr>
        <w:t xml:space="preserve">” are to an amount equal to (a) the Available Closing HEC Cash,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$250,000,000.00,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HEC transaction expenses set forth on HEC’s closing statement,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(d) Talkspace transaction expenses set forth on the Talkspace closing statement; </w:t>
      </w:r>
      <w:r>
        <w:rPr>
          <w:rFonts w:ascii="Arial" w:cs="Arial" w:eastAsia="Arial" w:hAnsi="Arial"/>
          <w:sz w:val="17"/>
          <w:szCs w:val="17"/>
          <w:i w:val="1"/>
          <w:iCs w:val="1"/>
          <w:color w:val="auto"/>
        </w:rPr>
        <w:t>provided</w:t>
      </w:r>
      <w:r>
        <w:rPr>
          <w:rFonts w:ascii="Arial" w:cs="Arial" w:eastAsia="Arial" w:hAnsi="Arial"/>
          <w:sz w:val="17"/>
          <w:szCs w:val="17"/>
          <w:color w:val="auto"/>
        </w:rPr>
        <w:t>, that, if the Closing occurs when the Closing Cash Consideration as otherwise determined by this definition would result in Closing Share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that is less than the Minimum Share Consideration, then the Closing Cash Consideration will be decreased by the minimum extent necessary such that the Closing Share Consideration equals the Minimum Share Consideration;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the date on which the Transactions are consummated;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Merger Consideration</w:t>
      </w:r>
      <w:r>
        <w:rPr>
          <w:rFonts w:ascii="Arial" w:cs="Arial" w:eastAsia="Arial" w:hAnsi="Arial"/>
          <w:sz w:val="18"/>
          <w:szCs w:val="18"/>
          <w:color w:val="auto"/>
        </w:rPr>
        <w:t>” are to $1,400,000,000.00;</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Share Consideration</w:t>
      </w:r>
      <w:r>
        <w:rPr>
          <w:rFonts w:ascii="Arial" w:cs="Arial" w:eastAsia="Arial" w:hAnsi="Arial"/>
          <w:sz w:val="18"/>
          <w:szCs w:val="18"/>
          <w:color w:val="auto"/>
        </w:rPr>
        <w:t xml:space="preserve">” are to an amount equal to the number of shares (rounded to the nearest whole share) of Talkspace, Inc. common stock determined by dividing an amount equal to (a) (i) the Closing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Sponsor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HEC transaction expenses set forth on the HEC closing statement,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(v) Talkspace transaction expenses set forth on the Talkspace closing statement, by (b)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are to the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Sale</w:t>
      </w:r>
      <w:r>
        <w:rPr>
          <w:rFonts w:ascii="Arial" w:cs="Arial" w:eastAsia="Arial" w:hAnsi="Arial"/>
          <w:sz w:val="17"/>
          <w:szCs w:val="17"/>
          <w:color w:val="auto"/>
        </w:rPr>
        <w:t>” are to (i) any transaction or series of related transactions that results in any person or “group” (within the meaning of</w:t>
      </w:r>
    </w:p>
    <w:p>
      <w:pPr>
        <w:spacing w:after="0" w:line="35" w:lineRule="exact"/>
        <w:rPr>
          <w:sz w:val="20"/>
          <w:szCs w:val="20"/>
          <w:color w:val="auto"/>
        </w:rPr>
      </w:pPr>
    </w:p>
    <w:p>
      <w:pPr>
        <w:jc w:val="both"/>
        <w:ind w:left="120" w:right="80"/>
        <w:spacing w:after="0" w:line="281" w:lineRule="auto"/>
        <w:rPr>
          <w:sz w:val="20"/>
          <w:szCs w:val="20"/>
          <w:color w:val="auto"/>
        </w:rPr>
      </w:pPr>
      <w:r>
        <w:rPr>
          <w:rFonts w:ascii="Arial" w:cs="Arial" w:eastAsia="Arial" w:hAnsi="Arial"/>
          <w:sz w:val="16"/>
          <w:szCs w:val="16"/>
          <w:color w:val="auto"/>
        </w:rPr>
        <w:t>Section 13(d)(3) of the Exchange Act) acquiring equity securities that represent more than 50% of the total voting power of Talkspace, Inc. or (ii) a sale or disposition of all or substantially all of the assets of Talkspace, Inc. and its subsidiaries on a consolidated basis, in each case other than a transaction or series of related transactions which results in at least 50% of the combined voting power of the then outstanding voting securities of Talkspace, Inc.</w:t>
      </w:r>
    </w:p>
    <w:p>
      <w:pPr>
        <w:spacing w:after="0" w:line="2" w:lineRule="exact"/>
        <w:rPr>
          <w:sz w:val="20"/>
          <w:szCs w:val="20"/>
          <w:color w:val="auto"/>
        </w:rPr>
      </w:pPr>
    </w:p>
    <w:p>
      <w:pPr>
        <w:jc w:val="both"/>
        <w:ind w:left="120" w:right="580"/>
        <w:spacing w:after="0" w:line="255" w:lineRule="auto"/>
        <w:rPr>
          <w:sz w:val="20"/>
          <w:szCs w:val="20"/>
          <w:color w:val="auto"/>
        </w:rPr>
      </w:pPr>
      <w:r>
        <w:rPr>
          <w:rFonts w:ascii="Arial" w:cs="Arial" w:eastAsia="Arial" w:hAnsi="Arial"/>
          <w:sz w:val="18"/>
          <w:szCs w:val="18"/>
          <w:color w:val="auto"/>
        </w:rPr>
        <w:t>(or any successor to Talkspace, Inc.) immediately following the closing of such transaction(s) being beneficially owned, directly or indirectly, by individuals and entities (or affiliates of such individuals and entities) who were the beneficial owners, respectively, of at least 50% of the equity securities of Talkspace, Inc. immediately prior to such transaction(s);</w:t>
      </w:r>
    </w:p>
    <w:p>
      <w:pPr>
        <w:spacing w:after="0" w:line="19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completion window</w:t>
      </w:r>
      <w:r>
        <w:rPr>
          <w:rFonts w:ascii="Arial" w:cs="Arial" w:eastAsia="Arial" w:hAnsi="Arial"/>
          <w:sz w:val="17"/>
          <w:szCs w:val="17"/>
          <w:color w:val="auto"/>
        </w:rPr>
        <w:t>” are to the period following the completion of the HEC IPO at the end of which, if HEC has not completed an initial business combination, it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The completion window ends on June 11, 2022;</w:t>
      </w:r>
    </w:p>
    <w:p>
      <w:pPr>
        <w:spacing w:after="0" w:line="17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are to the business combination proposal, the charter proposal, the incentive plan proposal, the ESPP proposal, the director election proposal and the Nasdaq proposal, collectively;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COVID-19</w:t>
      </w:r>
      <w:r>
        <w:rPr>
          <w:rFonts w:ascii="Arial" w:cs="Arial" w:eastAsia="Arial" w:hAnsi="Arial"/>
          <w:sz w:val="18"/>
          <w:szCs w:val="18"/>
          <w:color w:val="auto"/>
        </w:rPr>
        <w:t>” are to SARS-CoV-2 or COVID-19, and any evolutions thereof or any other epidemics, pandemics or disease outbreaks;</w:t>
      </w:r>
    </w:p>
    <w:p>
      <w:pPr>
        <w:spacing w:after="0" w:line="225"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COVID-19 Measures</w:t>
      </w:r>
      <w:r>
        <w:rPr>
          <w:rFonts w:ascii="Arial" w:cs="Arial" w:eastAsia="Arial" w:hAnsi="Arial"/>
          <w:sz w:val="18"/>
          <w:szCs w:val="18"/>
          <w:color w:val="auto"/>
        </w:rPr>
        <w:t>” are to any quarantine, “shelter in place,” “stay at home,” workforce reduction, social distancing, shut down, closure, sequester or any other law, governmental order, Action, directive, pronouncement, guidelines or recommendations by any governmental authority (including the Centers for Disease Control and Prevention and the World Health Organization) in connection with, related to or in response to COVID-19, including, but not limited to, the Coronavirus Aid, Relief, and Economic Security Act (the “</w:t>
      </w:r>
      <w:r>
        <w:rPr>
          <w:rFonts w:ascii="Arial" w:cs="Arial" w:eastAsia="Arial" w:hAnsi="Arial"/>
          <w:sz w:val="18"/>
          <w:szCs w:val="18"/>
          <w:i w:val="1"/>
          <w:iCs w:val="1"/>
          <w:color w:val="auto"/>
        </w:rPr>
        <w:t>CARES Act</w:t>
      </w:r>
      <w:r>
        <w:rPr>
          <w:rFonts w:ascii="Arial" w:cs="Arial" w:eastAsia="Arial" w:hAnsi="Arial"/>
          <w:sz w:val="18"/>
          <w:szCs w:val="18"/>
          <w:color w:val="auto"/>
        </w:rPr>
        <w:t>”) and the Families First Coronavirus Response Act, or any changes thereto;</w:t>
      </w:r>
    </w:p>
    <w:p>
      <w:pPr>
        <w:spacing w:after="0" w:line="18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are to HEC’s amended and restated certificate of incorporation in effect as of the date of this proxy statement/prospectus;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are to the Delaware General Corporation Law, as amended;</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Dissenting Shares</w:t>
      </w:r>
      <w:r>
        <w:rPr>
          <w:rFonts w:ascii="Arial" w:cs="Arial" w:eastAsia="Arial" w:hAnsi="Arial"/>
          <w:sz w:val="18"/>
          <w:szCs w:val="18"/>
          <w:color w:val="auto"/>
        </w:rPr>
        <w:t>” are to the shares of Talkspace common stock issued and outstanding immediately prior to the First Effective Time and held by a holder who has not voted in favor of adoption of the Merger Agreement or consented thereto in writing and who is entitled to demand and has properly exercised appraisal rights of such shares in accordance with Section 262 of the DGCL;</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Cash-Out Vested Talkspace Option</w:t>
      </w:r>
      <w:r>
        <w:rPr>
          <w:rFonts w:ascii="Arial" w:cs="Arial" w:eastAsia="Arial" w:hAnsi="Arial"/>
          <w:sz w:val="18"/>
          <w:szCs w:val="18"/>
          <w:color w:val="auto"/>
        </w:rPr>
        <w:t>” are to (a) with respect to an Optionholder Cash Weighted Mixed Election, the Optionholder Cash Weighted Mixed Election Percentage of the shares of Talkspace common stock subject to such Vested Talkspace Option (rounded up to the nearest whole number), and (b) with respect to an Optionholder Standard Mixed Election, the Optionholder Standard Mixed Election Percentage of the shares of Talkspace common stock subject to such Vested Talkspace Option (rounded up to the nearest whole number), in each case as it may be adjusted pursuant to the Merger 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xml:space="preserve">” are to the Talkspace, Inc. 2021 Employee Stock Purchase Plan, attached to this proxy statement/prospectus as </w:t>
      </w:r>
      <w:r>
        <w:rPr>
          <w:rFonts w:ascii="Arial" w:cs="Arial" w:eastAsia="Arial" w:hAnsi="Arial"/>
          <w:sz w:val="18"/>
          <w:szCs w:val="18"/>
          <w:i w:val="1"/>
          <w:iCs w:val="1"/>
          <w:color w:val="auto"/>
        </w:rPr>
        <w:t>Annex H</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are to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Agent Agreement</w:t>
      </w:r>
      <w:r>
        <w:rPr>
          <w:rFonts w:ascii="Arial" w:cs="Arial" w:eastAsia="Arial" w:hAnsi="Arial"/>
          <w:sz w:val="16"/>
          <w:szCs w:val="16"/>
          <w:color w:val="auto"/>
        </w:rPr>
        <w:t>” are to a paying and exchange agent agreement, in form and substance reasonably acceptable to HEC and Talkspace;</w:t>
      </w:r>
    </w:p>
    <w:p>
      <w:pPr>
        <w:spacing w:after="0" w:line="24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xml:space="preserve">” are to the quotient obtained by dividing (a) a number of shares of Talkspace, Inc. common stock equal to the quotient obtained by dividing (i) the sum of (A) the Closing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Sponsor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(C) HEC transaction expenses set forth on the HEC closing statement,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(D) Talkspace transaction expenses set forth on the Talkspace closing statement, by (ii) $10.00; by (b) the Aggregate Fully Diluted Talkspace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Effective Time</w:t>
      </w:r>
      <w:r>
        <w:rPr>
          <w:rFonts w:ascii="Arial" w:cs="Arial" w:eastAsia="Arial" w:hAnsi="Arial"/>
          <w:sz w:val="18"/>
          <w:szCs w:val="18"/>
          <w:color w:val="auto"/>
        </w:rPr>
        <w:t>” are to the effective time of the First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are to the merger of First Merger Sub with and into Talkspace;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 Sub</w:t>
      </w:r>
      <w:r>
        <w:rPr>
          <w:rFonts w:ascii="Arial" w:cs="Arial" w:eastAsia="Arial" w:hAnsi="Arial"/>
          <w:sz w:val="18"/>
          <w:szCs w:val="18"/>
          <w:color w:val="auto"/>
        </w:rPr>
        <w:t>” are to Tailwind Merger Sub I, Inc.;</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are to shares of HEC’s Class B common stock and HEC’s Class A common stock issued upon the automatic conversion thereof at the time of HEC’s initial business combination. The founder shares are held of record by the Sponsor, Amy Schulman and Thelma Duggin as of the record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w:t>
      </w:r>
      <w:r>
        <w:rPr>
          <w:rFonts w:ascii="Arial" w:cs="Arial" w:eastAsia="Arial" w:hAnsi="Arial"/>
          <w:sz w:val="18"/>
          <w:szCs w:val="18"/>
          <w:color w:val="auto"/>
        </w:rPr>
        <w:t>” are to Hudson Executive Investment Corp., a Delaware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HEC Forward Purchase</w:t>
      </w:r>
      <w:r>
        <w:rPr>
          <w:rFonts w:ascii="Arial" w:cs="Arial" w:eastAsia="Arial" w:hAnsi="Arial"/>
          <w:sz w:val="17"/>
          <w:szCs w:val="17"/>
          <w:color w:val="auto"/>
        </w:rPr>
        <w:t>” are to the purchase by HEC Fund from HEC pursuant to the HEC Forward Purchase Agreement of 2,500,000 forward purchase units (the “</w:t>
      </w:r>
      <w:r>
        <w:rPr>
          <w:rFonts w:ascii="Arial" w:cs="Arial" w:eastAsia="Arial" w:hAnsi="Arial"/>
          <w:sz w:val="17"/>
          <w:szCs w:val="17"/>
          <w:i w:val="1"/>
          <w:iCs w:val="1"/>
          <w:color w:val="auto"/>
        </w:rPr>
        <w:t>Forward Purchase Units</w:t>
      </w:r>
      <w:r>
        <w:rPr>
          <w:rFonts w:ascii="Arial" w:cs="Arial" w:eastAsia="Arial" w:hAnsi="Arial"/>
          <w:sz w:val="17"/>
          <w:szCs w:val="17"/>
          <w:color w:val="auto"/>
        </w:rPr>
        <w:t>”), consisting of one share of Talkspace, Inc. common stock and one-half of one warrant to purchase one share of Talkspace, Inc. common stock, for $10.00 per unit, or an aggregate amount of $25,000,000, in a private placement that will close concurrently with the closing of the business combination and to backstop up to $25,000,000 of redemptions by stockholders of HEC;</w:t>
      </w:r>
    </w:p>
    <w:p>
      <w:pPr>
        <w:spacing w:after="0" w:line="17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Forward Purchase Agreement</w:t>
      </w:r>
      <w:r>
        <w:rPr>
          <w:rFonts w:ascii="Arial" w:cs="Arial" w:eastAsia="Arial" w:hAnsi="Arial"/>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Fund</w:t>
      </w:r>
      <w:r>
        <w:rPr>
          <w:rFonts w:ascii="Arial" w:cs="Arial" w:eastAsia="Arial" w:hAnsi="Arial"/>
          <w:sz w:val="18"/>
          <w:szCs w:val="18"/>
          <w:color w:val="auto"/>
        </w:rPr>
        <w:t>” are to HEC Master Fund LP, a Delaware limited partnership;</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Insiders</w:t>
      </w:r>
      <w:r>
        <w:rPr>
          <w:rFonts w:ascii="Arial" w:cs="Arial" w:eastAsia="Arial" w:hAnsi="Arial"/>
          <w:sz w:val="18"/>
          <w:szCs w:val="18"/>
          <w:color w:val="auto"/>
        </w:rPr>
        <w:t>” are to, collectively, the Sponsor, Douglas Braunstein, Douglas Bergeron, Jonathan Dobres, Robert Greifeld, Amy Schulman and Thelma Duggin;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IPO</w:t>
      </w:r>
      <w:r>
        <w:rPr>
          <w:rFonts w:ascii="Arial" w:cs="Arial" w:eastAsia="Arial" w:hAnsi="Arial"/>
          <w:sz w:val="18"/>
          <w:szCs w:val="18"/>
          <w:color w:val="auto"/>
        </w:rPr>
        <w:t>” are to the initial public offering by HEC which closed on June 11,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Parties</w:t>
      </w:r>
      <w:r>
        <w:rPr>
          <w:rFonts w:ascii="Arial" w:cs="Arial" w:eastAsia="Arial" w:hAnsi="Arial"/>
          <w:sz w:val="18"/>
          <w:szCs w:val="18"/>
          <w:color w:val="auto"/>
        </w:rPr>
        <w:t>” are to HEC, First Merger Sub and Second Merger Sub;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warrants</w:t>
      </w:r>
      <w:r>
        <w:rPr>
          <w:rFonts w:ascii="Arial" w:cs="Arial" w:eastAsia="Arial" w:hAnsi="Arial"/>
          <w:sz w:val="18"/>
          <w:szCs w:val="18"/>
          <w:color w:val="auto"/>
        </w:rPr>
        <w:t>” are to the private placement warrants and the public warrants (each, as defined below);</w:t>
      </w:r>
    </w:p>
    <w:p>
      <w:pPr>
        <w:spacing w:after="0" w:line="22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HEC’s Class A common stock</w:t>
      </w:r>
      <w:r>
        <w:rPr>
          <w:rFonts w:ascii="Arial" w:cs="Arial" w:eastAsia="Arial" w:hAnsi="Arial"/>
          <w:sz w:val="17"/>
          <w:szCs w:val="17"/>
          <w:color w:val="auto"/>
        </w:rPr>
        <w:t>” are to, prior to consummation of the Transactions, HEC’s Class A common stock, par value $0.0001 per share and, following consummation of the Transactions, to the common stock, par value $0.0001 per share, of Talkspace, Inc.;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HEC’s Class B common stock</w:t>
      </w:r>
      <w:r>
        <w:rPr>
          <w:rFonts w:ascii="Arial" w:cs="Arial" w:eastAsia="Arial" w:hAnsi="Arial"/>
          <w:sz w:val="18"/>
          <w:szCs w:val="18"/>
          <w:color w:val="auto"/>
        </w:rPr>
        <w:t>” are to HEC’s Class B common stock, par value $0.0001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HEC’s common stock</w:t>
      </w:r>
      <w:r>
        <w:rPr>
          <w:rFonts w:ascii="Arial" w:cs="Arial" w:eastAsia="Arial" w:hAnsi="Arial"/>
          <w:sz w:val="18"/>
          <w:szCs w:val="18"/>
          <w:color w:val="auto"/>
        </w:rPr>
        <w:t>” are to HEC’s Class A common stock and HEC’s Class B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are to the Hart-Scott-Rodino Antitrust Improvements Act of 1976;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Insiders</w:t>
      </w:r>
      <w:r>
        <w:rPr>
          <w:rFonts w:ascii="Arial" w:cs="Arial" w:eastAsia="Arial" w:hAnsi="Arial"/>
          <w:sz w:val="17"/>
          <w:szCs w:val="17"/>
          <w:color w:val="auto"/>
        </w:rPr>
        <w:t>” are to Douglas L. Braunstein, Douglas G. Bergeron, Jonathan Dobres, Robert Greifeld, Amy Schulman and Thelma Duggin;</w:t>
      </w:r>
    </w:p>
    <w:p>
      <w:pPr>
        <w:spacing w:after="0" w:line="23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Intended Income Tax Treatment</w:t>
      </w:r>
      <w:r>
        <w:rPr>
          <w:rFonts w:ascii="Arial" w:cs="Arial" w:eastAsia="Arial" w:hAnsi="Arial"/>
          <w:sz w:val="17"/>
          <w:szCs w:val="17"/>
          <w:color w:val="auto"/>
        </w:rPr>
        <w:t>” are to the intention of each of the HEC Parties and Talkspace that, for U.S. federal income tax purposes (and for purposes of any applicable state or local income tax that follows the U.S. federal income tax treatment of the business combination), the business combination will consistute an integrated transaction that qualifies as a “reorganization” within the meaning of Section 368(a) of the Code and the Treasury Regulations thereunder to which each of the HEC Parties and Talkspace are parties under Section 368(b) of the Code;</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January 12, 2021, by and among HEC, Talkspace, First Merger Sub and Second Merger Sub;</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Minimum Share Consideration</w:t>
      </w:r>
      <w:r>
        <w:rPr>
          <w:rFonts w:ascii="Arial" w:cs="Arial" w:eastAsia="Arial" w:hAnsi="Arial"/>
          <w:sz w:val="16"/>
          <w:szCs w:val="16"/>
          <w:color w:val="auto"/>
        </w:rPr>
        <w:t xml:space="preserve">” are to, solely to the extent Talkspace elects application of the Minimum Share Consideration, the number of shares (rounded up to the nearest whole share) of Talkspace, Inc. common stock that represents the minimum number of shares of Talkspace, Inc. common stock that is required to ensure that the business combination qualifies for the Intended Income Tax Treatment (with such number of shares to be reasonably determined by tax counsel to Talkspace, taking into account reasonable expectations regarding the value of Talkspace, Inc. common stock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that Talkspace shall be eligible to elect the application only if Talkspace has a good faith and reasonable belief that the volume-weighted average price of Talkspace, Inc. common stock on the Closing Date will be less than $10.00 per share;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Cash Weighted Mixed Election Consideration</w:t>
      </w:r>
      <w:r>
        <w:rPr>
          <w:rFonts w:ascii="Arial" w:cs="Arial" w:eastAsia="Arial" w:hAnsi="Arial"/>
          <w:sz w:val="18"/>
          <w:szCs w:val="18"/>
          <w:color w:val="auto"/>
        </w:rPr>
        <w:t>” are to, (A) with respect to the Eligible Cash-Out Vested Talkspace Option, cash in an amount equal to (i) (a) the Per Share Merger Consideration multiplied by (b) such number of shares of Talkspace common stock underlying the Eligible Cash-Out Vested Talkspace Option, minus (ii) the aggregate exercise price applicable to each share of Talkspace common stock underlying such Eligible Cash-Out Vested Talkspace Option and (B) with respect to the remaining shares of Talkspace common stock subject to such Vested Talkspace Option, a Vested HEC Option;</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Cash Weighted Mixed Election Percentage</w:t>
      </w:r>
      <w:r>
        <w:rPr>
          <w:rFonts w:ascii="Arial" w:cs="Arial" w:eastAsia="Arial" w:hAnsi="Arial"/>
          <w:sz w:val="18"/>
          <w:szCs w:val="18"/>
          <w:color w:val="auto"/>
        </w:rPr>
        <w:t>” are to, with respect to any holder of Vested Talkspace Options that has properly made and not revoked or lost an optionholder cash weighted mixed election, a percentage equal to fifty percent (50%);</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Standard Mixed Election Consideration</w:t>
      </w:r>
      <w:r>
        <w:rPr>
          <w:rFonts w:ascii="Arial" w:cs="Arial" w:eastAsia="Arial" w:hAnsi="Arial"/>
          <w:sz w:val="18"/>
          <w:szCs w:val="18"/>
          <w:color w:val="auto"/>
        </w:rPr>
        <w:t>” are to (A) with respect to the Eligible Cash-Out Vested Talkspace Option, cash in an amount equal to (i) (a) the Per Share Merger Consideration multiplied by (b) such number of shares of Talkspace common stock underlying the Eligible Cash-Out Vested Talkspace Option, minus (ii) the aggregate exercise price applicable to each share of Talkspace common stock underlying such Eligible Cash-Out Vested Talkspace Option and (B) with respect to the remaining shares of Talkspace common stock subject to such Vested Talkspace Option, a Vested HEC Option;</w:t>
      </w:r>
    </w:p>
    <w:p>
      <w:pPr>
        <w:spacing w:after="0" w:line="18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Standard Mixed Election Percentage</w:t>
      </w:r>
      <w:r>
        <w:rPr>
          <w:rFonts w:ascii="Arial" w:cs="Arial" w:eastAsia="Arial" w:hAnsi="Arial"/>
          <w:sz w:val="18"/>
          <w:szCs w:val="18"/>
          <w:color w:val="auto"/>
        </w:rPr>
        <w:t>” are to, with respect to any holder of Vested Talkspace Options that has properly made and not revoked or lost an optionholder standard mixed election, an amount, expressed as a percentage, (A) the numerator of which is the Closing Cash Consideration and (B) the denominator of which is equal to the sum of (a) the Closing Cash Consideration plus (b) the result of multiplying (i) the Closing Share Consideration by (ii)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Merger Consideration</w:t>
      </w:r>
      <w:r>
        <w:rPr>
          <w:rFonts w:ascii="Arial" w:cs="Arial" w:eastAsia="Arial" w:hAnsi="Arial"/>
          <w:sz w:val="18"/>
          <w:szCs w:val="18"/>
          <w:color w:val="auto"/>
        </w:rPr>
        <w:t>” are to the product obtained by multiplying (a) the Exchange Ratio by (b) $10.00;</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pursuant to which HEC entered into subscription agreements (containing commitments to funding that are subject only to conditions that generally align with the conditions set forth in the Merger Agreement) with certain investors whereby such investors have agreed to purchase an aggregate of 30,000,000 shares of Talkspace, Inc. common stock at a purchase price of $10.00 per share for an aggregate commitment of $300,000,000;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Holder</w:t>
      </w:r>
      <w:r>
        <w:rPr>
          <w:rFonts w:ascii="Arial" w:cs="Arial" w:eastAsia="Arial" w:hAnsi="Arial"/>
          <w:sz w:val="18"/>
          <w:szCs w:val="18"/>
          <w:color w:val="auto"/>
        </w:rPr>
        <w:t>” are to a person who holds one or more shares Talkspace stock immediately prior to the First Effective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are to HEC’s warrants issued to the Sponsor in a private placement simultaneously with the closing of the HEC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Bylaws</w:t>
      </w:r>
      <w:r>
        <w:rPr>
          <w:rFonts w:ascii="Arial" w:cs="Arial" w:eastAsia="Arial" w:hAnsi="Arial"/>
          <w:sz w:val="18"/>
          <w:szCs w:val="18"/>
          <w:color w:val="auto"/>
        </w:rPr>
        <w:t xml:space="preserve">” are to the proposed bylaws of Talkspace, Inc., effective prior to the First Effective Time and the closing of the PIPE Investment attached to this proxy statement/prospectus as </w:t>
      </w:r>
      <w:r>
        <w:rPr>
          <w:rFonts w:ascii="Arial" w:cs="Arial" w:eastAsia="Arial" w:hAnsi="Arial"/>
          <w:sz w:val="18"/>
          <w:szCs w:val="18"/>
          <w:i w:val="1"/>
          <w:iCs w:val="1"/>
          <w:color w:val="auto"/>
        </w:rPr>
        <w:t>Annex C</w:t>
      </w:r>
      <w:r>
        <w:rPr>
          <w:rFonts w:ascii="Arial" w:cs="Arial" w:eastAsia="Arial" w:hAnsi="Arial"/>
          <w:sz w:val="18"/>
          <w:szCs w:val="18"/>
          <w:color w:val="auto"/>
        </w:rPr>
        <w: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are to shares of HEC’s Class A common stock sold as part of the units in the HEC IPO (whether they were purchased in the HEC IPO or thereafter in the open market);</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are to the holders of public shares, including the Sponsor and HEC’s officers and directors to the extent the Sponsor and HEC’s officers or directors purchase public shares, provided that each of their status as a “public stockholder” shall only exist with respect to such public shares;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HEC warrants sold as part of the units in the HEC IPO (whether they were purchased in the HEC IPO or thereafter in the open market);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are to that certain Amended and Restated Registration Rights Agreement, to be entered into at Closing by and among Talkspace, Inc., Sponsor and certain former stockholders of Talkspace;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are to the United States Securities and Exchange Commission;</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amended and restated certificate of incorporation</w:t>
      </w:r>
      <w:r>
        <w:rPr>
          <w:rFonts w:ascii="Arial" w:cs="Arial" w:eastAsia="Arial" w:hAnsi="Arial"/>
          <w:sz w:val="18"/>
          <w:szCs w:val="18"/>
          <w:color w:val="auto"/>
        </w:rPr>
        <w:t xml:space="preserve">” are to the proposed second amended and restated certificate of incorporation of Talkspace, Inc.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 Sub</w:t>
      </w:r>
      <w:r>
        <w:rPr>
          <w:rFonts w:ascii="Arial" w:cs="Arial" w:eastAsia="Arial" w:hAnsi="Arial"/>
          <w:sz w:val="18"/>
          <w:szCs w:val="18"/>
          <w:color w:val="auto"/>
        </w:rPr>
        <w:t>” are to Tailwind Merger Sub II,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HEC Sponsor LLC, a Delaware limited liability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Share Amount</w:t>
      </w:r>
      <w:r>
        <w:rPr>
          <w:rFonts w:ascii="Arial" w:cs="Arial" w:eastAsia="Arial" w:hAnsi="Arial"/>
          <w:sz w:val="18"/>
          <w:szCs w:val="18"/>
          <w:color w:val="auto"/>
        </w:rPr>
        <w:t>” are to $72,000,000.00;</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Support Agreement</w:t>
      </w:r>
      <w:r>
        <w:rPr>
          <w:rFonts w:ascii="Arial" w:cs="Arial" w:eastAsia="Arial" w:hAnsi="Arial"/>
          <w:sz w:val="18"/>
          <w:szCs w:val="18"/>
          <w:color w:val="auto"/>
        </w:rPr>
        <w:t>” are to that certain Support Agreement, dated as of January 12, 2021, by and among HEC, the HEC Insiders and Talkspace;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Mixed Electing Options</w:t>
      </w:r>
      <w:r>
        <w:rPr>
          <w:rFonts w:ascii="Arial" w:cs="Arial" w:eastAsia="Arial" w:hAnsi="Arial"/>
          <w:sz w:val="18"/>
          <w:szCs w:val="18"/>
          <w:color w:val="auto"/>
        </w:rPr>
        <w:t>” are to the Vested Talkspace Options with respect to which an Optionholder Standard Mixed Election has been properly made and not revoked or lost or with respect to which no election has been made</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Mixed Electing Shares</w:t>
      </w:r>
      <w:r>
        <w:rPr>
          <w:rFonts w:ascii="Arial" w:cs="Arial" w:eastAsia="Arial" w:hAnsi="Arial"/>
          <w:sz w:val="18"/>
          <w:szCs w:val="18"/>
          <w:color w:val="auto"/>
        </w:rPr>
        <w:t>” are to the shares of Talkspace stock with respect to which a Stockholder Standard Mixed Election has been properly made and not revoked or lost or with respect to which no election has been made;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Electing Shares</w:t>
      </w:r>
      <w:r>
        <w:rPr>
          <w:rFonts w:ascii="Arial" w:cs="Arial" w:eastAsia="Arial" w:hAnsi="Arial"/>
          <w:sz w:val="16"/>
          <w:szCs w:val="16"/>
          <w:color w:val="auto"/>
        </w:rPr>
        <w:t>” are to the shares of Talkspace stock with respect to which a Stock Election has been properly made and not revoked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lost;</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Election</w:t>
      </w:r>
      <w:r>
        <w:rPr>
          <w:rFonts w:ascii="Arial" w:cs="Arial" w:eastAsia="Arial" w:hAnsi="Arial"/>
          <w:sz w:val="18"/>
          <w:szCs w:val="18"/>
          <w:color w:val="auto"/>
        </w:rPr>
        <w:t>” are to, with respect to any Pre-Closing Holder, an election by such holder to receive the Stock Election Consideration, as it may be adjusted pursuant to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Election Consideration</w:t>
      </w:r>
      <w:r>
        <w:rPr>
          <w:rFonts w:ascii="Arial" w:cs="Arial" w:eastAsia="Arial" w:hAnsi="Arial"/>
          <w:sz w:val="18"/>
          <w:szCs w:val="18"/>
          <w:color w:val="auto"/>
        </w:rPr>
        <w:t>” are to a number of shares of Talkspace, Inc. common stock equal to the Exchange Ratio;</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Cash Weighted Mixed Election</w:t>
      </w:r>
      <w:r>
        <w:rPr>
          <w:rFonts w:ascii="Arial" w:cs="Arial" w:eastAsia="Arial" w:hAnsi="Arial"/>
          <w:sz w:val="18"/>
          <w:szCs w:val="18"/>
          <w:color w:val="auto"/>
        </w:rPr>
        <w:t>” are to, with respect to any Pre-Closing Holder, an election by such holder to receive the Stockholder Cash Weighed Mixed Election Consideration, as it may be adjusted pursuant to the Merger Agreement;</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 Cash Weighted Mixed Election Consideration</w:t>
      </w:r>
      <w:r>
        <w:rPr>
          <w:rFonts w:ascii="Arial" w:cs="Arial" w:eastAsia="Arial" w:hAnsi="Arial"/>
          <w:sz w:val="16"/>
          <w:szCs w:val="16"/>
          <w:color w:val="auto"/>
        </w:rPr>
        <w:t>” are to (a) a number of shares of Talkspace, Inc. common stock equal to (i) the Exchange Ratio multiplied by (ii) the difference obtained by subtracting the Stockholder Cash Weighted Mixed Election Percentage from clause (i), and (b) cash in an amount equal to (i) the Per Share Merger Consideration multiplied by (ii) the Stockholder Cash Weighted Mixed Election Percentage;</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Cash Weighted Mixed Election Percentage</w:t>
      </w:r>
      <w:r>
        <w:rPr>
          <w:rFonts w:ascii="Arial" w:cs="Arial" w:eastAsia="Arial" w:hAnsi="Arial"/>
          <w:sz w:val="18"/>
          <w:szCs w:val="18"/>
          <w:color w:val="auto"/>
        </w:rPr>
        <w:t>” are to, with respect to any Pre-Closing Holder that has properly made and not revoked or lost a Stockholder Cash Weighted Mixed Election, a percentage equal to fifty percent (50%);</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Standard Mixed Election</w:t>
      </w:r>
      <w:r>
        <w:rPr>
          <w:rFonts w:ascii="Arial" w:cs="Arial" w:eastAsia="Arial" w:hAnsi="Arial"/>
          <w:sz w:val="18"/>
          <w:szCs w:val="18"/>
          <w:color w:val="auto"/>
        </w:rPr>
        <w:t>” are to, with respect to any Pre-Closing Holder, an election by such holder to receive the Stockholder Standard Mixed Election Consideration, as it may be adjusted pursuant to the Merger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 Standard Mixed Election Consideration</w:t>
      </w:r>
      <w:r>
        <w:rPr>
          <w:rFonts w:ascii="Arial" w:cs="Arial" w:eastAsia="Arial" w:hAnsi="Arial"/>
          <w:sz w:val="16"/>
          <w:szCs w:val="16"/>
          <w:color w:val="auto"/>
        </w:rPr>
        <w:t>” are to (a) a number of shares of Talkspace, Inc. common stock equal to (i) the Exchange Ratio multiplied by (ii) the difference obtained by subtracting the Stockholder Standard Mixed Election Percentage from clause (i), and (b) cash in an amount equal to (i) the Per Share Merger Consideration, multiplied by (ii) the Stockholder Standard Mixed Election Percentage;</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Standard Mixed Election Percentage</w:t>
      </w:r>
      <w:r>
        <w:rPr>
          <w:rFonts w:ascii="Arial" w:cs="Arial" w:eastAsia="Arial" w:hAnsi="Arial"/>
          <w:sz w:val="18"/>
          <w:szCs w:val="18"/>
          <w:color w:val="auto"/>
        </w:rPr>
        <w:t xml:space="preserve">” are to, with respect to any Pre-Closing Holder that has properly made and not revoked or lost a Stockholder Standard Mixed Election in accordance with the Merger Agreement, equal to an amount, expressed as a percentage, (a) the numerator of which is the Closing Cash Consideration and (b) the denominator of which is equal to the sum of (i) the Closing Cash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result of multiplying (A) the Closing Share Consideration by (B) $10.00;</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are to the subscription agreements entered into by and between HEC and the PIPE Investors, in each case, dated as of January 12, 2021 and entered into in connection with the PIPE Investment;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w:t>
      </w:r>
      <w:r>
        <w:rPr>
          <w:rFonts w:ascii="Arial" w:cs="Arial" w:eastAsia="Arial" w:hAnsi="Arial"/>
          <w:sz w:val="18"/>
          <w:szCs w:val="18"/>
          <w:color w:val="auto"/>
        </w:rPr>
        <w:t>” are to Groop Internet Platform, Inc. (d/b/a “Talkspace”), a Delaware 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common stock</w:t>
      </w:r>
      <w:r>
        <w:rPr>
          <w:rFonts w:ascii="Arial" w:cs="Arial" w:eastAsia="Arial" w:hAnsi="Arial"/>
          <w:sz w:val="18"/>
          <w:szCs w:val="18"/>
          <w:color w:val="auto"/>
        </w:rPr>
        <w:t>” are to the shares of common stock, par value $0.001 per share, of Talkspace;</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Holders Support Agreement</w:t>
      </w:r>
      <w:r>
        <w:rPr>
          <w:rFonts w:ascii="Arial" w:cs="Arial" w:eastAsia="Arial" w:hAnsi="Arial"/>
          <w:sz w:val="18"/>
          <w:szCs w:val="18"/>
          <w:color w:val="auto"/>
        </w:rPr>
        <w:t>” are to that certain Support Agreement, dated as of January 12, 2021, by and among HEC, Talkspace and certain stockholders of Talkspace party thereto;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Incentive Plan</w:t>
      </w:r>
      <w:r>
        <w:rPr>
          <w:rFonts w:ascii="Arial" w:cs="Arial" w:eastAsia="Arial" w:hAnsi="Arial"/>
          <w:sz w:val="18"/>
          <w:szCs w:val="18"/>
          <w:color w:val="auto"/>
        </w:rPr>
        <w:t>” are to certain 2014 Stock Incentive Plan of Groop Internet Platform,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Options</w:t>
      </w:r>
      <w:r>
        <w:rPr>
          <w:rFonts w:ascii="Arial" w:cs="Arial" w:eastAsia="Arial" w:hAnsi="Arial"/>
          <w:sz w:val="18"/>
          <w:szCs w:val="18"/>
          <w:color w:val="auto"/>
        </w:rPr>
        <w:t>” are to options to acquire shares of Talkspace common stock granted under the Talkspace Incentive Plan;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preferred stock</w:t>
      </w:r>
      <w:r>
        <w:rPr>
          <w:rFonts w:ascii="Arial" w:cs="Arial" w:eastAsia="Arial" w:hAnsi="Arial"/>
          <w:sz w:val="18"/>
          <w:szCs w:val="18"/>
          <w:color w:val="auto"/>
        </w:rPr>
        <w:t>” are to, collectively, the shares of preferred stock, par value $0.001 per share, of Talkspace, of which shares have been designated as: (i) Series Seed Preferred Stock, (ii) Series Seed-1 Preferred Stock, (iii) Series Seed-2 Preferred Stock, (iv) Series A Preferred Stock, (v) Series B Preferred Stock, (vi) Series C Preferred Stock and (vii) Series D Preferred Stock;</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Inc.</w:t>
      </w:r>
      <w:r>
        <w:rPr>
          <w:rFonts w:ascii="Arial" w:cs="Arial" w:eastAsia="Arial" w:hAnsi="Arial"/>
          <w:sz w:val="18"/>
          <w:szCs w:val="18"/>
          <w:color w:val="auto"/>
        </w:rPr>
        <w:t>” are to HEC following the consummation of the Transactions and its name change from Hudson Executive Investment Corp. to Talkspace, Inc.;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Inc. common stock</w:t>
      </w:r>
      <w:r>
        <w:rPr>
          <w:rFonts w:ascii="Arial" w:cs="Arial" w:eastAsia="Arial" w:hAnsi="Arial"/>
          <w:sz w:val="18"/>
          <w:szCs w:val="18"/>
          <w:color w:val="auto"/>
        </w:rPr>
        <w:t>” are to the shares of common stock, par value $0.0001 per share, of Talkspace,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stock</w:t>
      </w:r>
      <w:r>
        <w:rPr>
          <w:rFonts w:ascii="Arial" w:cs="Arial" w:eastAsia="Arial" w:hAnsi="Arial"/>
          <w:sz w:val="18"/>
          <w:szCs w:val="18"/>
          <w:color w:val="auto"/>
        </w:rPr>
        <w:t>” are to the Talkspace common stock and the Talkspace preferred stock;</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 Agreements</w:t>
      </w:r>
      <w:r>
        <w:rPr>
          <w:rFonts w:ascii="Arial" w:cs="Arial" w:eastAsia="Arial" w:hAnsi="Arial"/>
          <w:sz w:val="17"/>
          <w:szCs w:val="17"/>
          <w:color w:val="auto"/>
        </w:rPr>
        <w:t>” are to the Merger Agreement, the Registration Rights Agreement, the Talkspace Holders Support Agreement, the Sponsor Support Agreement, the Subscription Agreements, the HEC Forward Purchase Agreement, the Exchange Agent Agreement, each Letter of Transmittal, the second amended and restated certificate of incorporation, the Proposed Bylaws, and all the other agreements, documents, instruments and certificates entered into in connection herewith and/or therewith and any and all exhibits and schedules thereto;</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collectively, the business combination and the other transactions contemplated by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are to the regulations promulgated under the Code;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are to the trust account of HEC that holds the proceeds from the HEC IPO;</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Agreement</w:t>
      </w:r>
      <w:r>
        <w:rPr>
          <w:rFonts w:ascii="Arial" w:cs="Arial" w:eastAsia="Arial" w:hAnsi="Arial"/>
          <w:sz w:val="18"/>
          <w:szCs w:val="18"/>
          <w:color w:val="auto"/>
        </w:rPr>
        <w:t>” are to the Investment Management Trust Agreement, effective as of June 8, 2020, by and between HEC and Continental Stock Transfer &amp; Trust Company, as trustee;</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HEC Option</w:t>
      </w:r>
      <w:r>
        <w:rPr>
          <w:rFonts w:ascii="Arial" w:cs="Arial" w:eastAsia="Arial" w:hAnsi="Arial"/>
          <w:sz w:val="18"/>
          <w:szCs w:val="18"/>
          <w:color w:val="auto"/>
        </w:rPr>
        <w:t>” are to each Unvested Talkspace Option that is outstanding as of immediately prior to the First Effective Time that will be assumed and converted (based on the adjustment formula set forth in the Merger Agreement), by virtue of the First Merger and without any action on the part of the holders thereof, into an option to purchase shares of Talkspace, Inc. common stock;</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Talkspace Option</w:t>
      </w:r>
      <w:r>
        <w:rPr>
          <w:rFonts w:ascii="Arial" w:cs="Arial" w:eastAsia="Arial" w:hAnsi="Arial"/>
          <w:sz w:val="18"/>
          <w:szCs w:val="18"/>
          <w:color w:val="auto"/>
        </w:rPr>
        <w:t>” are to a Talkspace Option, or portion thereof, to the extent such Talkspace Option (or applicable portion thereof) is outstanding and not vested as of immediately prior to the First Effective Time;</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Vested HEC Option</w:t>
      </w:r>
      <w:r>
        <w:rPr>
          <w:rFonts w:ascii="Arial" w:cs="Arial" w:eastAsia="Arial" w:hAnsi="Arial"/>
          <w:sz w:val="17"/>
          <w:szCs w:val="17"/>
          <w:color w:val="auto"/>
        </w:rPr>
        <w:t>” are to a portion of each Vested Talkspace Option that is outstanding as of immediately prior to the First Effective Time that will be assumed and converted (based on the adjustment formula set forth in the Merger Agreement), by virtue of the First Merger and without any action on the part of the holders thereof, into an option to purchase shares of Talkspace, Inc. common stock;</w:t>
      </w:r>
    </w:p>
    <w:p>
      <w:pPr>
        <w:spacing w:after="0" w:line="165"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Vested Talkspace Option</w:t>
      </w:r>
      <w:r>
        <w:rPr>
          <w:rFonts w:ascii="Arial" w:cs="Arial" w:eastAsia="Arial" w:hAnsi="Arial"/>
          <w:sz w:val="16"/>
          <w:szCs w:val="16"/>
          <w:color w:val="auto"/>
        </w:rPr>
        <w:t>” are to a Talkspace Option, or portion thereof, to the extent such Talkspace Option (or applicable portion thereof) is vested and outstanding as of immediately prior to the First Effective Time (after taking into consideration any accelerated vesting that is required to occur as a result of the Transactions pursuant to the terms of applicable award agreement that has not otherwise been waived by the holder thereof);</w:t>
      </w:r>
    </w:p>
    <w:p>
      <w:pPr>
        <w:spacing w:after="0" w:line="14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that certain Warrant Agreement, dated as of June 8, 2020, by and between HEC and Continental Stock Transfer &amp; Trust Company;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public warrants and the private placement warrants and the PIPE Warrants.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OF THE MATERIAL TERMS OF THE TRANSACTIONS</w:t>
      </w:r>
    </w:p>
    <w:p>
      <w:pPr>
        <w:spacing w:after="0" w:line="22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w:t>
      </w:r>
      <w:r>
        <w:rPr>
          <w:rFonts w:ascii="Arial" w:cs="Arial" w:eastAsia="Arial" w:hAnsi="Arial"/>
          <w:sz w:val="18"/>
          <w:szCs w:val="18"/>
          <w:color w:val="auto"/>
        </w:rPr>
        <w:t>” and “</w:t>
      </w:r>
      <w:r>
        <w:rPr>
          <w:rFonts w:ascii="Arial" w:cs="Arial" w:eastAsia="Arial" w:hAnsi="Arial"/>
          <w:sz w:val="18"/>
          <w:szCs w:val="18"/>
          <w:i w:val="1"/>
          <w:iCs w:val="1"/>
          <w:color w:val="auto"/>
        </w:rPr>
        <w:t>Summary of the Proxy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Statement/Prospectus</w:t>
      </w:r>
      <w:r>
        <w:rPr>
          <w:rFonts w:ascii="Arial" w:cs="Arial" w:eastAsia="Arial" w:hAnsi="Arial"/>
          <w:sz w:val="18"/>
          <w:szCs w:val="18"/>
          <w:color w:val="auto"/>
        </w:rPr>
        <w:t>,” summarizes certain information contained in this proxy statement/prospectus, but does not contain all of the information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to you. You should read carefully this entire proxy statement/prospectus, including the attached Annexes, for a more complete understanding of the matters to be considered at the special meeting. In addition, for definitions used commonly throughout this proxy statement/prospectus,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215" w:lineRule="exact"/>
        <w:rPr>
          <w:sz w:val="20"/>
          <w:szCs w:val="20"/>
          <w:color w:val="auto"/>
        </w:rPr>
      </w:pPr>
    </w:p>
    <w:p>
      <w:pPr>
        <w:ind w:left="540" w:hanging="316"/>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Hudson Executive Investment Corp, a Delaware corporation, which we refer to as “</w:t>
      </w:r>
      <w:r>
        <w:rPr>
          <w:rFonts w:ascii="Arial" w:cs="Arial" w:eastAsia="Arial" w:hAnsi="Arial"/>
          <w:sz w:val="18"/>
          <w:szCs w:val="18"/>
          <w:i w:val="1"/>
          <w:iCs w:val="1"/>
          <w:color w:val="auto"/>
        </w:rPr>
        <w:t>HEC</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is a special purpose acquisition company formed for the purpose of effecting a merger, capital stock exchange, asset acquisition, stock purchase, reorganization or similar business combination with one or more businesses.</w:t>
      </w:r>
    </w:p>
    <w:p>
      <w:pPr>
        <w:spacing w:after="0" w:line="210" w:lineRule="exact"/>
        <w:rPr>
          <w:rFonts w:ascii="Arial" w:cs="Arial" w:eastAsia="Arial" w:hAnsi="Arial"/>
          <w:sz w:val="18"/>
          <w:szCs w:val="18"/>
          <w:color w:val="auto"/>
        </w:rPr>
      </w:pPr>
    </w:p>
    <w:p>
      <w:pPr>
        <w:jc w:val="both"/>
        <w:ind w:left="540" w:right="60" w:hanging="316"/>
        <w:spacing w:after="0" w:line="287"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June 11, 2020, HEC consummated the HEC IPO of 41,400,000 units, including 5,400,000 units under the underwriters’ over-allotment option, with each unit consisting of one share of HEC’s Class A common stock and one-half of one warrant, each whole warrant to purchase one share of HEC’s Class A common stock. The units were sold at an offering price of $10.00 per unit, generating gross proceeds of $414,000,000.</w:t>
      </w:r>
    </w:p>
    <w:p>
      <w:pPr>
        <w:spacing w:after="0" w:line="2" w:lineRule="exact"/>
        <w:rPr>
          <w:rFonts w:ascii="Arial" w:cs="Arial" w:eastAsia="Arial" w:hAnsi="Arial"/>
          <w:sz w:val="16"/>
          <w:szCs w:val="16"/>
          <w:color w:val="auto"/>
        </w:rPr>
      </w:pPr>
    </w:p>
    <w:p>
      <w:pPr>
        <w:ind w:left="540" w:right="180"/>
        <w:spacing w:after="0" w:line="253" w:lineRule="auto"/>
        <w:rPr>
          <w:rFonts w:ascii="Arial" w:cs="Arial" w:eastAsia="Arial" w:hAnsi="Arial"/>
          <w:sz w:val="16"/>
          <w:szCs w:val="16"/>
          <w:color w:val="auto"/>
        </w:rPr>
      </w:pPr>
      <w:r>
        <w:rPr>
          <w:rFonts w:ascii="Arial" w:cs="Arial" w:eastAsia="Arial" w:hAnsi="Arial"/>
          <w:sz w:val="18"/>
          <w:szCs w:val="18"/>
          <w:color w:val="auto"/>
        </w:rPr>
        <w:t>Simultaneously with the consummation of the initial public offering, HEC consummated the private placement of 10,280,000 warrants at a price of $1.00 per warrant, generating total proceeds of $10,280,000. Transaction costs amounted to $23,353,182 consisting of $8,280,000 of underwriting fees, $14,490,000 of deferred underwriting fees due to J.P. Morgan Securities LLC (“</w:t>
      </w:r>
      <w:r>
        <w:rPr>
          <w:rFonts w:ascii="Arial" w:cs="Arial" w:eastAsia="Arial" w:hAnsi="Arial"/>
          <w:sz w:val="18"/>
          <w:szCs w:val="18"/>
          <w:i w:val="1"/>
          <w:iCs w:val="1"/>
          <w:color w:val="auto"/>
        </w:rPr>
        <w:t>J.P. Morgan</w:t>
      </w:r>
      <w:r>
        <w:rPr>
          <w:rFonts w:ascii="Arial" w:cs="Arial" w:eastAsia="Arial" w:hAnsi="Arial"/>
          <w:sz w:val="18"/>
          <w:szCs w:val="18"/>
          <w:color w:val="auto"/>
        </w:rPr>
        <w:t>”) and Citigroup Global Markets Inc. (“</w:t>
      </w:r>
      <w:r>
        <w:rPr>
          <w:rFonts w:ascii="Arial" w:cs="Arial" w:eastAsia="Arial" w:hAnsi="Arial"/>
          <w:sz w:val="18"/>
          <w:szCs w:val="18"/>
          <w:i w:val="1"/>
          <w:iCs w:val="1"/>
          <w:color w:val="auto"/>
        </w:rPr>
        <w:t>Citigroup</w:t>
      </w:r>
      <w:r>
        <w:rPr>
          <w:rFonts w:ascii="Arial" w:cs="Arial" w:eastAsia="Arial" w:hAnsi="Arial"/>
          <w:sz w:val="18"/>
          <w:szCs w:val="18"/>
          <w:color w:val="auto"/>
        </w:rPr>
        <w:t>”) and $583,182 of other offering costs.</w:t>
      </w:r>
    </w:p>
    <w:p>
      <w:pPr>
        <w:spacing w:after="0" w:line="219" w:lineRule="exact"/>
        <w:rPr>
          <w:rFonts w:ascii="Arial" w:cs="Arial" w:eastAsia="Arial" w:hAnsi="Arial"/>
          <w:sz w:val="16"/>
          <w:szCs w:val="16"/>
          <w:color w:val="auto"/>
        </w:rPr>
      </w:pPr>
    </w:p>
    <w:p>
      <w:pPr>
        <w:ind w:left="540" w:right="260" w:hanging="316"/>
        <w:spacing w:after="0" w:line="279"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Following the consummation of the HEC IPO, $414,000,000 was deposited into a U.S.-based trust account with J.P. Morgan Chase Bank, N.A. maintained by Continental Stock Transfer &amp; Trust Company, acting as trustee. Except as described in the prospectus for the HEC IPO, these proceeds will not be released until the earlier of the completion of an initial business combination and HEC’s redemption of 100% of the outstanding public shares upon its failure to consummate a business combination within the completion window.</w:t>
      </w:r>
    </w:p>
    <w:p>
      <w:pPr>
        <w:spacing w:after="0" w:line="198" w:lineRule="exact"/>
        <w:rPr>
          <w:rFonts w:ascii="Arial" w:cs="Arial" w:eastAsia="Arial" w:hAnsi="Arial"/>
          <w:sz w:val="17"/>
          <w:szCs w:val="17"/>
          <w:color w:val="auto"/>
        </w:rPr>
      </w:pPr>
    </w:p>
    <w:p>
      <w:pPr>
        <w:ind w:left="540" w:right="10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Groop Internet Platform Inc. (d/b/a “Talkspace”), a Delaware corporation, which we refer to as “Talkspace,” is a leading virtual behavioral health platform.</w:t>
      </w:r>
    </w:p>
    <w:p>
      <w:pPr>
        <w:spacing w:after="0" w:line="197"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12, 2021, HEC entered into an Agreement and Plan of Merger with Talkspace, First Merger Sub and Second Merger Sub, which among other things, provides for (i) First Merger Sub to be merged with and into Talkspace with Talkspace being the surviving company in the First Merger and (ii) Talkspace to be merged with and into Second Merger Sub, with Second Merger Sub surviving the Second Merger as a wholly owned subsidiary of HEC.</w:t>
      </w:r>
    </w:p>
    <w:p>
      <w:pPr>
        <w:spacing w:after="0" w:line="213"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terms of the Merger Agreement, the aggregate merger consideration payable to holders of Talkspace stock and Vested Talkspace Options will be equal to: (a) the Closing Cash Consideration and (b) the Closing Share Consideration.</w:t>
      </w:r>
    </w:p>
    <w:p>
      <w:pPr>
        <w:spacing w:after="0" w:line="197" w:lineRule="exact"/>
        <w:rPr>
          <w:rFonts w:ascii="Arial" w:cs="Arial" w:eastAsia="Arial" w:hAnsi="Arial"/>
          <w:sz w:val="18"/>
          <w:szCs w:val="18"/>
          <w:color w:val="auto"/>
        </w:rPr>
      </w:pPr>
    </w:p>
    <w:p>
      <w:pPr>
        <w:ind w:left="540" w:right="280" w:hanging="31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Pursuant to the PIPE Investment, HEC has agreed to issue and sell to the PIPE Investors, and the PIPE Investors have agreed to buy from HEC 30,000,000 shares of Talkspace, Inc. common stock at a purchase price of $10.00 per share for an aggregate commitment of $300,000,000.</w:t>
      </w:r>
    </w:p>
    <w:p>
      <w:pPr>
        <w:spacing w:after="0" w:line="150" w:lineRule="exact"/>
        <w:rPr>
          <w:rFonts w:ascii="Arial" w:cs="Arial" w:eastAsia="Arial" w:hAnsi="Arial"/>
          <w:sz w:val="16"/>
          <w:szCs w:val="16"/>
          <w:color w:val="auto"/>
        </w:rPr>
      </w:pPr>
    </w:p>
    <w:p>
      <w:pPr>
        <w:ind w:left="540" w:right="160" w:hanging="316"/>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the HEC Forward Purchase Agreement, as amended, HEC Fund agreed to purchase 2,500,000 Forward Purchase Units and backstop up to $25,000,000 of redemptions by HEC stockholders in a private placement that will close concurrently with the Closing. The Forward Purchase Units consist of one share of Talkspace, Inc. common stock and one-half of one warrant to purchase one share of Talkspace, Inc. common stock, for $10.00 per unit.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7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204" w:lineRule="exact"/>
        <w:rPr>
          <w:rFonts w:ascii="Arial" w:cs="Arial" w:eastAsia="Arial" w:hAnsi="Arial"/>
          <w:sz w:val="17"/>
          <w:szCs w:val="17"/>
          <w:color w:val="auto"/>
        </w:rPr>
      </w:pPr>
    </w:p>
    <w:p>
      <w:pPr>
        <w:ind w:left="540" w:right="80" w:hanging="316"/>
        <w:spacing w:after="0" w:line="290"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HEC management and the HEC Board considered various factors in determining whether to approve the Merger Agreement and the Transactions. For more information about the reasons that the HEC Board considered in determining its recommendation, please see the section entitled “</w:t>
      </w:r>
      <w:r>
        <w:rPr>
          <w:rFonts w:ascii="Arial" w:cs="Arial" w:eastAsia="Arial" w:hAnsi="Arial"/>
          <w:sz w:val="16"/>
          <w:szCs w:val="16"/>
          <w:i w:val="1"/>
          <w:iCs w:val="1"/>
          <w:color w:val="auto"/>
        </w:rPr>
        <w:t>Proposal No. 1—The Business Combination Proposal—HEC’s Board of Directors’ Reasons for Approval of the Transactions.</w:t>
      </w:r>
      <w:r>
        <w:rPr>
          <w:rFonts w:ascii="Arial" w:cs="Arial" w:eastAsia="Arial" w:hAnsi="Arial"/>
          <w:sz w:val="16"/>
          <w:szCs w:val="16"/>
          <w:color w:val="auto"/>
        </w:rPr>
        <w:t>” 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6"/>
          <w:szCs w:val="16"/>
          <w:i w:val="1"/>
          <w:iCs w:val="1"/>
          <w:color w:val="auto"/>
        </w:rPr>
        <w:t>Proposal No. 1—The Business Combination Proposal—Interests of Certain Persons in the Business Combination</w:t>
      </w:r>
      <w:r>
        <w:rPr>
          <w:rFonts w:ascii="Arial" w:cs="Arial" w:eastAsia="Arial" w:hAnsi="Arial"/>
          <w:sz w:val="16"/>
          <w:szCs w:val="16"/>
          <w:color w:val="auto"/>
        </w:rPr>
        <w:t>” for additional information. The HEC Board was aware of and considered these interests, among other matters, in evaluating and negotiating the Transactions and in recommending to the HEC stockholders that they vote “FOR” the proposals presented at the special meeting.</w:t>
      </w:r>
    </w:p>
    <w:p>
      <w:pPr>
        <w:spacing w:after="0" w:line="192" w:lineRule="exact"/>
        <w:rPr>
          <w:rFonts w:ascii="Arial" w:cs="Arial" w:eastAsia="Arial" w:hAnsi="Arial"/>
          <w:sz w:val="16"/>
          <w:szCs w:val="16"/>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special meeting, HEC’s stockholders will be asked to consider and vote on the following proposals: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proposal to approve the business combination described in this proxy statement/prospectus, including (a) adopting the Merger Agreement and (b) approving the other transactions contemplated by the Merger Agreement and related agreements described in this proxy statement/prospectus. Please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60" w:hanging="424"/>
        <w:spacing w:after="0" w:line="277"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proposal to approve and adopt the second amended and restated certificate of incorporation of HEC in the form attached hereto as </w:t>
      </w:r>
      <w:r>
        <w:rPr>
          <w:rFonts w:ascii="Arial" w:cs="Arial" w:eastAsia="Arial" w:hAnsi="Arial"/>
          <w:sz w:val="18"/>
          <w:szCs w:val="18"/>
          <w:i w:val="1"/>
          <w:iCs w:val="1"/>
          <w:color w:val="auto"/>
        </w:rPr>
        <w:t>Annex</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Please see the section entitled “</w:t>
      </w:r>
      <w:r>
        <w:rPr>
          <w:rFonts w:ascii="Arial" w:cs="Arial" w:eastAsia="Arial" w:hAnsi="Arial"/>
          <w:sz w:val="18"/>
          <w:szCs w:val="18"/>
          <w:i w:val="1"/>
          <w:iCs w:val="1"/>
          <w:color w:val="auto"/>
        </w:rPr>
        <w:t>Proposal 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certain governance provisions in the second amended and restated certificate of incorporation, presented separately in accordance with requirements of the SEC. Please see the section entitled “</w:t>
      </w:r>
      <w:r>
        <w:rPr>
          <w:rFonts w:ascii="Arial" w:cs="Arial" w:eastAsia="Arial" w:hAnsi="Arial"/>
          <w:sz w:val="18"/>
          <w:szCs w:val="18"/>
          <w:i w:val="1"/>
          <w:iCs w:val="1"/>
          <w:color w:val="auto"/>
        </w:rPr>
        <w:t>Proposal No. 3—The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80" w:hanging="424"/>
        <w:spacing w:after="0" w:line="286" w:lineRule="auto"/>
        <w:tabs>
          <w:tab w:leader="none" w:pos="10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7"/>
          <w:szCs w:val="17"/>
          <w:i w:val="1"/>
          <w:iCs w:val="1"/>
          <w:color w:val="auto"/>
        </w:rPr>
        <w:t>Proposal No. 6—The 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220" w:hanging="424"/>
        <w:spacing w:after="0" w:line="286" w:lineRule="auto"/>
        <w:tabs>
          <w:tab w:leader="none" w:pos="10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7"/>
          <w:szCs w:val="17"/>
          <w:i w:val="1"/>
          <w:iCs w:val="1"/>
          <w:color w:val="auto"/>
        </w:rPr>
        <w:t>Proposal No. 7—The Nasdaq Proposal</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080" w:right="80" w:hanging="424"/>
        <w:spacing w:after="0" w:line="279" w:lineRule="auto"/>
        <w:tabs>
          <w:tab w:leader="none" w:pos="10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7"/>
          <w:szCs w:val="17"/>
          <w:i w:val="1"/>
          <w:iCs w:val="1"/>
          <w:color w:val="auto"/>
        </w:rPr>
        <w:t>Proposal No. 8—The Adjournment Proposal</w:t>
      </w:r>
      <w:r>
        <w:rPr>
          <w:rFonts w:ascii="Arial" w:cs="Arial" w:eastAsia="Arial" w:hAnsi="Arial"/>
          <w:sz w:val="17"/>
          <w:szCs w:val="17"/>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consummation of the Transactions, the HEC Board anticipates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successors are duly elected and qualified, or until their earlier resignation, removal or death. Please see the sections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 and “</w:t>
      </w:r>
      <w:r>
        <w:rPr>
          <w:rFonts w:ascii="Arial" w:cs="Arial" w:eastAsia="Arial" w:hAnsi="Arial"/>
          <w:sz w:val="18"/>
          <w:szCs w:val="18"/>
          <w:i w:val="1"/>
          <w:iCs w:val="1"/>
          <w:color w:val="auto"/>
        </w:rPr>
        <w:t>Management of Talkspace, Inc. Following the Business Combination</w:t>
      </w:r>
      <w:r>
        <w:rPr>
          <w:rFonts w:ascii="Arial" w:cs="Arial" w:eastAsia="Arial" w:hAnsi="Arial"/>
          <w:sz w:val="18"/>
          <w:szCs w:val="18"/>
          <w:color w:val="auto"/>
        </w:rPr>
        <w:t>” for additional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i w:val="1"/>
          <w:iCs w:val="1"/>
          <w:color w:val="auto"/>
        </w:rPr>
        <w:t>The questions and answers below highlight only selected information from this proxy statement/prospectus and only briefly address some commonly asked questions about the special meeting and the proposals to be presented at the special meeting, including with respect to the proposed business combination. The following questions and answers do not include all the information that is important to HEC stockholders. Stockholders are urged to read carefully this entire proxy statement/prospectus, including the Annexes and the other documents referred to herein, to fully understand the proposed business combination and the voting procedures for the special meeting.</w:t>
      </w:r>
    </w:p>
    <w:p>
      <w:pPr>
        <w:spacing w:after="0" w:line="332"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4" w:lineRule="exact"/>
        <w:rPr>
          <w:rFonts w:ascii="Arial" w:cs="Arial" w:eastAsia="Arial" w:hAnsi="Arial"/>
          <w:sz w:val="18"/>
          <w:szCs w:val="18"/>
          <w:b w:val="1"/>
          <w:bCs w:val="1"/>
          <w:color w:val="auto"/>
        </w:rPr>
      </w:pPr>
    </w:p>
    <w:p>
      <w:pPr>
        <w:ind w:left="540" w:hanging="424"/>
        <w:spacing w:after="0" w:line="25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HEC and Talkspace have agreed to a business combination under the terms of the Merger Agreement that is described in this proxy statement/prospectus. A copy of the Merger Agreement is attached to this proxy statement/prospectus as </w:t>
      </w:r>
      <w:r>
        <w:rPr>
          <w:rFonts w:ascii="Arial" w:cs="Arial" w:eastAsia="Arial" w:hAnsi="Arial"/>
          <w:sz w:val="18"/>
          <w:szCs w:val="18"/>
          <w:i w:val="1"/>
          <w:iCs w:val="1"/>
          <w:color w:val="auto"/>
        </w:rPr>
        <w:t>Annex A</w:t>
      </w:r>
      <w:r>
        <w:rPr>
          <w:rFonts w:ascii="Arial" w:cs="Arial" w:eastAsia="Arial" w:hAnsi="Arial"/>
          <w:sz w:val="18"/>
          <w:szCs w:val="18"/>
          <w:color w:val="auto"/>
        </w:rPr>
        <w:t>, and HEC encourages its stockholders to read it in its entirety. HEC’s stockholders are being asked to consider and vote upon a proposal to adopt the Merger Agreement and approve the Transactions, which, among other things, include provisions for (a) First Merger Sub to be merged with and into Talkspace with Talkspace being the surviving corporation in the First Merger as a wholly owned subsidiary of HEC and (b) immediately following the First Merger and as part of the same overall transaction as the First Merger, Talkspace to be merged with and into Second Merger Sub, with Second Merger Sub surviving as a wholly owned subsidiary of HEC in the Second Merger. Please see the section entitled “</w:t>
      </w:r>
      <w:r>
        <w:rPr>
          <w:rFonts w:ascii="Arial" w:cs="Arial" w:eastAsia="Arial" w:hAnsi="Arial"/>
          <w:sz w:val="18"/>
          <w:szCs w:val="18"/>
          <w:i w:val="1"/>
          <w:iCs w:val="1"/>
          <w:color w:val="auto"/>
        </w:rPr>
        <w:t>Proposal No. 1—The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560" w:right="60"/>
        <w:spacing w:after="0" w:line="342" w:lineRule="auto"/>
        <w:rPr>
          <w:rFonts w:ascii="Arial" w:cs="Arial" w:eastAsia="Arial" w:hAnsi="Arial"/>
          <w:sz w:val="18"/>
          <w:szCs w:val="18"/>
          <w:color w:val="auto"/>
        </w:rPr>
      </w:pPr>
      <w:r>
        <w:rPr>
          <w:rFonts w:ascii="Arial" w:cs="Arial" w:eastAsia="Arial" w:hAnsi="Arial"/>
          <w:sz w:val="16"/>
          <w:szCs w:val="16"/>
          <w:color w:val="auto"/>
        </w:rPr>
        <w:t>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15" w:lineRule="exact"/>
        <w:rPr>
          <w:rFonts w:ascii="Arial" w:cs="Arial" w:eastAsia="Arial" w:hAnsi="Arial"/>
          <w:sz w:val="18"/>
          <w:szCs w:val="18"/>
          <w:color w:val="auto"/>
        </w:rPr>
      </w:pPr>
    </w:p>
    <w:p>
      <w:pPr>
        <w:ind w:left="560"/>
        <w:spacing w:after="0" w:line="277" w:lineRule="auto"/>
        <w:rPr>
          <w:rFonts w:ascii="Arial" w:cs="Arial" w:eastAsia="Arial" w:hAnsi="Arial"/>
          <w:sz w:val="18"/>
          <w:szCs w:val="18"/>
          <w:color w:val="auto"/>
        </w:rPr>
      </w:pPr>
      <w:r>
        <w:rPr>
          <w:rFonts w:ascii="Arial" w:cs="Arial" w:eastAsia="Arial" w:hAnsi="Arial"/>
          <w:sz w:val="18"/>
          <w:szCs w:val="18"/>
          <w:color w:val="auto"/>
        </w:rPr>
        <w:t>Your vote is important. You are encouraged to submit your proxy as soon as possible after carefully reviewing this proxy statement/prospectus and its Annexes.</w:t>
      </w:r>
    </w:p>
    <w:p>
      <w:pPr>
        <w:spacing w:after="0" w:line="314"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134" w:lineRule="exact"/>
        <w:rPr>
          <w:rFonts w:ascii="Arial" w:cs="Arial" w:eastAsia="Arial" w:hAnsi="Arial"/>
          <w:sz w:val="18"/>
          <w:szCs w:val="18"/>
          <w:b w:val="1"/>
          <w:bCs w:val="1"/>
          <w:color w:val="auto"/>
        </w:rPr>
      </w:pPr>
    </w:p>
    <w:p>
      <w:pPr>
        <w:ind w:left="540" w:right="40" w:hanging="424"/>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special meeting will be held via live webcast on June 17, 2021 at 8.30 a.m. Eastern Time. The special meeting can be accessed by visiting https://www.cstproxy.com/hudsoninvestcorp/sm2021, where you will be able to listen to the meeting live and vote during the meeting. Please note that you will only be able to access the special meeting by means of remote communication.</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proposals on which I am being asked to vote at the special meeting?</w:t>
      </w:r>
    </w:p>
    <w:p>
      <w:pPr>
        <w:spacing w:after="0" w:line="134" w:lineRule="exact"/>
        <w:rPr>
          <w:rFonts w:ascii="Arial" w:cs="Arial" w:eastAsia="Arial" w:hAnsi="Arial"/>
          <w:sz w:val="18"/>
          <w:szCs w:val="18"/>
          <w:b w:val="1"/>
          <w:bCs w:val="1"/>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stockholders of HEC will be asked to consider and vote on the following proposals at the special meeting:</w:t>
      </w:r>
    </w:p>
    <w:p>
      <w:pPr>
        <w:spacing w:after="0" w:line="130" w:lineRule="exact"/>
        <w:rPr>
          <w:rFonts w:ascii="Arial" w:cs="Arial" w:eastAsia="Arial" w:hAnsi="Arial"/>
          <w:sz w:val="18"/>
          <w:szCs w:val="18"/>
          <w:color w:val="auto"/>
        </w:rPr>
      </w:pPr>
    </w:p>
    <w:p>
      <w:pPr>
        <w:ind w:left="1080" w:hanging="532"/>
        <w:spacing w:after="0" w:line="286" w:lineRule="auto"/>
        <w:tabs>
          <w:tab w:leader="none" w:pos="10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proposal to approve the business combination described in this proxy statement/prospectus, including (a) adopting the Merger Agreement and (b) approving the other transactions contemplated by the Merger Agreement and related agreements described in this proxy statement/prospectus. Please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60" w:hanging="532"/>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a proposal to approve and adopt the second amended and restated certificate of incorporation of HEC in the form attached hereto as </w:t>
      </w:r>
      <w:r>
        <w:rPr>
          <w:rFonts w:ascii="Arial" w:cs="Arial" w:eastAsia="Arial" w:hAnsi="Arial"/>
          <w:sz w:val="18"/>
          <w:szCs w:val="18"/>
          <w:i w:val="1"/>
          <w:iCs w:val="1"/>
          <w:color w:val="auto"/>
        </w:rPr>
        <w:t>Annex</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Please see the section entitled “</w:t>
      </w:r>
      <w:r>
        <w:rPr>
          <w:rFonts w:ascii="Arial" w:cs="Arial" w:eastAsia="Arial" w:hAnsi="Arial"/>
          <w:sz w:val="18"/>
          <w:szCs w:val="18"/>
          <w:i w:val="1"/>
          <w:iCs w:val="1"/>
          <w:color w:val="auto"/>
        </w:rPr>
        <w:t>Proposal 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1080" w:right="120" w:hanging="532"/>
        <w:spacing w:after="0" w:line="263"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certain governance provisions in the second amended and restated certificate of incorporation, presented separately, in accordance with the requirements of the SEC. Please see the section entitled “</w:t>
      </w:r>
      <w:r>
        <w:rPr>
          <w:rFonts w:ascii="Arial" w:cs="Arial" w:eastAsia="Arial" w:hAnsi="Arial"/>
          <w:sz w:val="18"/>
          <w:szCs w:val="18"/>
          <w:i w:val="1"/>
          <w:iCs w:val="1"/>
          <w:color w:val="auto"/>
        </w:rPr>
        <w:t>Proposal No. 3—The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7"/>
          <w:szCs w:val="17"/>
          <w:i w:val="1"/>
          <w:iCs w:val="1"/>
          <w:color w:val="auto"/>
        </w:rPr>
        <w:t>Proposal No. 6—The 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220" w:hanging="532"/>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7"/>
          <w:szCs w:val="17"/>
          <w:i w:val="1"/>
          <w:iCs w:val="1"/>
          <w:color w:val="auto"/>
        </w:rPr>
        <w:t>Proposal No. 7—The Nasdaq Proposal</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080" w:right="80" w:hanging="532"/>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7"/>
          <w:szCs w:val="17"/>
          <w:i w:val="1"/>
          <w:iCs w:val="1"/>
          <w:color w:val="auto"/>
        </w:rPr>
        <w:t>Proposal No. 8—The Adjournment Proposal</w:t>
      </w:r>
      <w:r>
        <w:rPr>
          <w:rFonts w:ascii="Arial" w:cs="Arial" w:eastAsia="Arial" w:hAnsi="Arial"/>
          <w:sz w:val="17"/>
          <w:szCs w:val="17"/>
          <w:color w:val="auto"/>
        </w:rPr>
        <w:t>.”</w:t>
      </w:r>
    </w:p>
    <w:p>
      <w:pPr>
        <w:spacing w:after="0" w:line="63"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pacing w:after="0" w:line="7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HEC will hold the special meeting of its stockholders to consider and vote upon these proposals. This proxy statement/prospectus contains important information about the proposed business combination and the other matters to be acted upon at the special meeting. Stockholders should read it carefully.</w:t>
      </w:r>
    </w:p>
    <w:p>
      <w:pPr>
        <w:spacing w:after="0" w:line="76"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166" w:lineRule="exact"/>
        <w:rPr>
          <w:sz w:val="20"/>
          <w:szCs w:val="20"/>
          <w:color w:val="auto"/>
        </w:rPr>
      </w:pPr>
    </w:p>
    <w:p>
      <w:pPr>
        <w:ind w:left="560" w:right="620"/>
        <w:spacing w:after="0" w:line="282" w:lineRule="auto"/>
        <w:rPr>
          <w:sz w:val="20"/>
          <w:szCs w:val="20"/>
          <w:color w:val="auto"/>
        </w:rPr>
      </w:pPr>
      <w:r>
        <w:rPr>
          <w:rFonts w:ascii="Arial" w:cs="Arial" w:eastAsia="Arial" w:hAnsi="Arial"/>
          <w:sz w:val="18"/>
          <w:szCs w:val="18"/>
          <w:b w:val="1"/>
          <w:bCs w:val="1"/>
          <w:color w:val="auto"/>
        </w:rPr>
        <w:t>The vote of stockholders is important. Stockholders are encouraged to vote as soon as possible after carefully reviewing this proxy statement/prospectus.</w:t>
      </w:r>
    </w:p>
    <w:p>
      <w:pPr>
        <w:spacing w:after="0" w:line="310"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Why is HEC proposing the business combination?</w:t>
      </w:r>
    </w:p>
    <w:p>
      <w:pPr>
        <w:spacing w:after="0" w:line="134" w:lineRule="exact"/>
        <w:rPr>
          <w:rFonts w:ascii="Arial" w:cs="Arial" w:eastAsia="Arial" w:hAnsi="Arial"/>
          <w:sz w:val="18"/>
          <w:szCs w:val="18"/>
          <w:b w:val="1"/>
          <w:bCs w:val="1"/>
          <w:color w:val="auto"/>
        </w:rPr>
      </w:pPr>
    </w:p>
    <w:p>
      <w:pPr>
        <w:ind w:left="540" w:right="7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HEC was organized to effect a merger, capital stock exchange, asset acquisition, stock purchase, reorganization or other similar business combination with one or more businesses or entities.</w:t>
      </w:r>
    </w:p>
    <w:p>
      <w:pPr>
        <w:spacing w:after="0" w:line="62" w:lineRule="exact"/>
        <w:rPr>
          <w:rFonts w:ascii="Arial" w:cs="Arial" w:eastAsia="Arial" w:hAnsi="Arial"/>
          <w:sz w:val="18"/>
          <w:szCs w:val="18"/>
          <w:color w:val="auto"/>
        </w:rPr>
      </w:pPr>
    </w:p>
    <w:p>
      <w:pPr>
        <w:jc w:val="both"/>
        <w:ind w:left="560" w:right="40"/>
        <w:spacing w:after="0" w:line="287" w:lineRule="auto"/>
        <w:rPr>
          <w:rFonts w:ascii="Arial" w:cs="Arial" w:eastAsia="Arial" w:hAnsi="Arial"/>
          <w:sz w:val="18"/>
          <w:szCs w:val="18"/>
          <w:color w:val="auto"/>
        </w:rPr>
      </w:pPr>
      <w:r>
        <w:rPr>
          <w:rFonts w:ascii="Arial" w:cs="Arial" w:eastAsia="Arial" w:hAnsi="Arial"/>
          <w:sz w:val="16"/>
          <w:szCs w:val="16"/>
          <w:color w:val="auto"/>
        </w:rPr>
        <w:t>On June 11, 2020, HEC consummated the HEC IPO of 41,400,000 units, including 5,400,000 units under the underwriters’ over-allotment option, with each unit consisting of one share of HEC’s Class A common stock and one-half of one warrant, each whole warrant to purchase one share of HEC’s Class A common stock. The units were sold at an offering price of $10.00 per unit, generating gross proceeds of $414,000,000.</w:t>
      </w:r>
    </w:p>
    <w:p>
      <w:pPr>
        <w:spacing w:after="0" w:line="2" w:lineRule="exact"/>
        <w:rPr>
          <w:rFonts w:ascii="Arial" w:cs="Arial" w:eastAsia="Arial" w:hAnsi="Arial"/>
          <w:sz w:val="18"/>
          <w:szCs w:val="18"/>
          <w:color w:val="auto"/>
        </w:rPr>
      </w:pPr>
    </w:p>
    <w:p>
      <w:pPr>
        <w:ind w:left="560" w:right="80"/>
        <w:spacing w:after="0" w:line="273" w:lineRule="auto"/>
        <w:rPr>
          <w:rFonts w:ascii="Arial" w:cs="Arial" w:eastAsia="Arial" w:hAnsi="Arial"/>
          <w:sz w:val="18"/>
          <w:szCs w:val="18"/>
          <w:color w:val="auto"/>
        </w:rPr>
      </w:pPr>
      <w:r>
        <w:rPr>
          <w:rFonts w:ascii="Arial" w:cs="Arial" w:eastAsia="Arial" w:hAnsi="Arial"/>
          <w:sz w:val="17"/>
          <w:szCs w:val="17"/>
          <w:color w:val="auto"/>
        </w:rPr>
        <w:t>Simultaneously with the consummation of the HEC IPO, HEC consummated the private placement of 10,280,000 warrants at a price of $1.00 per warrant, generating total proceeds of $10,280,000. Transaction costs amounted to $23,353,182 consisting of $8,280,000 of underwriting fees, $14,490,000 of deferred underwriting fees due to J.P. Morgan’s Equity Capital Markets group and Citigroup and $583,182 of other offering costs. Since the HEC IPO, HEC’s activity has been limited to the evaluation of business combination candidates.</w:t>
      </w:r>
    </w:p>
    <w:p>
      <w:pPr>
        <w:spacing w:after="0" w:line="6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Talkspace is a leading virtual behavioral health platform, and, since its founding in 2012, it has connected</w:t>
      </w:r>
    </w:p>
    <w:p>
      <w:pPr>
        <w:spacing w:after="0" w:line="23" w:lineRule="exact"/>
        <w:rPr>
          <w:rFonts w:ascii="Arial" w:cs="Arial" w:eastAsia="Arial" w:hAnsi="Arial"/>
          <w:sz w:val="18"/>
          <w:szCs w:val="18"/>
          <w:color w:val="auto"/>
        </w:rPr>
      </w:pPr>
    </w:p>
    <w:p>
      <w:pPr>
        <w:ind w:left="560" w:right="40"/>
        <w:spacing w:after="0" w:line="277" w:lineRule="auto"/>
        <w:rPr>
          <w:rFonts w:ascii="Arial" w:cs="Arial" w:eastAsia="Arial" w:hAnsi="Arial"/>
          <w:sz w:val="18"/>
          <w:szCs w:val="18"/>
          <w:color w:val="auto"/>
        </w:rPr>
      </w:pPr>
      <w:r>
        <w:rPr>
          <w:rFonts w:ascii="Arial" w:cs="Arial" w:eastAsia="Arial" w:hAnsi="Arial"/>
          <w:sz w:val="17"/>
          <w:szCs w:val="17"/>
          <w:color w:val="auto"/>
        </w:rPr>
        <w:t>millions of members with licensed mental health providers across a wide and growing spectrum of care through virtual counseling, psychotherapy and psychiatry. Talkspace created a purpose-built platform to address the needs of its individual consumer subscribers and enterprise clients offering convenient and affordable access to a fully-credentialed network of highly qualified providers.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The HEC Board considered the results of the due diligence review of Talkspace’s business. The HEC Board also considered Talkspace’s current prospects for growth. For additional information, see “</w:t>
      </w:r>
      <w:r>
        <w:rPr>
          <w:rFonts w:ascii="Arial" w:cs="Arial" w:eastAsia="Arial" w:hAnsi="Arial"/>
          <w:sz w:val="18"/>
          <w:szCs w:val="18"/>
          <w:i w:val="1"/>
          <w:iCs w:val="1"/>
          <w:color w:val="auto"/>
        </w:rPr>
        <w:t>Proposal No. 1—The Business Combination Proposal—HEC’s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Approval of the Transactions</w:t>
      </w:r>
      <w:r>
        <w:rPr>
          <w:rFonts w:ascii="Arial" w:cs="Arial" w:eastAsia="Arial" w:hAnsi="Arial"/>
          <w:sz w:val="18"/>
          <w:szCs w:val="18"/>
          <w:color w:val="auto"/>
        </w:rPr>
        <w:t>.”</w:t>
      </w:r>
    </w:p>
    <w:p>
      <w:pPr>
        <w:spacing w:after="0" w:line="76"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As a result, HEC believes that a business combination with Talkspace will provide HEC stockholders with an opportunity to participate in the ownership of a company with significant growth potential. Please see the section entitled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HEC’s Board of Directors’ Reasons for Approval of the Transactions.</w:t>
      </w:r>
      <w:r>
        <w:rPr>
          <w:rFonts w:ascii="Arial" w:cs="Arial" w:eastAsia="Arial" w:hAnsi="Arial"/>
          <w:sz w:val="18"/>
          <w:szCs w:val="18"/>
          <w:color w:val="auto"/>
        </w:rPr>
        <w:t>” Although the HEC Board believes that the business combination 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unique business combination opportunity and is in the best interests of HEC stockholders, the HEC Board did consider certain potentially material negative factors in arriving at that conclusion. Please see the section entitled “</w:t>
      </w:r>
      <w:r>
        <w:rPr>
          <w:rFonts w:ascii="Arial" w:cs="Arial" w:eastAsia="Arial" w:hAnsi="Arial"/>
          <w:sz w:val="18"/>
          <w:szCs w:val="18"/>
          <w:i w:val="1"/>
          <w:iCs w:val="1"/>
          <w:color w:val="auto"/>
        </w:rPr>
        <w:t>Risk Factors—Risks Related to Talkspace’s Business and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337"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Why is HEC providing stockholders with the opportunity to vote on the business combination?</w:t>
      </w:r>
    </w:p>
    <w:p>
      <w:pPr>
        <w:spacing w:after="0" w:line="134" w:lineRule="exact"/>
        <w:rPr>
          <w:rFonts w:ascii="Arial" w:cs="Arial" w:eastAsia="Arial" w:hAnsi="Arial"/>
          <w:sz w:val="18"/>
          <w:szCs w:val="18"/>
          <w:b w:val="1"/>
          <w:bCs w:val="1"/>
          <w:color w:val="auto"/>
        </w:rPr>
      </w:pPr>
    </w:p>
    <w:p>
      <w:pPr>
        <w:ind w:left="540" w:hanging="424"/>
        <w:spacing w:after="0" w:line="254"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our current certificate of incorporation, we must provide all public stockholders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of the business combination. Additionally, each public stockholder may elect to redeem their public shares irrespective of whether they vote for or against the proposed transaction or don’t vote at all.</w:t>
      </w:r>
    </w:p>
    <w:p>
      <w:pPr>
        <w:spacing w:after="0" w:line="33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34" w:lineRule="exact"/>
        <w:rPr>
          <w:rFonts w:ascii="Arial" w:cs="Arial" w:eastAsia="Arial" w:hAnsi="Arial"/>
          <w:sz w:val="18"/>
          <w:szCs w:val="18"/>
          <w:b w:val="1"/>
          <w:bCs w:val="1"/>
          <w:color w:val="auto"/>
        </w:rPr>
      </w:pPr>
    </w:p>
    <w:p>
      <w:pPr>
        <w:ind w:left="540" w:right="40" w:hanging="424"/>
        <w:spacing w:after="0" w:line="272"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Pursuant to the Merger Agreement, and upon the terms and subject to the conditions set forth therein, HEC will acquire Talkspace in a series of transactions we collectively refer to as the business combination. At the Closing, among other things, (i) First Merger Sub will merge with and into Talkspace with Talkspace being the surviving corporation in the First Merger as a wholly owned subsidiary of HEC and (ii) immediately following the First Merger and as part of the same overall transaction as the First Merger, Talkspace will be merged with and into Second Merger Sub, with Second Merger Sub surviving as a wholly owned subsidiary of HEC in the Second Merger. Following the Closing, HEC will own 100% of the limited liability company interests of Second Merger Sub and each share of Talkspace stock will have been cancelled and converted into the right to receive a portion of the Closing Merger Consideration.</w:t>
      </w:r>
    </w:p>
    <w:p>
      <w:pPr>
        <w:spacing w:after="0" w:line="321" w:lineRule="exact"/>
        <w:rPr>
          <w:rFonts w:ascii="Arial" w:cs="Arial" w:eastAsia="Arial" w:hAnsi="Arial"/>
          <w:sz w:val="17"/>
          <w:szCs w:val="17"/>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HEC’s securities continue to trade on a stock exchange?</w:t>
      </w:r>
    </w:p>
    <w:p>
      <w:pPr>
        <w:spacing w:after="0" w:line="134" w:lineRule="exact"/>
        <w:rPr>
          <w:rFonts w:ascii="Arial" w:cs="Arial" w:eastAsia="Arial" w:hAnsi="Arial"/>
          <w:sz w:val="18"/>
          <w:szCs w:val="18"/>
          <w:b w:val="1"/>
          <w:bCs w:val="1"/>
          <w:color w:val="auto"/>
        </w:rPr>
      </w:pPr>
    </w:p>
    <w:p>
      <w:pPr>
        <w:ind w:left="540" w:right="14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We intend to apply for listing, effective at the time of the Closing, of Talkspace, Inc. common stock and Talkspace, Inc. warrants on the Nasdaq under the symbols “TALK” and “TALKW”, respectively. Our publicly traded units will separate into the component securities following the Closing and will no longer trade as a separate security.</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business combination impact the shares of HEC outstanding after the business combination?</w:t>
      </w:r>
    </w:p>
    <w:p>
      <w:pPr>
        <w:spacing w:after="0" w:line="134" w:lineRule="exact"/>
        <w:rPr>
          <w:rFonts w:ascii="Arial" w:cs="Arial" w:eastAsia="Arial" w:hAnsi="Arial"/>
          <w:sz w:val="18"/>
          <w:szCs w:val="18"/>
          <w:b w:val="1"/>
          <w:bCs w:val="1"/>
          <w:color w:val="auto"/>
        </w:rPr>
      </w:pPr>
    </w:p>
    <w:p>
      <w:pPr>
        <w:ind w:left="540" w:right="120" w:hanging="424"/>
        <w:spacing w:after="0" w:line="25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 result of the business combination and the consummation of the transactions contemplated by the Merger Agreement and the related agreements, including, without limitation, the PIPE Investment, the amount of HEC’s common stock outstanding on a fully diluted net exercise basis will increase by approximately 218.93% to approximately 165,045,000 shares of Talkspace, Inc. common stock (assuming that no shares of HEC’s Class A common stock are elected to be redeemed by HEC stockholders). Additional shares of Talkspace, Inc. common stock may be issuable in the future as a result of the issuance of additional shares that are not currently outstanding, including issuance of shares of Talkspace, Inc.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spacing w:after="0" w:line="277" w:lineRule="auto"/>
        <w:rPr>
          <w:sz w:val="20"/>
          <w:szCs w:val="20"/>
          <w:color w:val="auto"/>
        </w:rPr>
      </w:pPr>
      <w:r>
        <w:rPr>
          <w:rFonts w:ascii="Arial" w:cs="Arial" w:eastAsia="Arial" w:hAnsi="Arial"/>
          <w:sz w:val="18"/>
          <w:szCs w:val="18"/>
          <w:color w:val="auto"/>
        </w:rPr>
        <w:t>common stock upon exercise of the warrants after the business combination. The issuance and sale of such shares in the public market could adversely impact the market price of Talkspace, Inc. common stock, even if its business is doing well.</w:t>
      </w:r>
    </w:p>
    <w:p>
      <w:pPr>
        <w:spacing w:after="0" w:line="31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management of Talkspace change in the business combination?</w:t>
      </w:r>
    </w:p>
    <w:p>
      <w:pPr>
        <w:spacing w:after="0" w:line="134" w:lineRule="exact"/>
        <w:rPr>
          <w:rFonts w:ascii="Arial" w:cs="Arial" w:eastAsia="Arial" w:hAnsi="Arial"/>
          <w:sz w:val="18"/>
          <w:szCs w:val="18"/>
          <w:b w:val="1"/>
          <w:bCs w:val="1"/>
          <w:color w:val="auto"/>
        </w:rPr>
      </w:pPr>
    </w:p>
    <w:p>
      <w:pPr>
        <w:ind w:left="540" w:right="220" w:hanging="424"/>
        <w:spacing w:after="0" w:line="31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anticipate that all of the executive officers of Talkspace will remain with Talkspace, Inc. In addition, certain individuals have each been nominated to serve as directors of Talkspace, Inc. following completion of the business combination. Please see the sections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6—The Director Election Proposal</w:t>
      </w:r>
      <w:r>
        <w:rPr>
          <w:rFonts w:ascii="Arial" w:cs="Arial" w:eastAsia="Arial" w:hAnsi="Arial"/>
          <w:sz w:val="16"/>
          <w:szCs w:val="16"/>
          <w:color w:val="auto"/>
        </w:rPr>
        <w:t>” and “</w:t>
      </w:r>
      <w:r>
        <w:rPr>
          <w:rFonts w:ascii="Arial" w:cs="Arial" w:eastAsia="Arial" w:hAnsi="Arial"/>
          <w:sz w:val="16"/>
          <w:szCs w:val="16"/>
          <w:i w:val="1"/>
          <w:iCs w:val="1"/>
          <w:color w:val="auto"/>
        </w:rPr>
        <w:t>Management of Talkspace, Inc. Following the Business Combination</w:t>
      </w:r>
      <w:r>
        <w:rPr>
          <w:rFonts w:ascii="Arial" w:cs="Arial" w:eastAsia="Arial" w:hAnsi="Arial"/>
          <w:sz w:val="16"/>
          <w:szCs w:val="16"/>
          <w:color w:val="auto"/>
        </w:rPr>
        <w:t>” for additional information.</w:t>
      </w:r>
    </w:p>
    <w:p>
      <w:pPr>
        <w:spacing w:after="0" w:line="293" w:lineRule="exact"/>
        <w:rPr>
          <w:rFonts w:ascii="Arial" w:cs="Arial" w:eastAsia="Arial" w:hAnsi="Arial"/>
          <w:sz w:val="16"/>
          <w:szCs w:val="16"/>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Talkspace and the PIPE Investors hold in Talkspace, Inc. after the closing?</w:t>
      </w:r>
    </w:p>
    <w:p>
      <w:pPr>
        <w:spacing w:after="0" w:line="121" w:lineRule="exact"/>
        <w:rPr>
          <w:rFonts w:ascii="Arial" w:cs="Arial" w:eastAsia="Arial" w:hAnsi="Arial"/>
          <w:sz w:val="18"/>
          <w:szCs w:val="18"/>
          <w:b w:val="1"/>
          <w:bCs w:val="1"/>
          <w:color w:val="auto"/>
        </w:rPr>
      </w:pPr>
    </w:p>
    <w:p>
      <w:pPr>
        <w:ind w:left="56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HEC public stockholder exercises redemption rights with respect to its shares for a pro rata portion of the funds in the trust account and</w:t>
      </w:r>
    </w:p>
    <w:p>
      <w:pPr>
        <w:spacing w:after="0" w:line="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(iii) assume the transaction expenses of the parties to the Merger Agreement equals $49 million.</w:t>
      </w:r>
    </w:p>
    <w:p>
      <w:pPr>
        <w:spacing w:after="0" w:line="103" w:lineRule="exact"/>
        <w:rPr>
          <w:sz w:val="20"/>
          <w:szCs w:val="20"/>
          <w:color w:val="auto"/>
        </w:rPr>
      </w:pPr>
    </w:p>
    <w:p>
      <w:pPr>
        <w:jc w:val="both"/>
        <w:ind w:left="560" w:right="380"/>
        <w:spacing w:after="0" w:line="263"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Summary of the Proxy Statement/Prospectus—Impact of the Business Combination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Talkspace, Inc.’s Public Float</w:t>
      </w:r>
      <w:r>
        <w:rPr>
          <w:rFonts w:ascii="Arial" w:cs="Arial" w:eastAsia="Arial" w:hAnsi="Arial"/>
          <w:sz w:val="18"/>
          <w:szCs w:val="18"/>
          <w:color w:val="auto"/>
        </w:rPr>
        <w:t>,”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Will HEC obtain new financing in connection with the Transactions?</w:t>
      </w:r>
    </w:p>
    <w:p>
      <w:pPr>
        <w:spacing w:after="0" w:line="134" w:lineRule="exact"/>
        <w:rPr>
          <w:rFonts w:ascii="Arial" w:cs="Arial" w:eastAsia="Arial" w:hAnsi="Arial"/>
          <w:sz w:val="18"/>
          <w:szCs w:val="18"/>
          <w:b w:val="1"/>
          <w:bCs w:val="1"/>
          <w:color w:val="auto"/>
        </w:rPr>
      </w:pPr>
    </w:p>
    <w:p>
      <w:pPr>
        <w:ind w:left="540" w:right="20" w:hanging="424"/>
        <w:spacing w:after="0" w:line="25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Yes. HEC has entered into subscription agreements (containing commitments to funding that are subject to conditions that generally align with the conditions set forth in the Merger Agreement) with the PIPE Investors, pursuant to which HEC has agreed to issue and sell to the PIPE Investors and the PIPE Investors have agreed to buy from HEC 30,000,000 shares of Talkspace, Inc. common stock at a purchase price of $10.00 per share for an aggregate commitment of $300,000,000. Please see the section entitled “</w:t>
      </w:r>
      <w:r>
        <w:rPr>
          <w:rFonts w:ascii="Arial" w:cs="Arial" w:eastAsia="Arial" w:hAnsi="Arial"/>
          <w:sz w:val="18"/>
          <w:szCs w:val="18"/>
          <w:i w:val="1"/>
          <w:iCs w:val="1"/>
          <w:color w:val="auto"/>
        </w:rPr>
        <w:t>Proposal No. 1—The Business Combination Proposal—Sources</w:t>
      </w:r>
      <w:r>
        <w:rPr>
          <w:rFonts w:ascii="Arial" w:cs="Arial" w:eastAsia="Arial" w:hAnsi="Arial"/>
          <w:sz w:val="18"/>
          <w:szCs w:val="18"/>
          <w:color w:val="auto"/>
        </w:rPr>
        <w:t xml:space="preserve"> </w:t>
      </w:r>
      <w:r>
        <w:rPr>
          <w:rFonts w:ascii="Arial" w:cs="Arial" w:eastAsia="Arial" w:hAnsi="Arial"/>
          <w:sz w:val="18"/>
          <w:szCs w:val="18"/>
          <w:i w:val="1"/>
          <w:iCs w:val="1"/>
          <w:color w:val="auto"/>
        </w:rPr>
        <w:t>and Uses for the Business Combination</w:t>
      </w:r>
      <w:r>
        <w:rPr>
          <w:rFonts w:ascii="Arial" w:cs="Arial" w:eastAsia="Arial" w:hAnsi="Arial"/>
          <w:sz w:val="18"/>
          <w:szCs w:val="18"/>
          <w:color w:val="auto"/>
        </w:rPr>
        <w:t>.”</w:t>
      </w:r>
    </w:p>
    <w:p>
      <w:pPr>
        <w:spacing w:after="0" w:line="332"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4" w:lineRule="exact"/>
        <w:rPr>
          <w:rFonts w:ascii="Arial" w:cs="Arial" w:eastAsia="Arial" w:hAnsi="Arial"/>
          <w:sz w:val="18"/>
          <w:szCs w:val="18"/>
          <w:b w:val="1"/>
          <w:bCs w:val="1"/>
          <w:color w:val="auto"/>
        </w:rPr>
      </w:pPr>
    </w:p>
    <w:p>
      <w:pPr>
        <w:ind w:left="540" w:right="12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expiration of the applicable waiting period under the HSR Act, and the approval by the stockholders of HEC of the Condition Precedent Proposals.</w:t>
      </w:r>
    </w:p>
    <w:p>
      <w:pPr>
        <w:spacing w:after="0" w:line="62" w:lineRule="exact"/>
        <w:rPr>
          <w:rFonts w:ascii="Arial" w:cs="Arial" w:eastAsia="Arial" w:hAnsi="Arial"/>
          <w:sz w:val="18"/>
          <w:szCs w:val="18"/>
          <w:color w:val="auto"/>
        </w:rPr>
      </w:pPr>
    </w:p>
    <w:p>
      <w:pPr>
        <w:ind w:left="560" w:right="160"/>
        <w:spacing w:after="0" w:line="342" w:lineRule="auto"/>
        <w:rPr>
          <w:rFonts w:ascii="Arial" w:cs="Arial" w:eastAsia="Arial" w:hAnsi="Arial"/>
          <w:sz w:val="18"/>
          <w:szCs w:val="18"/>
          <w:color w:val="auto"/>
        </w:rPr>
      </w:pPr>
      <w:r>
        <w:rPr>
          <w:rFonts w:ascii="Arial" w:cs="Arial" w:eastAsia="Arial" w:hAnsi="Arial"/>
          <w:sz w:val="16"/>
          <w:szCs w:val="16"/>
          <w:color w:val="auto"/>
        </w:rPr>
        <w:t>For a summary of the conditions that must be satisfied or waived prior to completion of the business combination, please see the section entitled “</w:t>
      </w:r>
      <w:r>
        <w:rPr>
          <w:rFonts w:ascii="Arial" w:cs="Arial" w:eastAsia="Arial" w:hAnsi="Arial"/>
          <w:sz w:val="16"/>
          <w:szCs w:val="16"/>
          <w:i w:val="1"/>
          <w:iCs w:val="1"/>
          <w:color w:val="auto"/>
        </w:rPr>
        <w:t>Proposal No. 1—The Business Combination Proposal—Certain Agreements Related to the Business Combination—Merger Agreement</w:t>
      </w:r>
      <w:r>
        <w:rPr>
          <w:rFonts w:ascii="Arial" w:cs="Arial" w:eastAsia="Arial" w:hAnsi="Arial"/>
          <w:sz w:val="16"/>
          <w:szCs w:val="16"/>
          <w:color w:val="auto"/>
        </w:rPr>
        <w: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180" w:hanging="424"/>
        <w:spacing w:after="0" w:line="282" w:lineRule="auto"/>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HEC will have sufficient funds, together with the proceeds in its trust account and from the PIPE Investment, to fund the aggregate purchase price?</w:t>
      </w:r>
    </w:p>
    <w:p>
      <w:pPr>
        <w:spacing w:after="0" w:line="71" w:lineRule="exact"/>
        <w:rPr>
          <w:rFonts w:ascii="Arial" w:cs="Arial" w:eastAsia="Arial" w:hAnsi="Arial"/>
          <w:sz w:val="18"/>
          <w:szCs w:val="18"/>
          <w:b w:val="1"/>
          <w:bCs w:val="1"/>
          <w:color w:val="auto"/>
        </w:rPr>
      </w:pPr>
    </w:p>
    <w:p>
      <w:pPr>
        <w:ind w:left="540" w:hanging="424"/>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Merger Agreement provides that the consummation of the Transactions is conditioned upon, among other things, HEC having at least</w:t>
      </w:r>
    </w:p>
    <w:p>
      <w:pPr>
        <w:spacing w:after="0" w:line="34" w:lineRule="exact"/>
        <w:rPr>
          <w:rFonts w:ascii="Arial" w:cs="Arial" w:eastAsia="Arial" w:hAnsi="Arial"/>
          <w:sz w:val="17"/>
          <w:szCs w:val="17"/>
          <w:color w:val="auto"/>
        </w:rPr>
      </w:pPr>
    </w:p>
    <w:p>
      <w:pPr>
        <w:ind w:left="540" w:right="80"/>
        <w:spacing w:after="0" w:line="255" w:lineRule="auto"/>
        <w:rPr>
          <w:rFonts w:ascii="Arial" w:cs="Arial" w:eastAsia="Arial" w:hAnsi="Arial"/>
          <w:sz w:val="17"/>
          <w:szCs w:val="17"/>
          <w:color w:val="auto"/>
        </w:rPr>
      </w:pPr>
      <w:r>
        <w:rPr>
          <w:rFonts w:ascii="Arial" w:cs="Arial" w:eastAsia="Arial" w:hAnsi="Arial"/>
          <w:sz w:val="18"/>
          <w:szCs w:val="18"/>
          <w:color w:val="auto"/>
        </w:rPr>
        <w:t>$5,000,001 of net tangible assets as of the Closing. Additionally, the obligations of Talkspace to consummate the Transactions are conditioned upon, among others, the amount of cash available in the trust account plus the aggregate amount of cash that has been funded to and remains with HEC pursuant to the PIPE Investment as of immediately prior to the Closing being least $400,000,000.</w:t>
      </w:r>
    </w:p>
    <w:p>
      <w:pPr>
        <w:spacing w:after="0" w:line="81" w:lineRule="exact"/>
        <w:rPr>
          <w:rFonts w:ascii="Arial" w:cs="Arial" w:eastAsia="Arial" w:hAnsi="Arial"/>
          <w:sz w:val="17"/>
          <w:szCs w:val="17"/>
          <w:color w:val="auto"/>
        </w:rPr>
      </w:pPr>
    </w:p>
    <w:p>
      <w:pPr>
        <w:ind w:left="560" w:right="200"/>
        <w:spacing w:after="0" w:line="301" w:lineRule="auto"/>
        <w:rPr>
          <w:rFonts w:ascii="Arial" w:cs="Arial" w:eastAsia="Arial" w:hAnsi="Arial"/>
          <w:sz w:val="17"/>
          <w:szCs w:val="17"/>
          <w:color w:val="auto"/>
        </w:rPr>
      </w:pPr>
      <w:r>
        <w:rPr>
          <w:rFonts w:ascii="Arial" w:cs="Arial" w:eastAsia="Arial" w:hAnsi="Arial"/>
          <w:sz w:val="16"/>
          <w:szCs w:val="16"/>
          <w:color w:val="auto"/>
        </w:rPr>
        <w:t>Additionally, in connection with the execution of the Merger Agreement, HEC and HEC Fund entered into an amendment to HEC Forward Purchase Agreement, pursuant to which HEC Fund agreed to purchase 2,500,000 Forward Purchase Units and backstop up to $25,000,000 of redemptions by HEC stockholders in a private placement that will close concurrently with the Closing. Please see the section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1—The Business Combination Proposal—Certain Agreements Related to the Business Combination—HEC Forward Purchase Agreement.</w:t>
      </w:r>
      <w:r>
        <w:rPr>
          <w:rFonts w:ascii="Arial" w:cs="Arial" w:eastAsia="Arial" w:hAnsi="Arial"/>
          <w:sz w:val="16"/>
          <w:szCs w:val="16"/>
          <w:color w:val="auto"/>
        </w:rPr>
        <w:t>”</w:t>
      </w:r>
    </w:p>
    <w:p>
      <w:pPr>
        <w:spacing w:after="0" w:line="49" w:lineRule="exact"/>
        <w:rPr>
          <w:rFonts w:ascii="Arial" w:cs="Arial" w:eastAsia="Arial" w:hAnsi="Arial"/>
          <w:sz w:val="17"/>
          <w:szCs w:val="17"/>
          <w:color w:val="auto"/>
        </w:rPr>
      </w:pPr>
    </w:p>
    <w:p>
      <w:pPr>
        <w:ind w:left="560" w:right="300"/>
        <w:spacing w:after="0" w:line="279" w:lineRule="auto"/>
        <w:rPr>
          <w:rFonts w:ascii="Arial" w:cs="Arial" w:eastAsia="Arial" w:hAnsi="Arial"/>
          <w:sz w:val="17"/>
          <w:szCs w:val="17"/>
          <w:color w:val="auto"/>
        </w:rPr>
      </w:pPr>
      <w:r>
        <w:rPr>
          <w:rFonts w:ascii="Arial" w:cs="Arial" w:eastAsia="Arial" w:hAnsi="Arial"/>
          <w:sz w:val="17"/>
          <w:szCs w:val="17"/>
          <w:color w:val="auto"/>
        </w:rPr>
        <w:t>Assuming (i) the PIPE Investment and the HEC Forward Purchase are funded in accordance with their terms and (ii) stockholders holding less than 88% of HEC’s Class A common stock elect to redeem any shares of HEC’s Class A common stock, the condition that HEC have at least $400,000,000 in cash as of immediately prior to the closing will be satisfied. Please see the section entitled “</w:t>
      </w:r>
      <w:r>
        <w:rPr>
          <w:rFonts w:ascii="Arial" w:cs="Arial" w:eastAsia="Arial" w:hAnsi="Arial"/>
          <w:sz w:val="17"/>
          <w:szCs w:val="17"/>
          <w:i w:val="1"/>
          <w:iCs w:val="1"/>
          <w:color w:val="auto"/>
        </w:rPr>
        <w:t>Proposal No. 1—The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Proposal—Sources and Uses for the Business Combination</w:t>
      </w:r>
      <w:r>
        <w:rPr>
          <w:rFonts w:ascii="Arial" w:cs="Arial" w:eastAsia="Arial" w:hAnsi="Arial"/>
          <w:sz w:val="17"/>
          <w:szCs w:val="17"/>
          <w:color w:val="auto"/>
        </w:rPr>
        <w:t>.”</w:t>
      </w:r>
    </w:p>
    <w:p>
      <w:pPr>
        <w:spacing w:after="0" w:line="315" w:lineRule="exact"/>
        <w:rPr>
          <w:rFonts w:ascii="Arial" w:cs="Arial" w:eastAsia="Arial" w:hAnsi="Arial"/>
          <w:sz w:val="17"/>
          <w:szCs w:val="17"/>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HEC’s Class A common stock before the special meeting?</w:t>
      </w:r>
    </w:p>
    <w:p>
      <w:pPr>
        <w:spacing w:after="0" w:line="134" w:lineRule="exact"/>
        <w:rPr>
          <w:rFonts w:ascii="Arial" w:cs="Arial" w:eastAsia="Arial" w:hAnsi="Arial"/>
          <w:sz w:val="18"/>
          <w:szCs w:val="18"/>
          <w:b w:val="1"/>
          <w:bCs w:val="1"/>
          <w:color w:val="auto"/>
        </w:rPr>
      </w:pPr>
    </w:p>
    <w:p>
      <w:pPr>
        <w:ind w:left="540" w:hanging="424"/>
        <w:spacing w:after="0" w:line="273"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record date for the special meeting is earlier than the date that the business combination is expected to be completed. If you transfer your shares of HEC’s Class A common stock after the record date, but before the special meeting, unless the transferee obtains from you a proxy to vote those shares, you will retain your right to vote at the special meeting. However, you will not be able to seek redemption of your shares of HEC’s Class A common stock because you will no longer be able to deliver them for cancellation upon the Closing. If you transfer your shares of HEC’s Class A common stock prior to the record date, you will have no right to vote those shares at the special meeting or redeem those shares for a pro rata portion of the proceeds held in the trust account.</w:t>
      </w:r>
    </w:p>
    <w:p>
      <w:pPr>
        <w:spacing w:after="0" w:line="322" w:lineRule="exact"/>
        <w:rPr>
          <w:rFonts w:ascii="Arial" w:cs="Arial" w:eastAsia="Arial" w:hAnsi="Arial"/>
          <w:sz w:val="17"/>
          <w:szCs w:val="17"/>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34" w:lineRule="exact"/>
        <w:rPr>
          <w:rFonts w:ascii="Arial" w:cs="Arial" w:eastAsia="Arial" w:hAnsi="Arial"/>
          <w:sz w:val="18"/>
          <w:szCs w:val="18"/>
          <w:b w:val="1"/>
          <w:bCs w:val="1"/>
          <w:color w:val="auto"/>
        </w:rPr>
      </w:pPr>
    </w:p>
    <w:p>
      <w:pPr>
        <w:ind w:left="540" w:right="40" w:hanging="424"/>
        <w:spacing w:after="0" w:line="301"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majority of the voting power of all issued and outstanding shares of HEC’s common stock entitled to vote as of the record date at the special meeting must be present via the virtual meeting platform, or represented by proxy, at the special meeting to constitute a quorum and in order to conduct business at the special meeting. Abstentions will be counted as present for the purpose of determining a quorum. As of the record date for the special meeting, 25,875,001 shares of HEC’s common stock would be required to be present at the special meeting to achieve a quorum.</w:t>
      </w:r>
    </w:p>
    <w:p>
      <w:pPr>
        <w:spacing w:after="0" w:line="301" w:lineRule="exact"/>
        <w:rPr>
          <w:rFonts w:ascii="Arial" w:cs="Arial" w:eastAsia="Arial" w:hAnsi="Arial"/>
          <w:sz w:val="16"/>
          <w:szCs w:val="16"/>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34" w:lineRule="exact"/>
        <w:rPr>
          <w:rFonts w:ascii="Arial" w:cs="Arial" w:eastAsia="Arial" w:hAnsi="Arial"/>
          <w:sz w:val="18"/>
          <w:szCs w:val="18"/>
          <w:b w:val="1"/>
          <w:bCs w:val="1"/>
          <w:color w:val="auto"/>
        </w:rPr>
      </w:pPr>
    </w:p>
    <w:p>
      <w:pPr>
        <w:ind w:left="540" w:right="80" w:hanging="424"/>
        <w:spacing w:after="0" w:line="273"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approval of each of the business combination proposal, the governance proposal (which is a non-binding advisory vote), the incentive plan proposal, the ESPP proposal, the Nasdaq proposal and the adjournment proposal require the affirmative vote of a majority of the votes cast by holders of HEC’s outstanding shares of common stock represented at the special meeting by attendance via the virtual meeting website or by proxy and entitled to vote at the special meeting. Accordingly, if a valid quorum is established, a HEC stockholder’s failure to vote by proxy or to vote at the special meeting with regard to the business combination proposal, the governance proposal, the incentive plan proposal, the ESPP proposal, the Nasdaq proposal and the adjournment proposal will have no effect on such proposals.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The approval of the charter proposal requires the affirmative vote of holders of a majority of HEC’s outstanding shares of common stock entitled to vote thereon at the special meeting. Accordingly, if a valid quorum is established, a HEC stockholder’s failure to vote by proxy or to vote at the special meeting with regard to the charter proposal will have the same effect as a vote “against” such proposal.</w:t>
      </w:r>
    </w:p>
    <w:p>
      <w:pPr>
        <w:spacing w:after="0" w:line="57" w:lineRule="exact"/>
        <w:rPr>
          <w:sz w:val="20"/>
          <w:szCs w:val="20"/>
          <w:color w:val="auto"/>
        </w:rPr>
      </w:pPr>
    </w:p>
    <w:p>
      <w:pPr>
        <w:ind w:left="560" w:right="160"/>
        <w:spacing w:after="0" w:line="257" w:lineRule="auto"/>
        <w:rPr>
          <w:sz w:val="20"/>
          <w:szCs w:val="20"/>
          <w:color w:val="auto"/>
        </w:rPr>
      </w:pPr>
      <w:r>
        <w:rPr>
          <w:rFonts w:ascii="Arial" w:cs="Arial" w:eastAsia="Arial" w:hAnsi="Arial"/>
          <w:sz w:val="18"/>
          <w:szCs w:val="18"/>
          <w:color w:val="auto"/>
        </w:rPr>
        <w:t>Directors are elected by a plurality of all of the votes cast by holders of shares of HEC’s common stock represented at the special meeting by attendance via the virtual meeting website or by proxy and entitled to vote thereon at the special meeting. This means that the director nominees who receive the most affirmative votes will be elected. HEC stockholders may not cumulate their votes with respect to the election of directors. Accordingly, if a valid quorum is established, a HEC stockholder’s failure to vote by proxy or to vote at the special meeting with regard to the director election proposal will have no effect on such proposal.</w:t>
      </w:r>
    </w:p>
    <w:p>
      <w:pPr>
        <w:spacing w:after="0" w:line="332"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134" w:lineRule="exact"/>
        <w:rPr>
          <w:rFonts w:ascii="Arial" w:cs="Arial" w:eastAsia="Arial" w:hAnsi="Arial"/>
          <w:sz w:val="18"/>
          <w:szCs w:val="18"/>
          <w:b w:val="1"/>
          <w:bCs w:val="1"/>
          <w:color w:val="auto"/>
        </w:rPr>
      </w:pPr>
    </w:p>
    <w:p>
      <w:pPr>
        <w:ind w:left="540" w:right="60" w:hanging="424"/>
        <w:spacing w:after="0" w:line="26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stockholders are entitled to one vote on each proposal presented at the special meeting for each share of HEC’s common stock held of record as of May 19, 2021, the record date for the special meeting. As of the close of business on the record date, there were 51,750,000 outstanding shares of HEC’s common stock.</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Why is HEC proposing the governance proposal?</w:t>
      </w:r>
    </w:p>
    <w:p>
      <w:pPr>
        <w:spacing w:after="0" w:line="134" w:lineRule="exact"/>
        <w:rPr>
          <w:rFonts w:ascii="Arial" w:cs="Arial" w:eastAsia="Arial" w:hAnsi="Arial"/>
          <w:sz w:val="18"/>
          <w:szCs w:val="18"/>
          <w:b w:val="1"/>
          <w:bCs w:val="1"/>
          <w:color w:val="auto"/>
        </w:rPr>
      </w:pPr>
    </w:p>
    <w:p>
      <w:pPr>
        <w:ind w:left="540" w:hanging="424"/>
        <w:spacing w:after="0" w:line="272"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required by applicable SEC guidance, HEC is requesting that its stockholders vote upon, on a non-binding advisory basis, a proposal to approve certain governance provisions contained in the second amended and restated certificate of incorporation that materially affect stockholder rights. This separate vote is not otherwise required by Delaware law separate and apart from the charter proposal, but pursuant to SEC guidance, HEC is required to submit these provisions to its stockholders separately for approval. However, the stockholder vote regarding this proposal is an advisory vote, and is not binding on HEC and the HEC Board (separate and apart from the approval of the charter proposal). Furthermore, the business combination is not conditioned on the separate approval of the governance proposal (separate and apart from approval of the charter proposal). Please see the section entitled “</w:t>
      </w:r>
      <w:r>
        <w:rPr>
          <w:rFonts w:ascii="Arial" w:cs="Arial" w:eastAsia="Arial" w:hAnsi="Arial"/>
          <w:sz w:val="17"/>
          <w:szCs w:val="17"/>
          <w:i w:val="1"/>
          <w:iCs w:val="1"/>
          <w:color w:val="auto"/>
        </w:rPr>
        <w:t>Proposal No. 3—The Governance Proposal</w:t>
      </w:r>
      <w:r>
        <w:rPr>
          <w:rFonts w:ascii="Arial" w:cs="Arial" w:eastAsia="Arial" w:hAnsi="Arial"/>
          <w:sz w:val="17"/>
          <w:szCs w:val="17"/>
          <w:color w:val="auto"/>
        </w:rPr>
        <w:t>.”</w:t>
      </w:r>
    </w:p>
    <w:p>
      <w:pPr>
        <w:spacing w:after="0" w:line="321" w:lineRule="exact"/>
        <w:rPr>
          <w:rFonts w:ascii="Arial" w:cs="Arial" w:eastAsia="Arial" w:hAnsi="Arial"/>
          <w:sz w:val="17"/>
          <w:szCs w:val="17"/>
          <w:color w:val="auto"/>
        </w:rPr>
      </w:pPr>
    </w:p>
    <w:p>
      <w:pPr>
        <w:ind w:left="540" w:right="600" w:hanging="424"/>
        <w:spacing w:after="0" w:line="282" w:lineRule="auto"/>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Did the HEC Board obtain a third-party valuation or fairness opinion in determining whether or not to proceed with the business combination?</w:t>
      </w:r>
    </w:p>
    <w:p>
      <w:pPr>
        <w:spacing w:after="0" w:line="71" w:lineRule="exact"/>
        <w:rPr>
          <w:rFonts w:ascii="Arial" w:cs="Arial" w:eastAsia="Arial" w:hAnsi="Arial"/>
          <w:sz w:val="18"/>
          <w:szCs w:val="18"/>
          <w:b w:val="1"/>
          <w:bCs w:val="1"/>
          <w:color w:val="auto"/>
        </w:rPr>
      </w:pPr>
    </w:p>
    <w:p>
      <w:pPr>
        <w:ind w:left="540" w:right="100" w:hanging="424"/>
        <w:spacing w:after="0" w:line="254"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HEC Board did not obtain a third-party valuation or fairness opinion in connection with its determination to approve the business combination. The officers and directors of HEC, including Douglas Braunstein, have substantial experience in evaluating the operating and financial merits of companies from a wide range of industries and concluded that their experience and backgrounds, together with the experience and sector expertise of HEC’s financial and other advisors, including J.P. Morgan’s M&amp;A Advisory group, J.P. Morgan’s Capital Markets group and Citigroup, enabled them to perform the necessary analyses and make determinations regarding the Transactions. In addition, HEC’s officers and directors and HEC’s advisors have substantial experience with mergers and acquisitions. Accordingly, investors will be relying solely on the judgment of the HEC Board in valuing Talkspace’s business, and assuming the risk that the HEC Board may not have properly valued such business.</w:t>
      </w:r>
    </w:p>
    <w:p>
      <w:pPr>
        <w:spacing w:after="0" w:line="336"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34" w:lineRule="exact"/>
        <w:rPr>
          <w:rFonts w:ascii="Arial" w:cs="Arial" w:eastAsia="Arial" w:hAnsi="Arial"/>
          <w:sz w:val="18"/>
          <w:szCs w:val="18"/>
          <w:b w:val="1"/>
          <w:bCs w:val="1"/>
          <w:color w:val="auto"/>
        </w:rPr>
      </w:pPr>
    </w:p>
    <w:p>
      <w:pPr>
        <w:ind w:left="540" w:right="60" w:hanging="424"/>
        <w:spacing w:after="0" w:line="286"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you are a public stockholder, you have the right to demand that HEC redeem such shares for a pro rata portion of the cash held in the trust account. Each public stockholder may elect to redeem their public shares irrespective of whether they vote for or against the proposed transaction or don’t vote at all. HEC sometimes refers to these rights to demand redemption of the public shares as “</w:t>
      </w:r>
      <w:r>
        <w:rPr>
          <w:rFonts w:ascii="Arial" w:cs="Arial" w:eastAsia="Arial" w:hAnsi="Arial"/>
          <w:sz w:val="17"/>
          <w:szCs w:val="17"/>
          <w:i w:val="1"/>
          <w:iCs w:val="1"/>
          <w:color w:val="auto"/>
        </w:rPr>
        <w:t>redemption rights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560" w:right="400"/>
        <w:spacing w:after="0" w:line="277" w:lineRule="auto"/>
        <w:rPr>
          <w:rFonts w:ascii="Arial" w:cs="Arial" w:eastAsia="Arial" w:hAnsi="Arial"/>
          <w:sz w:val="17"/>
          <w:szCs w:val="17"/>
          <w:color w:val="auto"/>
        </w:rPr>
      </w:pPr>
      <w:r>
        <w:rPr>
          <w:rFonts w:ascii="Arial" w:cs="Arial" w:eastAsia="Arial" w:hAnsi="Arial"/>
          <w:sz w:val="18"/>
          <w:szCs w:val="18"/>
          <w:color w:val="auto"/>
        </w:rPr>
        <w:t>Notwithstanding the foregoing, a public stockholder, together with any affiliate of such holder or any other person with whom such holder is acting in concert or as a “group” (as defined in Section 13(d)(3) of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Exchange Act) will be restricted from seeking redemption with respect to more than 20% of the public shares. Accordingly, all public shares in excess of 20% held by a public stockholder, together with any affiliate of such holder or any other person with whom such holder is acting in concert or as a “group,” will not be redeemed.</w:t>
      </w:r>
    </w:p>
    <w:p>
      <w:pPr>
        <w:spacing w:after="0" w:line="76" w:lineRule="exact"/>
        <w:rPr>
          <w:sz w:val="20"/>
          <w:szCs w:val="20"/>
          <w:color w:val="auto"/>
        </w:rPr>
      </w:pPr>
    </w:p>
    <w:p>
      <w:pPr>
        <w:ind w:left="560" w:right="460"/>
        <w:spacing w:after="0" w:line="308" w:lineRule="auto"/>
        <w:rPr>
          <w:sz w:val="20"/>
          <w:szCs w:val="20"/>
          <w:color w:val="auto"/>
        </w:rPr>
      </w:pPr>
      <w:r>
        <w:rPr>
          <w:rFonts w:ascii="Arial" w:cs="Arial" w:eastAsia="Arial" w:hAnsi="Arial"/>
          <w:sz w:val="17"/>
          <w:szCs w:val="17"/>
          <w:color w:val="auto"/>
        </w:rPr>
        <w:t>Under HEC’s current certificate of incorporation, the business combination may be consummated only if HEC has at least $5,000,001 of net tangible assets after giving effect to all public stockholders that properly demand redemption of their shares for cash.</w:t>
      </w:r>
    </w:p>
    <w:p>
      <w:pPr>
        <w:spacing w:after="0" w:line="291"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34" w:lineRule="exact"/>
        <w:rPr>
          <w:rFonts w:ascii="Arial" w:cs="Arial" w:eastAsia="Arial" w:hAnsi="Arial"/>
          <w:sz w:val="18"/>
          <w:szCs w:val="18"/>
          <w:b w:val="1"/>
          <w:bCs w:val="1"/>
          <w:color w:val="auto"/>
        </w:rPr>
      </w:pPr>
    </w:p>
    <w:p>
      <w:pPr>
        <w:ind w:left="540" w:hanging="424"/>
        <w:spacing w:after="0" w:line="286"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you are a public stockholder (whether you are a record holder or hold your shares in “street name”) and wish to exercise your redemption rights, you must demand that HEC redeem your shares into cash no later than the second business day preceding the vote on the business combination proposal by delivering your stock to HEC’s transfer agent physically or electronically using Depository Trust Company’s DWAC (Deposit and Withdrawal at Custodian) system prior to the vote at the special meeting. If you hold the shares in “street name,” you will have to coordinate with your broker, bank or other nominee holding the shares on your behalf to have your shares certificated (in order for you to effectuate physical delivery as described herein) or delivered electronically to HEC’s transfer agent in accordance with the foregoing. Any public stockholder will be entitled to demand that such holder’s shares be redeemed for a full pro rata portion of the amount then in the trust account (which, for illustrative purposes, was approximately $414,279,375.01 or $10.01 per share, as of May 19, 2021, the record date for the special meeting). Such amount, less any owed but unpaid taxes on the funds in the trust account, will be paid promptly upon the Closing. However, under Delaware law, the proceeds held in the trust account could be subject to claims which could take priority over those of HEC’s public stockholders exercising redemption rights, regardless of whether such holders vote for or against the business combination proposal. Therefore, the per-share distribution from the trust account in such a situation may be less than originally anticipated due to such claims. Your vote on any proposal other than the business combination proposal will have no impact on the amount you will receive upon exercise of your redemption rights.</w:t>
      </w:r>
    </w:p>
    <w:p>
      <w:pPr>
        <w:spacing w:after="0" w:line="65" w:lineRule="exact"/>
        <w:rPr>
          <w:rFonts w:ascii="Arial" w:cs="Arial" w:eastAsia="Arial" w:hAnsi="Arial"/>
          <w:sz w:val="16"/>
          <w:szCs w:val="16"/>
          <w:color w:val="auto"/>
        </w:rPr>
      </w:pPr>
    </w:p>
    <w:p>
      <w:pPr>
        <w:ind w:left="560" w:right="80"/>
        <w:spacing w:after="0" w:line="279" w:lineRule="auto"/>
        <w:rPr>
          <w:rFonts w:ascii="Arial" w:cs="Arial" w:eastAsia="Arial" w:hAnsi="Arial"/>
          <w:sz w:val="16"/>
          <w:szCs w:val="16"/>
          <w:color w:val="auto"/>
        </w:rPr>
      </w:pPr>
      <w:r>
        <w:rPr>
          <w:rFonts w:ascii="Arial" w:cs="Arial" w:eastAsia="Arial" w:hAnsi="Arial"/>
          <w:sz w:val="17"/>
          <w:szCs w:val="17"/>
          <w:color w:val="auto"/>
        </w:rPr>
        <w:t>Any request for redemption, once made by a public stockholder, may be withdrawn at any time up to the time the vote is taken with respect to the business combination proposal at the special meeting. If you deliver your shares for redemption to HEC’s transfer agent and later decide prior to the special meeting not to elect redemption, you may request that HEC’s transfer agent return the shares (physically or electronically). You may make such request by contacting HEC’s transfer agent at the address listed at the end of this section.</w:t>
      </w:r>
    </w:p>
    <w:p>
      <w:pPr>
        <w:spacing w:after="0" w:line="63" w:lineRule="exact"/>
        <w:rPr>
          <w:rFonts w:ascii="Arial" w:cs="Arial" w:eastAsia="Arial" w:hAnsi="Arial"/>
          <w:sz w:val="16"/>
          <w:szCs w:val="16"/>
          <w:color w:val="auto"/>
        </w:rPr>
      </w:pPr>
    </w:p>
    <w:p>
      <w:pPr>
        <w:jc w:val="both"/>
        <w:ind w:left="560" w:right="60"/>
        <w:spacing w:after="0" w:line="263" w:lineRule="auto"/>
        <w:rPr>
          <w:rFonts w:ascii="Arial" w:cs="Arial" w:eastAsia="Arial" w:hAnsi="Arial"/>
          <w:sz w:val="16"/>
          <w:szCs w:val="16"/>
          <w:color w:val="auto"/>
        </w:rPr>
      </w:pPr>
      <w:r>
        <w:rPr>
          <w:rFonts w:ascii="Arial" w:cs="Arial" w:eastAsia="Arial" w:hAnsi="Arial"/>
          <w:sz w:val="18"/>
          <w:szCs w:val="18"/>
          <w:color w:val="auto"/>
        </w:rPr>
        <w:t>Any corrected or changed proxy card or written demand of redemption rights must be received by HEC’s transfer agent prior to the vote taken on the business combination proposal at the special meeting. No demand for redemption will be honored unless the holder’s stock has been delivered (either physically or electronically) to the transfer agent prior to the vote at the special meeting.</w:t>
      </w:r>
    </w:p>
    <w:p>
      <w:pPr>
        <w:spacing w:after="0" w:line="75" w:lineRule="exact"/>
        <w:rPr>
          <w:rFonts w:ascii="Arial" w:cs="Arial" w:eastAsia="Arial" w:hAnsi="Arial"/>
          <w:sz w:val="16"/>
          <w:szCs w:val="16"/>
          <w:color w:val="auto"/>
        </w:rPr>
      </w:pPr>
    </w:p>
    <w:p>
      <w:pPr>
        <w:ind w:left="560"/>
        <w:spacing w:after="0" w:line="263" w:lineRule="auto"/>
        <w:rPr>
          <w:rFonts w:ascii="Arial" w:cs="Arial" w:eastAsia="Arial" w:hAnsi="Arial"/>
          <w:sz w:val="16"/>
          <w:szCs w:val="16"/>
          <w:color w:val="auto"/>
        </w:rPr>
      </w:pPr>
      <w:r>
        <w:rPr>
          <w:rFonts w:ascii="Arial" w:cs="Arial" w:eastAsia="Arial" w:hAnsi="Arial"/>
          <w:sz w:val="18"/>
          <w:szCs w:val="18"/>
          <w:color w:val="auto"/>
        </w:rPr>
        <w:t>If demand is properly made as described above, then, if the business combination is consummated, HEC will redeem these shares for a pro rata portion of funds deposited in the trust account. If you exercise your redemption rights, then you will be exchanging your shares of HEC’s common stock for cash.</w:t>
      </w:r>
    </w:p>
    <w:p>
      <w:pPr>
        <w:spacing w:after="0" w:line="328" w:lineRule="exact"/>
        <w:rPr>
          <w:rFonts w:ascii="Arial" w:cs="Arial" w:eastAsia="Arial" w:hAnsi="Arial"/>
          <w:sz w:val="16"/>
          <w:szCs w:val="16"/>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if I object to the proposed business combination?</w:t>
      </w:r>
    </w:p>
    <w:p>
      <w:pPr>
        <w:spacing w:after="0" w:line="134" w:lineRule="exact"/>
        <w:rPr>
          <w:rFonts w:ascii="Arial" w:cs="Arial" w:eastAsia="Arial" w:hAnsi="Arial"/>
          <w:sz w:val="18"/>
          <w:szCs w:val="18"/>
          <w:b w:val="1"/>
          <w:bCs w:val="1"/>
          <w:color w:val="auto"/>
        </w:rPr>
      </w:pPr>
    </w:p>
    <w:p>
      <w:pPr>
        <w:ind w:left="540" w:right="10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Neither HEC stockholders nor its unit or warrant holders have appraisal rights in connection with the business combination under the DGCL. Please see the section entitled “</w:t>
      </w:r>
      <w:r>
        <w:rPr>
          <w:rFonts w:ascii="Arial" w:cs="Arial" w:eastAsia="Arial" w:hAnsi="Arial"/>
          <w:sz w:val="18"/>
          <w:szCs w:val="18"/>
          <w:i w:val="1"/>
          <w:iCs w:val="1"/>
          <w:color w:val="auto"/>
        </w:rPr>
        <w:t>Special Meeting of HEC Stockholders—Appraisal Rights.</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the Closing?</w:t>
      </w:r>
    </w:p>
    <w:p>
      <w:pPr>
        <w:spacing w:after="0" w:line="134" w:lineRule="exact"/>
        <w:rPr>
          <w:rFonts w:ascii="Arial" w:cs="Arial" w:eastAsia="Arial" w:hAnsi="Arial"/>
          <w:sz w:val="18"/>
          <w:szCs w:val="18"/>
          <w:b w:val="1"/>
          <w:bCs w:val="1"/>
          <w:color w:val="auto"/>
        </w:rPr>
      </w:pPr>
    </w:p>
    <w:p>
      <w:pPr>
        <w:ind w:left="540" w:right="20" w:hanging="424"/>
        <w:spacing w:after="0" w:line="259"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net proceeds of the HEC IPO, a total of $414,000,000, were placed in the trust account immediately following the HEC IPO. Following the Closing, the funds in the trust account will be used to pay public stockholders who exercise redemption rights, to pay fees and expenses incurred in connection with the business combination (including aggregate fees of up to $14.49 million as deferred underwriting commissions) and to fund the Closing Merger Consideration.</w:t>
      </w:r>
    </w:p>
    <w:p>
      <w:pPr>
        <w:spacing w:after="0" w:line="7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1—The Business Combination—Sources and Uses for the Business Combination</w:t>
      </w:r>
      <w:r>
        <w:rPr>
          <w:rFonts w:ascii="Arial" w:cs="Arial" w:eastAsia="Arial" w:hAnsi="Arial"/>
          <w:sz w:val="18"/>
          <w:szCs w:val="18"/>
          <w:color w:val="auto"/>
        </w:rPr>
        <w:t>.”</w:t>
      </w:r>
    </w:p>
    <w:p>
      <w:pPr>
        <w:spacing w:after="0" w:line="369" w:lineRule="exact"/>
        <w:rPr>
          <w:rFonts w:ascii="Arial" w:cs="Arial" w:eastAsia="Arial" w:hAnsi="Arial"/>
          <w:sz w:val="18"/>
          <w:szCs w:val="18"/>
          <w:color w:val="auto"/>
        </w:rPr>
      </w:pPr>
    </w:p>
    <w:p>
      <w:pPr>
        <w:ind w:left="540" w:right="540" w:hanging="424"/>
        <w:spacing w:after="0" w:line="282" w:lineRule="auto"/>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substantial number of public stockholders vote in favor of the business combination proposal and exercise their redemption rights?</w:t>
      </w:r>
    </w:p>
    <w:p>
      <w:pPr>
        <w:spacing w:after="0" w:line="71" w:lineRule="exact"/>
        <w:rPr>
          <w:rFonts w:ascii="Arial" w:cs="Arial" w:eastAsia="Arial" w:hAnsi="Arial"/>
          <w:sz w:val="18"/>
          <w:szCs w:val="18"/>
          <w:b w:val="1"/>
          <w:bCs w:val="1"/>
          <w:color w:val="auto"/>
        </w:rPr>
      </w:pPr>
    </w:p>
    <w:p>
      <w:pPr>
        <w:ind w:left="540" w:hanging="424"/>
        <w:spacing w:after="0" w:line="263"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HEC’s public stockholders may vote in favor of the business combination and still exercise their redemption rights. Accordingly, the business combination may be consummated even though the funds available from the trust account and the number of public stockholders are substantially reduced as a result of redemptions by public stockholders.</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34" w:lineRule="exact"/>
        <w:rPr>
          <w:rFonts w:ascii="Arial" w:cs="Arial" w:eastAsia="Arial" w:hAnsi="Arial"/>
          <w:sz w:val="18"/>
          <w:szCs w:val="18"/>
          <w:b w:val="1"/>
          <w:bCs w:val="1"/>
          <w:color w:val="auto"/>
        </w:rPr>
      </w:pPr>
    </w:p>
    <w:p>
      <w:pPr>
        <w:ind w:left="540" w:right="100" w:hanging="424"/>
        <w:spacing w:after="0" w:line="272"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HEC does not complete the business combination for any reason, HEC would search for another target business with which to complete a business combination. If HEC does not complete a business combination with Talkspace or another target business by June 11, 2022, HEC must redeem 100% of the outstanding public shares, at a per-share price, payable in cash, equal to the amount then held in the trust account, including interest earned (net of permitted withdrawals and up to $100,000 of interest to pay dissolution expenses), divided by the number of then outstanding public shares. The HEC Insiders have no redemption rights in the event a business combination is not effected in the completion window, and, accordingly, their founder shares will be worthless. Additionally, in the event of such liquidation, there will be no distribution with respect to HEC’s outstanding warrants. Accordingly, the warrants will be worthless.</w:t>
      </w:r>
    </w:p>
    <w:p>
      <w:pPr>
        <w:spacing w:after="0" w:line="321" w:lineRule="exact"/>
        <w:rPr>
          <w:rFonts w:ascii="Arial" w:cs="Arial" w:eastAsia="Arial" w:hAnsi="Arial"/>
          <w:sz w:val="17"/>
          <w:szCs w:val="17"/>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Sponsor intend to vote on the proposals?</w:t>
      </w:r>
    </w:p>
    <w:p>
      <w:pPr>
        <w:spacing w:after="0" w:line="134" w:lineRule="exact"/>
        <w:rPr>
          <w:rFonts w:ascii="Arial" w:cs="Arial" w:eastAsia="Arial" w:hAnsi="Arial"/>
          <w:sz w:val="18"/>
          <w:szCs w:val="18"/>
          <w:b w:val="1"/>
          <w:bCs w:val="1"/>
          <w:color w:val="auto"/>
        </w:rPr>
      </w:pPr>
    </w:p>
    <w:p>
      <w:pPr>
        <w:ind w:left="540" w:right="60" w:hanging="424"/>
        <w:spacing w:after="0" w:line="296"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Sponsor and the HEC Insiders own of record and are entitled to vote an aggregate of 20% of the outstanding shares of HEC’s common stock as of the record date. The HEC Insiders have agreed to vote any founder shares and any public shares held by them as of the record date, in favor of the Transactions. The HEC Insiders may have interests in the business combination that may conflict with your interests as a stockholder. See the sections entitled “</w:t>
      </w:r>
      <w:r>
        <w:rPr>
          <w:rFonts w:ascii="Arial" w:cs="Arial" w:eastAsia="Arial" w:hAnsi="Arial"/>
          <w:sz w:val="16"/>
          <w:szCs w:val="16"/>
          <w:i w:val="1"/>
          <w:iCs w:val="1"/>
          <w:color w:val="auto"/>
        </w:rPr>
        <w:t>Summary of the Proxy Statement/Prospectus—Interests of Certain Persons in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1—The Business Combination Proposal—Interests of Certain Persons in the Business Combination.</w:t>
      </w:r>
      <w:r>
        <w:rPr>
          <w:rFonts w:ascii="Arial" w:cs="Arial" w:eastAsia="Arial" w:hAnsi="Arial"/>
          <w:sz w:val="16"/>
          <w:szCs w:val="16"/>
          <w:color w:val="auto"/>
        </w:rPr>
        <w:t>”</w:t>
      </w:r>
    </w:p>
    <w:p>
      <w:pPr>
        <w:spacing w:after="0" w:line="305" w:lineRule="exact"/>
        <w:rPr>
          <w:rFonts w:ascii="Arial" w:cs="Arial" w:eastAsia="Arial" w:hAnsi="Arial"/>
          <w:sz w:val="16"/>
          <w:szCs w:val="16"/>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business combination to be completed?</w:t>
      </w:r>
    </w:p>
    <w:p>
      <w:pPr>
        <w:spacing w:after="0" w:line="134" w:lineRule="exact"/>
        <w:rPr>
          <w:rFonts w:ascii="Arial" w:cs="Arial" w:eastAsia="Arial" w:hAnsi="Arial"/>
          <w:sz w:val="18"/>
          <w:szCs w:val="18"/>
          <w:b w:val="1"/>
          <w:bCs w:val="1"/>
          <w:color w:val="auto"/>
        </w:rPr>
      </w:pPr>
    </w:p>
    <w:p>
      <w:pPr>
        <w:ind w:left="540" w:right="140" w:hanging="424"/>
        <w:spacing w:after="0" w:line="25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currently anticipated that the business combination will be consummated promptly following the HEC special meeting which is set for June 17, 2021, subject to the satisfaction of customary closing conditions; however, such meeting could be adjourned, as described above. For a description of the conditions to the completion of the business combination, please see the section entitled “</w:t>
      </w:r>
      <w:r>
        <w:rPr>
          <w:rFonts w:ascii="Arial" w:cs="Arial" w:eastAsia="Arial" w:hAnsi="Arial"/>
          <w:sz w:val="18"/>
          <w:szCs w:val="18"/>
          <w:i w:val="1"/>
          <w:iCs w:val="1"/>
          <w:color w:val="auto"/>
        </w:rPr>
        <w:t>Proposal No. 1—The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Proposal—The Merger Agreement—Conditions to the Closing of the Transactions.</w:t>
      </w:r>
      <w:r>
        <w:rPr>
          <w:rFonts w:ascii="Arial" w:cs="Arial" w:eastAsia="Arial" w:hAnsi="Arial"/>
          <w:sz w:val="18"/>
          <w:szCs w:val="18"/>
          <w:color w:val="auto"/>
        </w:rPr>
        <w:t>”</w:t>
      </w:r>
    </w:p>
    <w:p>
      <w:pPr>
        <w:spacing w:after="0" w:line="331"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4" w:lineRule="exact"/>
        <w:rPr>
          <w:rFonts w:ascii="Arial" w:cs="Arial" w:eastAsia="Arial" w:hAnsi="Arial"/>
          <w:sz w:val="18"/>
          <w:szCs w:val="18"/>
          <w:b w:val="1"/>
          <w:bCs w:val="1"/>
          <w:color w:val="auto"/>
        </w:rPr>
      </w:pPr>
    </w:p>
    <w:p>
      <w:pPr>
        <w:ind w:left="540" w:right="56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HEC urges you to read carefully and consider the information contained in this proxy statement/prospectus, including the Annexes, and to consider how the business combination will affect you as a stockholder and/or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63" w:lineRule="auto"/>
        <w:rPr>
          <w:sz w:val="20"/>
          <w:szCs w:val="20"/>
          <w:color w:val="auto"/>
        </w:rPr>
      </w:pPr>
      <w:r>
        <w:rPr>
          <w:rFonts w:ascii="Arial" w:cs="Arial" w:eastAsia="Arial" w:hAnsi="Arial"/>
          <w:sz w:val="18"/>
          <w:szCs w:val="18"/>
          <w:color w:val="auto"/>
        </w:rPr>
        <w:t>warrant holder of HEC. Stockholders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other nominee.</w:t>
      </w:r>
    </w:p>
    <w:p>
      <w:pPr>
        <w:spacing w:after="0" w:line="328"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4" w:lineRule="exact"/>
        <w:rPr>
          <w:rFonts w:ascii="Arial" w:cs="Arial" w:eastAsia="Arial" w:hAnsi="Arial"/>
          <w:sz w:val="18"/>
          <w:szCs w:val="18"/>
          <w:b w:val="1"/>
          <w:bCs w:val="1"/>
          <w:color w:val="auto"/>
        </w:rPr>
      </w:pPr>
    </w:p>
    <w:p>
      <w:pPr>
        <w:ind w:left="540" w:right="40" w:hanging="424"/>
        <w:spacing w:after="0" w:line="263"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special meeting will be held via live webcast at 8:30 a.m. Eastern Time, on June 17, 2021. The special meeting can be accessed by visiting https://www.cstproxy.com/hudsoninvestcorp/sm2021, where you will be able to listen to the meeting live and vote during the meeting. Please note that you will only be able to access the special meeting by means of remote communication.</w:t>
      </w:r>
    </w:p>
    <w:p>
      <w:pPr>
        <w:spacing w:after="0" w:line="75" w:lineRule="exact"/>
        <w:rPr>
          <w:rFonts w:ascii="Arial" w:cs="Arial" w:eastAsia="Arial" w:hAnsi="Arial"/>
          <w:sz w:val="18"/>
          <w:szCs w:val="18"/>
          <w:color w:val="auto"/>
        </w:rPr>
      </w:pPr>
    </w:p>
    <w:p>
      <w:pPr>
        <w:ind w:left="560" w:right="20"/>
        <w:spacing w:after="0" w:line="273" w:lineRule="auto"/>
        <w:rPr>
          <w:rFonts w:ascii="Arial" w:cs="Arial" w:eastAsia="Arial" w:hAnsi="Arial"/>
          <w:sz w:val="18"/>
          <w:szCs w:val="18"/>
          <w:color w:val="auto"/>
        </w:rPr>
      </w:pPr>
      <w:r>
        <w:rPr>
          <w:rFonts w:ascii="Arial" w:cs="Arial" w:eastAsia="Arial" w:hAnsi="Arial"/>
          <w:sz w:val="17"/>
          <w:szCs w:val="17"/>
          <w:color w:val="auto"/>
        </w:rPr>
        <w:t>If you are a holder of record of HEC’s common stock on May 19, 2021, the record date for the special meeting, you may vote at the special meeting via the virtual meeting platform or by submitting a proxy for the special meeting. You may submit your proxy by completing, signing, dating and returning the enclosed proxy card in the accompanying pre-addressed postage paid envelope. If you hold your shares in “street 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meeting and vote, obtain a proxy from your broker, bank or nominee.</w:t>
      </w:r>
    </w:p>
    <w:p>
      <w:pPr>
        <w:spacing w:after="0" w:line="322"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4" w:lineRule="exact"/>
        <w:rPr>
          <w:rFonts w:ascii="Arial" w:cs="Arial" w:eastAsia="Arial" w:hAnsi="Arial"/>
          <w:sz w:val="18"/>
          <w:szCs w:val="18"/>
          <w:b w:val="1"/>
          <w:bCs w:val="1"/>
          <w:color w:val="auto"/>
        </w:rPr>
      </w:pPr>
    </w:p>
    <w:p>
      <w:pPr>
        <w:ind w:left="540" w:hanging="424"/>
        <w:spacing w:after="0" w:line="270" w:lineRule="auto"/>
        <w:tabs>
          <w:tab w:leader="none" w:pos="5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the special meeting will be considered non-routine and, therefore, your broker, bank or nominee </w:t>
      </w:r>
      <w:r>
        <w:rPr>
          <w:rFonts w:ascii="Arial" w:cs="Arial" w:eastAsia="Arial" w:hAnsi="Arial"/>
          <w:sz w:val="17"/>
          <w:szCs w:val="17"/>
          <w:b w:val="1"/>
          <w:bCs w:val="1"/>
          <w:color w:val="auto"/>
        </w:rPr>
        <w:t>cannot vote your shares without your instruction</w:t>
      </w:r>
      <w:r>
        <w:rPr>
          <w:rFonts w:ascii="Arial" w:cs="Arial" w:eastAsia="Arial" w:hAnsi="Arial"/>
          <w:sz w:val="17"/>
          <w:szCs w:val="17"/>
          <w:color w:val="auto"/>
        </w:rPr>
        <w:t xml:space="preserve">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25" w:lineRule="exact"/>
        <w:rPr>
          <w:rFonts w:ascii="Arial" w:cs="Arial" w:eastAsia="Arial" w:hAnsi="Arial"/>
          <w:sz w:val="17"/>
          <w:szCs w:val="17"/>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a broker non-vote impact the results of each proposal?</w:t>
      </w:r>
    </w:p>
    <w:p>
      <w:pPr>
        <w:spacing w:after="0" w:line="134" w:lineRule="exact"/>
        <w:rPr>
          <w:rFonts w:ascii="Arial" w:cs="Arial" w:eastAsia="Arial" w:hAnsi="Arial"/>
          <w:sz w:val="18"/>
          <w:szCs w:val="18"/>
          <w:b w:val="1"/>
          <w:bCs w:val="1"/>
          <w:color w:val="auto"/>
        </w:rPr>
      </w:pPr>
    </w:p>
    <w:p>
      <w:pPr>
        <w:ind w:left="540" w:hanging="424"/>
        <w:spacing w:after="0"/>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Broker non-votes will count as a vote “AGAINST” the charter proposal but will not have any effect on the outcome of any other proposals.</w:t>
      </w:r>
    </w:p>
    <w:p>
      <w:pPr>
        <w:spacing w:after="0" w:line="381" w:lineRule="exact"/>
        <w:rPr>
          <w:rFonts w:ascii="Arial" w:cs="Arial" w:eastAsia="Arial" w:hAnsi="Arial"/>
          <w:sz w:val="17"/>
          <w:szCs w:val="17"/>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34" w:lineRule="exact"/>
        <w:rPr>
          <w:rFonts w:ascii="Arial" w:cs="Arial" w:eastAsia="Arial" w:hAnsi="Arial"/>
          <w:sz w:val="18"/>
          <w:szCs w:val="18"/>
          <w:b w:val="1"/>
          <w:bCs w:val="1"/>
          <w:color w:val="auto"/>
        </w:rPr>
      </w:pPr>
    </w:p>
    <w:p>
      <w:pPr>
        <w:ind w:left="540" w:right="140" w:hanging="424"/>
        <w:spacing w:after="0" w:line="286"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Yes. Stockholders of record may send a later-dated, signed proxy card to HEC’s transfer agent at the address set forth at the end of this section so that it is received prior to the vote at the special meeting or attend the special meeting and vote. Stockholders also may revoke their proxy by sending a notice of revocation to HEC’s transfer agent, which must be received prior to the vote at the special meeting.</w:t>
      </w:r>
    </w:p>
    <w:p>
      <w:pPr>
        <w:spacing w:after="0" w:line="309" w:lineRule="exact"/>
        <w:rPr>
          <w:rFonts w:ascii="Arial" w:cs="Arial" w:eastAsia="Arial" w:hAnsi="Arial"/>
          <w:sz w:val="17"/>
          <w:szCs w:val="17"/>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fail to take any action with respect to the special meeting?</w:t>
      </w:r>
    </w:p>
    <w:p>
      <w:pPr>
        <w:spacing w:after="0" w:line="134" w:lineRule="exact"/>
        <w:rPr>
          <w:rFonts w:ascii="Arial" w:cs="Arial" w:eastAsia="Arial" w:hAnsi="Arial"/>
          <w:sz w:val="18"/>
          <w:szCs w:val="18"/>
          <w:b w:val="1"/>
          <w:bCs w:val="1"/>
          <w:color w:val="auto"/>
        </w:rPr>
      </w:pPr>
    </w:p>
    <w:p>
      <w:pPr>
        <w:ind w:left="540" w:right="800" w:hanging="424"/>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you fail to take any action with respect to the special meeting and the business combination is approved by stockholders, the business combination will be consummated in accordance with the terms of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Agreement. As a corollary, failure to vote either for or against the business combination proposal means you will not have any redemption rights in connection with the business combination to exchange your shares of HEC’s common stock for a pro rata share of the funds held in HEC’s trust account. If you fail to take any action with respect to the special meeting and the business combination is not approved, we will not consummate the business combination.</w:t>
      </w:r>
    </w:p>
    <w:p>
      <w:pPr>
        <w:spacing w:after="0" w:line="331"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34" w:lineRule="exact"/>
        <w:rPr>
          <w:rFonts w:ascii="Arial" w:cs="Arial" w:eastAsia="Arial" w:hAnsi="Arial"/>
          <w:sz w:val="18"/>
          <w:szCs w:val="18"/>
          <w:b w:val="1"/>
          <w:bCs w:val="1"/>
          <w:color w:val="auto"/>
        </w:rPr>
      </w:pPr>
    </w:p>
    <w:p>
      <w:pPr>
        <w:ind w:left="540" w:right="240" w:hanging="424"/>
        <w:spacing w:after="0" w:line="26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4" w:lineRule="exact"/>
        <w:rPr>
          <w:rFonts w:ascii="Arial" w:cs="Arial" w:eastAsia="Arial" w:hAnsi="Arial"/>
          <w:sz w:val="18"/>
          <w:szCs w:val="18"/>
          <w:b w:val="1"/>
          <w:bCs w:val="1"/>
          <w:color w:val="auto"/>
        </w:rPr>
      </w:pPr>
    </w:p>
    <w:p>
      <w:pPr>
        <w:ind w:left="540" w:hanging="424"/>
        <w:spacing w:after="0" w:line="275"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Stockholders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shares of HEC’s common stock.</w:t>
      </w:r>
    </w:p>
    <w:p>
      <w:pPr>
        <w:spacing w:after="0" w:line="320" w:lineRule="exact"/>
        <w:rPr>
          <w:rFonts w:ascii="Arial" w:cs="Arial" w:eastAsia="Arial" w:hAnsi="Arial"/>
          <w:sz w:val="17"/>
          <w:szCs w:val="17"/>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4" w:lineRule="exact"/>
        <w:rPr>
          <w:rFonts w:ascii="Arial" w:cs="Arial" w:eastAsia="Arial" w:hAnsi="Arial"/>
          <w:sz w:val="18"/>
          <w:szCs w:val="18"/>
          <w:b w:val="1"/>
          <w:bCs w:val="1"/>
          <w:color w:val="auto"/>
        </w:rPr>
      </w:pPr>
    </w:p>
    <w:p>
      <w:pPr>
        <w:ind w:left="540" w:right="26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you have questions about the Transactions or if you need additional copies of the proxy statement/prospectus or the enclosed proxy card you should contact: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 (212) 521-8495</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HEC.info@investor.morrowsodali.com</w:t>
      </w:r>
    </w:p>
    <w:p>
      <w:pPr>
        <w:spacing w:after="0" w:line="21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To obtain timely delivery, our stockholders must request any additional materials no later than five business days prior to the special meeting. You may also obtain additional information about HEC from documents filed with the SEC by following the instructions in the section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 If you are a public stockholder and you intend to seek redemption of your public shares, you will need to deliver your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(either physically or electronically) to HEC’s transfer agent at the address below prior to the vote at the special meeting. See the section entitled “</w:t>
      </w:r>
      <w:r>
        <w:rPr>
          <w:rFonts w:ascii="Arial" w:cs="Arial" w:eastAsia="Arial" w:hAnsi="Arial"/>
          <w:sz w:val="18"/>
          <w:szCs w:val="18"/>
          <w:i w:val="1"/>
          <w:iCs w:val="1"/>
          <w:color w:val="auto"/>
        </w:rPr>
        <w:t>Proposal No. 1—The Business Combination Proposal—Redemption Rights</w:t>
      </w:r>
      <w:r>
        <w:rPr>
          <w:rFonts w:ascii="Arial" w:cs="Arial" w:eastAsia="Arial" w:hAnsi="Arial"/>
          <w:sz w:val="18"/>
          <w:szCs w:val="18"/>
          <w:color w:val="auto"/>
        </w:rPr>
        <w: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have questions regarding the certification of your position or delivery of your stock, please contact: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5500" w:hanging="438"/>
        <w:spacing w:after="0"/>
        <w:tabs>
          <w:tab w:leader="none" w:pos="5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509-4000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229" w:lineRule="exact"/>
        <w:rPr>
          <w:sz w:val="20"/>
          <w:szCs w:val="20"/>
          <w:color w:val="auto"/>
        </w:rPr>
      </w:pPr>
    </w:p>
    <w:p>
      <w:pPr>
        <w:ind w:left="300" w:right="80"/>
        <w:spacing w:after="0" w:line="273" w:lineRule="auto"/>
        <w:rPr>
          <w:sz w:val="20"/>
          <w:szCs w:val="20"/>
          <w:color w:val="auto"/>
        </w:rPr>
      </w:pPr>
      <w:r>
        <w:rPr>
          <w:rFonts w:ascii="Arial" w:cs="Arial" w:eastAsia="Arial" w:hAnsi="Arial"/>
          <w:sz w:val="17"/>
          <w:szCs w:val="17"/>
          <w:i w:val="1"/>
          <w:iCs w:val="1"/>
          <w:color w:val="auto"/>
        </w:rPr>
        <w:t>This summary highlights selected information from this proxy statement/prospectus and does not contain all of the information that is important to you. To better understand the proposals to be submitted for a vote at the special meeting, including the business combination proposal, you should read this entire document carefully, including the Merger Agreement attached as Annex A to this proxy statement/prospectus. The Merger Agreement is the legal document that governs the Transactions that will be undertaken in connection with the business combination. It is also described in detail in this proxy statement/prospectus in the section entitled “Proposal No. 1—The Business Combination Proposal—Certain Agreements Related to the Business Combination—Merger Agreement.”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Combined Business Summary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Mission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mission is to democratize access to high quality behavioral healthcare, so that those in need live a happier and healthier life.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(collectively, “health plan clients”) such as Aetna, Cigna, Premera, Humana and Optum (collectively, our “clients”), who offer their employees and insured members access to our platform for free or at in-network reimbursement rates, respectively.</w:t>
      </w:r>
    </w:p>
    <w:p>
      <w:pPr>
        <w:spacing w:after="0" w:line="196"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For the year ended December 31, 2020, we provided therapy to approximately 200,000 members on our platform, as compared to approximately 92,000 members for the year ended December 31, 2019. As of March 31, 2021, we had over 65,000 active members receiving care through our B2C and B2B channels, including approximately 35,000 B2C active members, and nearly 42 million B2B eligible lives. As of May 1, 2021, our B2B eligible lives grew to over 55 million.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 For the years ended December 31, 2019 and 2020, approximately 66% and 62% of our B2C members, respectively, and for the three months ended March 31, 2020 and 2021, approximately 60% and 58% of our B2C members, respectively, remained active on our platform beyond the initial term of their subscription.</w:t>
      </w:r>
    </w:p>
    <w:p>
      <w:pPr>
        <w:spacing w:after="0" w:line="186"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320" w:top="45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63" w:lineRule="auto"/>
        <w:rPr>
          <w:sz w:val="20"/>
          <w:szCs w:val="20"/>
          <w:color w:val="auto"/>
        </w:rPr>
      </w:pPr>
      <w:r>
        <w:rPr>
          <w:rFonts w:ascii="Arial" w:cs="Arial" w:eastAsia="Arial" w:hAnsi="Arial"/>
          <w:sz w:val="18"/>
          <w:szCs w:val="18"/>
          <w:color w:val="auto"/>
        </w:rPr>
        <w:t>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84" w:lineRule="exact"/>
        <w:rPr>
          <w:sz w:val="20"/>
          <w:szCs w:val="20"/>
          <w:color w:val="auto"/>
        </w:rPr>
      </w:pPr>
    </w:p>
    <w:p>
      <w:pPr>
        <w:ind w:left="300" w:right="40"/>
        <w:spacing w:after="0" w:line="271" w:lineRule="auto"/>
        <w:rPr>
          <w:sz w:val="20"/>
          <w:szCs w:val="20"/>
          <w:color w:val="auto"/>
        </w:rPr>
      </w:pPr>
      <w:r>
        <w:rPr>
          <w:rFonts w:ascii="Arial" w:cs="Arial" w:eastAsia="Arial" w:hAnsi="Arial"/>
          <w:sz w:val="17"/>
          <w:szCs w:val="17"/>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7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 During the years ended December 31, 2019 and 2020, our monthly provider retention rate generally ranged from 95% to 97%, resulting in an annual provider retention rate of approximately 64% and 63% for the same periods, respectively.</w:t>
      </w:r>
    </w:p>
    <w:p>
      <w:pPr>
        <w:spacing w:after="0" w:line="178"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Talkspace revenues were $76.2 million and $38.2 million for the years ended December 31, 2020 and 2019, respectively, representing a period-over-period increase of 99.6%, and $27.2 million and $11.1 million for the three months ended March 31, 2021 and 2020, respectively, representing a period-over-period increase of 144.2%.</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Therapists, Physicians and Healthcare Professionals</w:t>
      </w:r>
    </w:p>
    <w:p>
      <w:pPr>
        <w:spacing w:after="0" w:line="117"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We are in the process of changing our structure with respect to our relationships with healthcare providers, transitioning to a structure where we will enter into various agreements with a Texas professional association entity, Talkspace Provider Network, PA (“TPN”), which in turn will contract with our affiliated professional entities and physicians, therapists, and other licensed professionals for clinical and professional services provided to our members. We expect the transition will commence in the third quarter of 2021 and will take up to 12 months to fully implement. This transition is in response to our expansion of service offerings to include telepsychiatry services provided through licensed physicians. Our business initially began with arranging the delivery of virtual counseling and psychotherapy services, which are predominantly provided by non-physician professionals. All telepsychiatry services are being provided through independent contractor arrangements with our network licensed physicians who maintain exclusive control and responsibility over all medical aspects of the services provided to our members during the period prior to the completion of the transition. Although we believe we were operating in compliance with applicable regulatory laws, including laws that prohibit business entities, such as us, from providing professional services, employing certain healthcare professionals and exercising control over professional judgment (such activities generally referred to as the “corporate practice of medicine”), with the addition of telepsychiatry as a service offering, we decided to transition our provider network structure to a model that was well-understood and common in jurisdictions that prohibit the corporate practice of medicine. We believe the transition to a structure where we would enter into various management services agreements (“MSA”) with TPN, or an entity authorized by state law to contract with our affiliated professionals to delivery teletherapy services to our members, will better ensure we will be able to comply with additional regulatory requirements, including the corporate practice of medicine and fee-splitting laws, that are necessarily implicated by engaging in telehealth care that can only be delivered by physicians.</w:t>
      </w:r>
    </w:p>
    <w:p>
      <w:pPr>
        <w:spacing w:after="0" w:line="176"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TPN is wholly owned by an independent Texas-licensed physician. Due to the prevalence of the corporate practice of medicine doctrine, including in the states where we predominantly conduct our business, we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finalizing certain agreements with TPN, including the MSA under which we will provide exclusive administrative, management and other business support services to TPN in exchange for a fee. The non-medical functions and services we will provide under the MSA include the maintenance of medical, billing and accounting records, legal, human resources and the administration of quality assurance, and administration of a risk management program. TPN reserves exclusive control and responsibility for all aspects of the practice of medicine and the delivery of medical services. TPN will also directly employ or contract other professional entities, physicians, therapists and other licensed professionals who will provide clinical and professional services to our members. These affiliated providers will also retain exclusive control and responsibility for all aspects of medical services provided to our members.</w:t>
      </w:r>
    </w:p>
    <w:p>
      <w:pPr>
        <w:spacing w:after="0" w:line="195" w:lineRule="exact"/>
        <w:rPr>
          <w:sz w:val="20"/>
          <w:szCs w:val="20"/>
          <w:color w:val="auto"/>
        </w:rPr>
      </w:pPr>
    </w:p>
    <w:p>
      <w:pPr>
        <w:ind w:left="300" w:right="200"/>
        <w:spacing w:after="0" w:line="272" w:lineRule="auto"/>
        <w:rPr>
          <w:sz w:val="20"/>
          <w:szCs w:val="20"/>
          <w:color w:val="auto"/>
        </w:rPr>
      </w:pPr>
      <w:r>
        <w:rPr>
          <w:rFonts w:ascii="Arial" w:cs="Arial" w:eastAsia="Arial" w:hAnsi="Arial"/>
          <w:sz w:val="17"/>
          <w:szCs w:val="17"/>
          <w:color w:val="auto"/>
        </w:rPr>
        <w:t>Although the contracting party under our current agreements with clients, members, providers and other business partners may change from Talkspace to TPN or an affiliated professional entity as a result of this transition, we do not anticipate that this transition will have a material financial impact on our operations. Through the mechanics set out in the MSAs and the management fee for administrative and management services set forth in our agreements with TPN, we do not expect there will be a material change in the overall economics of the business relationships we previously held with our clients, members, providers and other business partners. However, if there are regulatory challenges to our arrangements with TPN, we may have to restructure arrangements or enter into new agreements with other professional entities, which could result in changes to the economic relationships.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Information about Talkspace—Therapists, Physicians and Healthcare Professionals”.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Parties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HEC</w:t>
      </w:r>
    </w:p>
    <w:p>
      <w:pPr>
        <w:spacing w:after="0" w:line="117"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Hudson Executive Investment Corp. is a blank check company formed in order to effect a merger, capital stock exchange, asset acquisition, stock purchase, reorganization or other similar business combination with one or more businesses or entities. HEC was incorporated under the laws of Delaware on February 6, 2020.</w:t>
      </w:r>
    </w:p>
    <w:p>
      <w:pPr>
        <w:spacing w:after="0" w:line="184" w:lineRule="exact"/>
        <w:rPr>
          <w:sz w:val="20"/>
          <w:szCs w:val="20"/>
          <w:color w:val="auto"/>
        </w:rPr>
      </w:pPr>
    </w:p>
    <w:p>
      <w:pPr>
        <w:ind w:left="300" w:right="120"/>
        <w:spacing w:after="0" w:line="257" w:lineRule="auto"/>
        <w:rPr>
          <w:sz w:val="20"/>
          <w:szCs w:val="20"/>
          <w:color w:val="auto"/>
        </w:rPr>
      </w:pPr>
      <w:r>
        <w:rPr>
          <w:rFonts w:ascii="Arial" w:cs="Arial" w:eastAsia="Arial" w:hAnsi="Arial"/>
          <w:sz w:val="18"/>
          <w:szCs w:val="18"/>
          <w:color w:val="auto"/>
        </w:rPr>
        <w:t>On June 11, 2020, HEC consummated the HEC IPO of 41,400,000 units, including 5,400,000 units under the underwriters’ over-allotment option, with each unit consisting of one share of HEC’s Class A common stock and one-half of one warrant, each whole warrant to purchase one share of HEC’s Class A common stock at a purchase price of $11.50 per share, subject to adjustment as provided in HEC’s final prospectus filed with the Securities and Exchange Commission on June 10, 2020 (File No. 333-238583). The units were sold at an offering price of $10.00 per unit, generating gross proceeds of $414,000,000.</w:t>
      </w:r>
    </w:p>
    <w:p>
      <w:pPr>
        <w:spacing w:after="0" w:line="18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Simultaneously with the consummation of the HEC IPO and the exercise of the underwriters’ over-allotment option, HEC consummated the private placement of 10,280,000 warrants at a price of $1.00 per warrant, generating total proceeds of $10,280,000. A total of $414,000,000, was deposited into the trust account and the remaining net proceeds became available to be used as working capital to provide for business, legal and accounting due diligence on prospective business combinations and continuing general and administrative expenses. The HEC IPO was conducted pursuant to a registration statement on Form S-1 that became effective on June 8, 2020. As of May 19, 2021, the record date for the special meeting, there was approximately $414,279,375.01 held in the trust account.</w:t>
      </w:r>
    </w:p>
    <w:p>
      <w:pPr>
        <w:spacing w:after="0" w:line="178"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HEC’s units, HEC’s Class A common stock and HEC’s warrants are listed on the Nasdaq under the symbols “HECCU”, “HEC” and “HECCW”, respectively.</w:t>
      </w:r>
    </w:p>
    <w:p>
      <w:pPr>
        <w:spacing w:after="0" w:line="170"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The mailing address of HEC’s principal executive office is 570 Lexington Avenue, 35th Floor, New York, NY 10022. Its telephone number is (212) 521-8495. After the Closing, its principal executive office will be that of Talkspace.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Tailwind Merger Sub I, Inc.</w:t>
      </w:r>
    </w:p>
    <w:p>
      <w:pPr>
        <w:spacing w:after="0" w:line="117" w:lineRule="exact"/>
        <w:rPr>
          <w:sz w:val="20"/>
          <w:szCs w:val="20"/>
          <w:color w:val="auto"/>
        </w:rPr>
      </w:pPr>
    </w:p>
    <w:p>
      <w:pPr>
        <w:jc w:val="both"/>
        <w:ind w:left="300" w:right="140"/>
        <w:spacing w:after="0" w:line="263" w:lineRule="auto"/>
        <w:rPr>
          <w:sz w:val="20"/>
          <w:szCs w:val="20"/>
          <w:color w:val="auto"/>
        </w:rPr>
      </w:pPr>
      <w:r>
        <w:rPr>
          <w:rFonts w:ascii="Arial" w:cs="Arial" w:eastAsia="Arial" w:hAnsi="Arial"/>
          <w:sz w:val="18"/>
          <w:szCs w:val="18"/>
          <w:color w:val="auto"/>
        </w:rPr>
        <w:t>Tailwind Merger Sub I, Inc. is a wholly owned subsidiary of HEC formed solely for the purpose of effectuating the First Merger described herein. First Merger Sub was incorporated under the laws of Delaware as a corporation on January 8, 2021. First Merger Sub owns no material assets and does not operate any business.</w:t>
      </w:r>
    </w:p>
    <w:p>
      <w:pPr>
        <w:spacing w:after="0" w:line="184"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The mailing address of First Merger Sub’s principal executive office is 570 Lexington Avenue, 35th Floor, New York, NY 10022. Its telephone number is (212) 521-8495. After the Closing, First Merger Sub will cease to exist as a separate legal entity.</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Tailwind Merger Sub II, LLC</w:t>
      </w:r>
    </w:p>
    <w:p>
      <w:pPr>
        <w:spacing w:after="0" w:line="117"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Tailwind Merger Sub II, LLC is a wholly owned subsidiary of HEC formed solely for the purpose of effectuating the Second Merger described herein. Second Merger Sub was formed under the laws of Delaware as a limited liability company on January 8, 2021. Second Merger Sub owns no material assets and does not operate any business.</w:t>
      </w:r>
    </w:p>
    <w:p>
      <w:pPr>
        <w:spacing w:after="0" w:line="184" w:lineRule="exact"/>
        <w:rPr>
          <w:sz w:val="20"/>
          <w:szCs w:val="20"/>
          <w:color w:val="auto"/>
        </w:rPr>
      </w:pPr>
    </w:p>
    <w:p>
      <w:pPr>
        <w:jc w:val="both"/>
        <w:ind w:left="300" w:right="100"/>
        <w:spacing w:after="0" w:line="342" w:lineRule="auto"/>
        <w:rPr>
          <w:sz w:val="20"/>
          <w:szCs w:val="20"/>
          <w:color w:val="auto"/>
        </w:rPr>
      </w:pPr>
      <w:r>
        <w:rPr>
          <w:rFonts w:ascii="Arial" w:cs="Arial" w:eastAsia="Arial" w:hAnsi="Arial"/>
          <w:sz w:val="16"/>
          <w:szCs w:val="16"/>
          <w:color w:val="auto"/>
        </w:rPr>
        <w:t>The mailing address of Second Merger Sub’s principal executive office is 570 Lexington Avenue, 35th Floor, New York, NY 10022. Its telephone number is (212) 521-8495. After the Closing, Second Merger Sub will continue as a wholly owned subsidiary of HEC and successor to Talkspace.</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Talkspace</w:t>
      </w:r>
    </w:p>
    <w:p>
      <w:pPr>
        <w:spacing w:after="0" w:line="117"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Talkspace is a Delaware corporation incorporated on February 27, 2014. Talkspace and its subsidiaries operate a leading virtual behaviorial health platform. Talkspace does not currently have a principal executive office. Its telephone number is (212) 284-7206.</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HEC is an “emerging growth company,” as defined in Section 2(a) of the Securities Act, as modified by the Jumpstart Our Business Startups Act of 2012 (the “</w:t>
      </w:r>
      <w:r>
        <w:rPr>
          <w:rFonts w:ascii="Arial" w:cs="Arial" w:eastAsia="Arial" w:hAnsi="Arial"/>
          <w:sz w:val="18"/>
          <w:szCs w:val="18"/>
          <w:i w:val="1"/>
          <w:iCs w:val="1"/>
          <w:color w:val="auto"/>
        </w:rPr>
        <w:t>JOBS Act</w:t>
      </w:r>
      <w:r>
        <w:rPr>
          <w:rFonts w:ascii="Arial" w:cs="Arial" w:eastAsia="Arial" w:hAnsi="Arial"/>
          <w:sz w:val="18"/>
          <w:szCs w:val="18"/>
          <w:color w:val="auto"/>
        </w:rPr>
        <w:t>”). As such, it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Arial" w:cs="Arial" w:eastAsia="Arial" w:hAnsi="Arial"/>
          <w:sz w:val="18"/>
          <w:szCs w:val="18"/>
          <w:i w:val="1"/>
          <w:iCs w:val="1"/>
          <w:color w:val="auto"/>
        </w:rPr>
        <w:t>Sarbanes-Oxley Act</w:t>
      </w:r>
      <w:r>
        <w:rPr>
          <w:rFonts w:ascii="Arial" w:cs="Arial" w:eastAsia="Arial" w:hAnsi="Arial"/>
          <w:sz w:val="18"/>
          <w:szCs w:val="18"/>
          <w:color w:val="auto"/>
        </w:rPr>
        <w:t>”), reduced disclosure obligations regarding executive compensation in their periodic reports and proxy statements, and exemptions from the requirements of holding a non-binding advisory vote on executive compensation and stockholder approval of any golden parachute payments not previously approved. If some investors find HEC’s securities less attractive as a result, there may be a less active trading market for HEC’s securities and the prices of its securities may be more volatile.</w:t>
      </w:r>
    </w:p>
    <w:p>
      <w:pPr>
        <w:spacing w:after="0" w:line="192" w:lineRule="exact"/>
        <w:rPr>
          <w:sz w:val="20"/>
          <w:szCs w:val="20"/>
          <w:color w:val="auto"/>
        </w:rPr>
      </w:pPr>
    </w:p>
    <w:p>
      <w:pPr>
        <w:ind w:left="300" w:right="10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HEC has elected not to opt out of such extended transition period, which means that when a standard is issued or revised and it has different application dates for public or private companies, HEC, as an emerging growth company, can adopt the new or revised standard at the time private companies adopt the new or revised standard. This may make comparison of HEC’s financial statements with certain other public companies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HEC will remain an emerging growth company until the earlier of: (1) the last day of the fiscal year (a) following the fifth anniversary of the completion of the HEC IPO, (b) in which HEC has total annual gross revenue of at least $1.07 billion, or (c) in which HEC is deemed to be a large accelerated filer, which means the market value of HEC’s common equity that is held by non-affiliates exceeds $700 million as of the end of the prior fiscal year’s second fiscal quarter; and (2) the date on which HEC has issued more than $1.00 billion in non-convertible debt during the prior three-year period. References herein to “emerging growth company” shall have the meaning associated with it in the JOBS Act.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Business Combination Proposal</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Structure of the Transactions</w:t>
      </w:r>
    </w:p>
    <w:p>
      <w:pPr>
        <w:spacing w:after="0" w:line="117"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Pursuant to the Merger Agreement, a business combination between HEC and Talkspace will be effected through the First Merger, whereby First Merger Sub will merge with and into Talkspace with Talkspace surviving such merger, followed by the Second Merger, whereby, immediately following the First Merger and as part of the same overall transaction as the First Merger, Talkspace will merge with and into Second Merger Sub, with Second Merger Sub surviving such merger as a wholly owned subsidiary of HEC.</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Closing Merger Consideration</w:t>
      </w:r>
    </w:p>
    <w:p>
      <w:pPr>
        <w:spacing w:after="0" w:line="117"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value of the aggregate consideration to be paid to the holders of outstanding Talkspace stock and Talkspace Options will be equal to the Closing Merger Consideration, reduced by certain deductions for the parties’ transaction expenses and the Sponsor Share Amount. For more information regarding the sources and uses of the funds utilized to consummate the Transactions, please see the section entitled “</w:t>
      </w:r>
      <w:r>
        <w:rPr>
          <w:rFonts w:ascii="Arial" w:cs="Arial" w:eastAsia="Arial" w:hAnsi="Arial"/>
          <w:sz w:val="18"/>
          <w:szCs w:val="18"/>
          <w:i w:val="1"/>
          <w:iCs w:val="1"/>
          <w:color w:val="auto"/>
        </w:rPr>
        <w:t>Proposal No. 1—</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Proposal—Sources and Uses for the Business Combination</w:t>
      </w:r>
      <w:r>
        <w:rPr>
          <w:rFonts w:ascii="Arial" w:cs="Arial" w:eastAsia="Arial" w:hAnsi="Arial"/>
          <w:sz w:val="18"/>
          <w:szCs w:val="18"/>
          <w:color w:val="auto"/>
        </w:rPr>
        <w:t>.”</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Related Agreements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300" w:right="40"/>
        <w:spacing w:after="0" w:line="301" w:lineRule="auto"/>
        <w:rPr>
          <w:sz w:val="20"/>
          <w:szCs w:val="20"/>
          <w:color w:val="auto"/>
        </w:rPr>
      </w:pPr>
      <w:r>
        <w:rPr>
          <w:rFonts w:ascii="Arial" w:cs="Arial" w:eastAsia="Arial" w:hAnsi="Arial"/>
          <w:sz w:val="16"/>
          <w:szCs w:val="16"/>
          <w:color w:val="auto"/>
        </w:rPr>
        <w:t>The Merger Agreement contemplates that, at the Closing, Talkspace, Inc., the Sponsor and certain former stockholders of Talkspace (the “</w:t>
      </w:r>
      <w:r>
        <w:rPr>
          <w:rFonts w:ascii="Arial" w:cs="Arial" w:eastAsia="Arial" w:hAnsi="Arial"/>
          <w:sz w:val="16"/>
          <w:szCs w:val="16"/>
          <w:i w:val="1"/>
          <w:iCs w:val="1"/>
          <w:color w:val="auto"/>
        </w:rPr>
        <w:t>Talkspace Holders</w:t>
      </w:r>
      <w:r>
        <w:rPr>
          <w:rFonts w:ascii="Arial" w:cs="Arial" w:eastAsia="Arial" w:hAnsi="Arial"/>
          <w:sz w:val="16"/>
          <w:szCs w:val="16"/>
          <w:color w:val="auto"/>
        </w:rPr>
        <w:t xml:space="preserve">”) will enter into the Registration Rights Agreement, a copy of which is attached to the accompanying proxy statement/prospectus as </w:t>
      </w:r>
      <w:r>
        <w:rPr>
          <w:rFonts w:ascii="Arial" w:cs="Arial" w:eastAsia="Arial" w:hAnsi="Arial"/>
          <w:sz w:val="16"/>
          <w:szCs w:val="16"/>
          <w:i w:val="1"/>
          <w:iCs w:val="1"/>
          <w:color w:val="auto"/>
        </w:rPr>
        <w:t>Annex D</w:t>
      </w:r>
      <w:r>
        <w:rPr>
          <w:rFonts w:ascii="Arial" w:cs="Arial" w:eastAsia="Arial" w:hAnsi="Arial"/>
          <w:sz w:val="16"/>
          <w:szCs w:val="16"/>
          <w:color w:val="auto"/>
        </w:rPr>
        <w:t>, pursuant to which Talkspace, Inc. will agree to register for resale, pursuant to Rule 415 under the Securities Act, certain shares of Talkspace, Inc. common stock and other equity securities of Talkspace, Inc. that are held by the parties thereto from time to time.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Talkspace Holders Support Agreement</w:t>
      </w:r>
    </w:p>
    <w:p>
      <w:pPr>
        <w:spacing w:after="0" w:line="121"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In connection with the execution of the Merger Agreement, HEC, Talkspace and certain stockholders of Talkspace (the “</w:t>
      </w:r>
      <w:r>
        <w:rPr>
          <w:rFonts w:ascii="Arial" w:cs="Arial" w:eastAsia="Arial" w:hAnsi="Arial"/>
          <w:sz w:val="16"/>
          <w:szCs w:val="16"/>
          <w:i w:val="1"/>
          <w:iCs w:val="1"/>
          <w:color w:val="auto"/>
        </w:rPr>
        <w:t>Requisite Talkspace</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w:t>
      </w:r>
      <w:r>
        <w:rPr>
          <w:rFonts w:ascii="Arial" w:cs="Arial" w:eastAsia="Arial" w:hAnsi="Arial"/>
          <w:sz w:val="16"/>
          <w:szCs w:val="16"/>
          <w:color w:val="auto"/>
        </w:rPr>
        <w:t>”) entered into the Talkspace Holders Support Agreement. Pursuant to the terms of the Talkspace Holders Support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Requisite Talkspace Stockholders agreed to, among other things, (i) vote to adopt and approve, as soon as reasonably practicable after the registration statement which this proxy statement/prospectus forms a part of is declared effective and delivered or otherwise made available to the stockholders of HEC and Talkspace, and in any event within forty-eight hours after the registration statement which this proxy statement/prospectus forms a part of is declared effective and delivered or otherwise made available to the stockholders of HEC and Talkspace, the Merger Agreement and the Transactions, in each case, subject to the terms and conditions of the Talkspace Holders Support Agreement, and</w:t>
      </w:r>
    </w:p>
    <w:p>
      <w:pPr>
        <w:spacing w:after="0" w:line="2" w:lineRule="exact"/>
        <w:rPr>
          <w:sz w:val="20"/>
          <w:szCs w:val="20"/>
          <w:color w:val="auto"/>
        </w:rPr>
      </w:pPr>
    </w:p>
    <w:p>
      <w:pPr>
        <w:jc w:val="both"/>
        <w:ind w:left="300" w:hanging="2"/>
        <w:spacing w:after="0" w:line="255" w:lineRule="auto"/>
        <w:tabs>
          <w:tab w:leader="none" w:pos="5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take, or cause to be taken, all actions, and cooperate with other parties, to exercise the drag-along rights pursuant to and in accordance with that certain Sixth Amended and Restated Voting Agreement, dated as of May 15, 2019, by and among Talkspace, the Investors and the Key Holders (as such terms are defined therein).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320" w:top="459" w:right="6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311" w:lineRule="auto"/>
        <w:rPr>
          <w:sz w:val="20"/>
          <w:szCs w:val="20"/>
          <w:color w:val="auto"/>
        </w:rPr>
      </w:pPr>
      <w:r>
        <w:rPr>
          <w:rFonts w:ascii="Arial" w:cs="Arial" w:eastAsia="Arial" w:hAnsi="Arial"/>
          <w:sz w:val="16"/>
          <w:szCs w:val="16"/>
          <w:color w:val="auto"/>
        </w:rPr>
        <w:t>Each of the Requisite Talkspace Stockholders acknowledged and agreed to be bound by the transfers restrictions on its lock-up shares during the period of 180 days after the Closing Date, in each case, subject to limited exceptions as set forth in the Proposed Bylaws. For additional information, see “</w:t>
      </w:r>
      <w:r>
        <w:rPr>
          <w:rFonts w:ascii="Arial" w:cs="Arial" w:eastAsia="Arial" w:hAnsi="Arial"/>
          <w:sz w:val="16"/>
          <w:szCs w:val="16"/>
          <w:i w:val="1"/>
          <w:iCs w:val="1"/>
          <w:color w:val="auto"/>
        </w:rPr>
        <w:t>Proposal No. 1—The Business Combination Proposal— Related Agreements—Talkspace Holders Support Agreement.”</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Sponsor Support Agreement</w:t>
      </w:r>
    </w:p>
    <w:p>
      <w:pPr>
        <w:spacing w:after="0" w:line="121" w:lineRule="exact"/>
        <w:rPr>
          <w:sz w:val="20"/>
          <w:szCs w:val="20"/>
          <w:color w:val="auto"/>
        </w:rPr>
      </w:pPr>
    </w:p>
    <w:p>
      <w:pPr>
        <w:ind w:left="300" w:right="260"/>
        <w:spacing w:after="0" w:line="255" w:lineRule="auto"/>
        <w:rPr>
          <w:sz w:val="20"/>
          <w:szCs w:val="20"/>
          <w:color w:val="auto"/>
        </w:rPr>
      </w:pPr>
      <w:r>
        <w:rPr>
          <w:rFonts w:ascii="Arial" w:cs="Arial" w:eastAsia="Arial" w:hAnsi="Arial"/>
          <w:sz w:val="18"/>
          <w:szCs w:val="18"/>
          <w:color w:val="auto"/>
        </w:rPr>
        <w:t>In connection with the execution of the Merger Agreement, HEC, the HEC Insiders and Talkspace entered into the Sponsor Support Agreement. Pursuant to the terms of the Sponsor Support Agreement, the HEC Insiders agreed to, among other things, vote to adopt and approve the Merger Agreement and the Transactions, in each case, subject to the terms and conditions of the Sponsor Support Agreement. Each of the HEC Insiders also agreed to certain transfers restrictions on its lock-up shares during the period of 180 days after the Closing Date, in each case, subject to limited exceptions as contemplated thereby. For additional information, see “</w:t>
      </w:r>
      <w:r>
        <w:rPr>
          <w:rFonts w:ascii="Arial" w:cs="Arial" w:eastAsia="Arial" w:hAnsi="Arial"/>
          <w:sz w:val="18"/>
          <w:szCs w:val="18"/>
          <w:i w:val="1"/>
          <w:iCs w:val="1"/>
          <w:color w:val="auto"/>
        </w:rPr>
        <w:t>Proposal No. 1—The Business Combination Proposal—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Agreements—Sponsor Support Agreement.</w:t>
      </w:r>
      <w:r>
        <w:rPr>
          <w:rFonts w:ascii="Arial" w:cs="Arial" w:eastAsia="Arial" w:hAnsi="Arial"/>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Subscription Agreements</w:t>
      </w:r>
    </w:p>
    <w:p>
      <w:pPr>
        <w:spacing w:after="0" w:line="121"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In connection with the execution of the Merger Agreement, HEC entered into Subscription Agreements with the PIPE Investors, pursuant to which the PIPE Investors agreed to purchase, in the aggregate, 30,000,000 shares of Talkspace, Inc. common stock at a purchase price of $10.00 per share for an aggregate commitment of $300,000,000. The closings under the Subscription Agreements will occur substantially concurrently with the Closing, subject to, among other things, the satisfaction of each condition precedent to the Closing set forth in the Merger Agreement, all representations and warranties of HEC contained in the Subscription Agreements being true and correct in all material respects at and as of the Closing Date, satisfaction, performance and compliance by HEC and each PIPE Investor in all material respects with the covenants, agreements and conditions contained therein, and no amendment or modification of, or waiver with respect to HEC’s obligation to effect the Closing that would reasonably be expected to materially, adversely and disproportionately as compared to other PIPE Investors affect the economic benefits of each PIPE Investor without having received such PIPE Investor’s prior written consent. Additionally, pursuant to the Subscription Agreements, the PIPE Investors agreed to waive any claims that they may have at the Closing or in the future as a result of, or arising out of, the Subscription Agreements against HEC with respect to the trust account. For additional information, see “</w:t>
      </w:r>
      <w:r>
        <w:rPr>
          <w:rFonts w:ascii="Arial" w:cs="Arial" w:eastAsia="Arial" w:hAnsi="Arial"/>
          <w:sz w:val="16"/>
          <w:szCs w:val="16"/>
          <w:i w:val="1"/>
          <w:iCs w:val="1"/>
          <w:color w:val="auto"/>
        </w:rPr>
        <w:t>Proposal No. 1—The Business Combination Proposal—Certain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 Related to the Business Combination— Subscription Agreements</w:t>
      </w:r>
      <w:r>
        <w:rPr>
          <w:rFonts w:ascii="Arial" w:cs="Arial" w:eastAsia="Arial" w:hAnsi="Arial"/>
          <w:sz w:val="16"/>
          <w:szCs w:val="16"/>
          <w:color w:val="auto"/>
        </w:rPr>
        <w: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HEC Forward Purchase Agreement</w:t>
      </w:r>
    </w:p>
    <w:p>
      <w:pPr>
        <w:spacing w:after="0" w:line="121" w:lineRule="exact"/>
        <w:rPr>
          <w:sz w:val="20"/>
          <w:szCs w:val="20"/>
          <w:color w:val="auto"/>
        </w:rPr>
      </w:pPr>
    </w:p>
    <w:p>
      <w:pPr>
        <w:ind w:left="300" w:right="80"/>
        <w:spacing w:after="0" w:line="254" w:lineRule="auto"/>
        <w:rPr>
          <w:sz w:val="20"/>
          <w:szCs w:val="20"/>
          <w:color w:val="auto"/>
        </w:rPr>
      </w:pPr>
      <w:r>
        <w:rPr>
          <w:rFonts w:ascii="Arial" w:cs="Arial" w:eastAsia="Arial" w:hAnsi="Arial"/>
          <w:sz w:val="18"/>
          <w:szCs w:val="18"/>
          <w:color w:val="auto"/>
        </w:rPr>
        <w:t>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Each Forward Purchase Unit consists of one share of Talkspace, Inc. common stock and one-half of one warrant to purchase one share of Talkspace, Inc. common stock. For additional information, see “</w:t>
      </w:r>
      <w:r>
        <w:rPr>
          <w:rFonts w:ascii="Arial" w:cs="Arial" w:eastAsia="Arial" w:hAnsi="Arial"/>
          <w:sz w:val="18"/>
          <w:szCs w:val="18"/>
          <w:i w:val="1"/>
          <w:iCs w:val="1"/>
          <w:color w:val="auto"/>
        </w:rPr>
        <w:t>Proposal No. 1— The Business Combination Proposal—Certain Agreements Related to the Business Combination—HEC</w:t>
      </w:r>
      <w:r>
        <w:rPr>
          <w:rFonts w:ascii="Arial" w:cs="Arial" w:eastAsia="Arial" w:hAnsi="Arial"/>
          <w:sz w:val="18"/>
          <w:szCs w:val="18"/>
          <w:color w:val="auto"/>
        </w:rPr>
        <w:t xml:space="preserve"> </w:t>
      </w:r>
      <w:r>
        <w:rPr>
          <w:rFonts w:ascii="Arial" w:cs="Arial" w:eastAsia="Arial" w:hAnsi="Arial"/>
          <w:sz w:val="18"/>
          <w:szCs w:val="18"/>
          <w:i w:val="1"/>
          <w:iCs w:val="1"/>
          <w:color w:val="auto"/>
        </w:rPr>
        <w:t>Forward Purchase Agreement</w:t>
      </w:r>
      <w:r>
        <w:rPr>
          <w:rFonts w:ascii="Arial" w:cs="Arial" w:eastAsia="Arial" w:hAnsi="Arial"/>
          <w:sz w:val="18"/>
          <w:szCs w:val="18"/>
          <w:color w:val="auto"/>
        </w:rPr>
        <w: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Plan</w:t>
      </w:r>
    </w:p>
    <w:p>
      <w:pPr>
        <w:spacing w:after="0" w:line="121"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On January 11, 2021, the HEC Board adopted, subject to stockholder approval, the 2021 Plan for the purpose of providing a means through which to enhance the ability to attract, retain and motivate persons who make (or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1" w:lineRule="auto"/>
        <w:rPr>
          <w:sz w:val="20"/>
          <w:szCs w:val="20"/>
          <w:color w:val="auto"/>
        </w:rPr>
      </w:pPr>
      <w:r>
        <w:rPr>
          <w:rFonts w:ascii="Arial" w:cs="Arial" w:eastAsia="Arial" w:hAnsi="Arial"/>
          <w:sz w:val="16"/>
          <w:szCs w:val="16"/>
          <w:color w:val="auto"/>
        </w:rPr>
        <w:t>expected to make) important contributions to Talkspace, Inc. by providing these individuals with equity ownership opportunities and/or equity-linked compensatory opportunities. The HEC Board believes that equity awards are necessary to remain competitive and are essential to recruiting and retaining the highly qualified employees. Stockholders are being asked to consider and approve the 2021 Plan. For additional information, please see the section entitled “</w:t>
      </w:r>
      <w:r>
        <w:rPr>
          <w:rFonts w:ascii="Arial" w:cs="Arial" w:eastAsia="Arial" w:hAnsi="Arial"/>
          <w:sz w:val="16"/>
          <w:szCs w:val="16"/>
          <w:i w:val="1"/>
          <w:iCs w:val="1"/>
          <w:color w:val="auto"/>
        </w:rPr>
        <w:t>Proposal No. 4—The Incentive Plan Proposal—Description of the Material Features of the 2021 Plan</w:t>
      </w:r>
      <w:r>
        <w:rPr>
          <w:rFonts w:ascii="Arial" w:cs="Arial" w:eastAsia="Arial" w:hAnsi="Arial"/>
          <w:sz w:val="16"/>
          <w:szCs w:val="16"/>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ESPP</w:t>
      </w:r>
    </w:p>
    <w:p>
      <w:pPr>
        <w:spacing w:after="0" w:line="121" w:lineRule="exact"/>
        <w:rPr>
          <w:sz w:val="20"/>
          <w:szCs w:val="20"/>
          <w:color w:val="auto"/>
        </w:rPr>
      </w:pPr>
    </w:p>
    <w:p>
      <w:pPr>
        <w:ind w:left="300" w:right="100"/>
        <w:spacing w:after="0" w:line="273" w:lineRule="auto"/>
        <w:rPr>
          <w:sz w:val="20"/>
          <w:szCs w:val="20"/>
          <w:color w:val="auto"/>
        </w:rPr>
      </w:pPr>
      <w:r>
        <w:rPr>
          <w:rFonts w:ascii="Arial" w:cs="Arial" w:eastAsia="Arial" w:hAnsi="Arial"/>
          <w:sz w:val="17"/>
          <w:szCs w:val="17"/>
          <w:color w:val="auto"/>
        </w:rPr>
        <w:t>On January 11, 2021, the HEC Board adopted, subject to stockholder approval, the ESPP for the purpose of providing a means through which to provide employees of Talkspace and its participating subsidiaries with the opportunity to purchase Talkspace, Inc. common stock at a discount through accumulated payroll deductions during successive offering periods. The HEC Board believes that the ESPP enhances employees’ sense of participation in performance, aligns their interests with those of stockholders, and is a necessary and powerful incentive and retention tool that benefits stockholders. Stockholders are being asked to consider and approve the ESPP. For additional information, please see the section entitled “</w:t>
      </w:r>
      <w:r>
        <w:rPr>
          <w:rFonts w:ascii="Arial" w:cs="Arial" w:eastAsia="Arial" w:hAnsi="Arial"/>
          <w:sz w:val="17"/>
          <w:szCs w:val="17"/>
          <w:i w:val="1"/>
          <w:iCs w:val="1"/>
          <w:color w:val="auto"/>
        </w:rPr>
        <w:t>Proposal No. 5—The ESPP Proposal—Description of the Material Features of the ESPP</w:t>
      </w:r>
      <w:r>
        <w:rPr>
          <w:rFonts w:ascii="Arial" w:cs="Arial" w:eastAsia="Arial" w:hAnsi="Arial"/>
          <w:sz w:val="17"/>
          <w:szCs w:val="17"/>
          <w:color w:val="auto"/>
        </w:rPr>
        <w: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 of the Business Combination on Talkspace, Inc.’s Public Float</w:t>
      </w:r>
    </w:p>
    <w:p>
      <w:pPr>
        <w:spacing w:after="0" w:line="117"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177"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4—The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70" w:lineRule="exact"/>
        <w:rPr>
          <w:sz w:val="20"/>
          <w:szCs w:val="20"/>
          <w:color w:val="auto"/>
        </w:rPr>
      </w:pPr>
    </w:p>
    <w:p>
      <w:pPr>
        <w:ind w:left="300" w:right="620"/>
        <w:spacing w:after="0" w:line="277" w:lineRule="auto"/>
        <w:rPr>
          <w:sz w:val="20"/>
          <w:szCs w:val="20"/>
          <w:color w:val="auto"/>
        </w:rPr>
      </w:pPr>
      <w:r>
        <w:rPr>
          <w:rFonts w:ascii="Arial" w:cs="Arial" w:eastAsia="Arial" w:hAnsi="Arial"/>
          <w:sz w:val="18"/>
          <w:szCs w:val="18"/>
          <w:color w:val="auto"/>
        </w:rPr>
        <w:t>The following table illustrates varying ownership levels in Talkspace, Inc., assuming no redemptions by HEC’s public stockholders and the maximum redemptions by HEC’s public stockholders:</w:t>
      </w:r>
    </w:p>
    <w:p>
      <w:pPr>
        <w:spacing w:after="0" w:line="17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0"/>
              </w:rPr>
              <w:t>Assuming No</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0"/>
              </w:rPr>
              <w:t>Redemptions</w:t>
            </w: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Sponsor and certain affiliates</w:t>
            </w: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5.9%</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Public Stockholders</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25.1%</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Former Talkspace Stockholders</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50.8%</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These levels of ownership interest (i) exclude the impact of the shares of HEC’s Class A common stock underlying the warrants; (ii) assume, in the no redemption scenario, that no public stockholder exercises redemption rights with respect to its shares for a pro rata portion of the funds in HEC’s trust account and (iii) are determined, in the maximum redemption scenario, by assuming 5 million shares of HEC’s Class A common stock will not be redeemed.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Being Voted 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stockholders of HEC will be asked to consider and vote on the following proposals at the special meeting:</w:t>
      </w:r>
    </w:p>
    <w:p>
      <w:pPr>
        <w:spacing w:after="0" w:line="131" w:lineRule="exact"/>
        <w:rPr>
          <w:sz w:val="20"/>
          <w:szCs w:val="20"/>
          <w:color w:val="auto"/>
        </w:rPr>
      </w:pPr>
    </w:p>
    <w:p>
      <w:pPr>
        <w:ind w:left="1240" w:right="140" w:hanging="523"/>
        <w:spacing w:after="0" w:line="311" w:lineRule="auto"/>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proposal to approve the business combination described in this proxy statement/prospectus, including (a) adopting the Merger Agreement and (b) approving the other transactions contemplated by the Merger Agreement and related agreements described in this proxy statement/prospectus. Please see the section entitled “</w:t>
      </w:r>
      <w:r>
        <w:rPr>
          <w:rFonts w:ascii="Arial" w:cs="Arial" w:eastAsia="Arial" w:hAnsi="Arial"/>
          <w:sz w:val="16"/>
          <w:szCs w:val="16"/>
          <w:i w:val="1"/>
          <w:iCs w:val="1"/>
          <w:color w:val="auto"/>
        </w:rPr>
        <w:t>Proposal No. 1—The Business Combination Proposal</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240" w:right="220" w:hanging="523"/>
        <w:spacing w:after="0" w:line="277"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 proposal to approve and adopt the second amended and restated certificate of incorporation of HEC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 Please see the section entitled “</w:t>
      </w:r>
      <w:r>
        <w:rPr>
          <w:rFonts w:ascii="Arial" w:cs="Arial" w:eastAsia="Arial" w:hAnsi="Arial"/>
          <w:sz w:val="18"/>
          <w:szCs w:val="18"/>
          <w:i w:val="1"/>
          <w:iCs w:val="1"/>
          <w:color w:val="auto"/>
        </w:rPr>
        <w:t>Proposal 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certain governance provisions in the second amended and restated certificate of incorporation, presented separately in accordance with the requirements of the SEC. Please see the section entitled “</w:t>
      </w:r>
      <w:r>
        <w:rPr>
          <w:rFonts w:ascii="Arial" w:cs="Arial" w:eastAsia="Arial" w:hAnsi="Arial"/>
          <w:sz w:val="18"/>
          <w:szCs w:val="18"/>
          <w:i w:val="1"/>
          <w:iCs w:val="1"/>
          <w:color w:val="auto"/>
        </w:rPr>
        <w:t>Proposal No. 3</w:t>
      </w:r>
      <w:r>
        <w:rPr>
          <w:rFonts w:ascii="Arial" w:cs="Arial" w:eastAsia="Arial" w:hAnsi="Arial"/>
          <w:sz w:val="18"/>
          <w:szCs w:val="18"/>
          <w:color w:val="auto"/>
        </w:rPr>
        <w:t xml:space="preserve"> </w:t>
      </w:r>
      <w:r>
        <w:rPr>
          <w:rFonts w:ascii="Arial" w:cs="Arial" w:eastAsia="Arial" w:hAnsi="Arial"/>
          <w:sz w:val="18"/>
          <w:szCs w:val="18"/>
          <w:i w:val="1"/>
          <w:iCs w:val="1"/>
          <w:color w:val="auto"/>
        </w:rPr>
        <w:t>—The 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right="300" w:hanging="523"/>
        <w:spacing w:after="0" w:line="311" w:lineRule="auto"/>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6"/>
          <w:szCs w:val="16"/>
          <w:i w:val="1"/>
          <w:iCs w:val="1"/>
          <w:color w:val="auto"/>
        </w:rPr>
        <w:t>Proposal No. 6—The Director Election Proposal</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left="1240" w:right="240" w:hanging="523"/>
        <w:spacing w:after="0" w:line="311" w:lineRule="auto"/>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6"/>
          <w:szCs w:val="16"/>
          <w:i w:val="1"/>
          <w:iCs w:val="1"/>
          <w:color w:val="auto"/>
        </w:rPr>
        <w:t>Proposal No.7—The Nasdaq Proposal</w:t>
      </w:r>
      <w:r>
        <w:rPr>
          <w:rFonts w:ascii="Arial" w:cs="Arial" w:eastAsia="Arial" w:hAnsi="Arial"/>
          <w:sz w:val="16"/>
          <w:szCs w:val="16"/>
          <w:color w:val="auto"/>
        </w:rPr>
        <w:t>”; and</w:t>
      </w:r>
    </w:p>
    <w:p>
      <w:pPr>
        <w:spacing w:after="0" w:line="54" w:lineRule="exact"/>
        <w:rPr>
          <w:rFonts w:ascii="Arial" w:cs="Arial" w:eastAsia="Arial" w:hAnsi="Arial"/>
          <w:sz w:val="16"/>
          <w:szCs w:val="16"/>
          <w:color w:val="auto"/>
        </w:rPr>
      </w:pPr>
    </w:p>
    <w:p>
      <w:pPr>
        <w:ind w:left="1240" w:right="180" w:hanging="523"/>
        <w:spacing w:after="0" w:line="279" w:lineRule="auto"/>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7"/>
          <w:szCs w:val="17"/>
          <w:i w:val="1"/>
          <w:iCs w:val="1"/>
          <w:color w:val="auto"/>
        </w:rPr>
        <w:t>Proposal No. 8—The Adjournment Proposal.</w:t>
      </w:r>
      <w:r>
        <w:rPr>
          <w:rFonts w:ascii="Arial" w:cs="Arial" w:eastAsia="Arial" w:hAnsi="Arial"/>
          <w:sz w:val="17"/>
          <w:szCs w:val="17"/>
          <w:color w:val="auto"/>
        </w:rPr>
        <w:t>”</w:t>
      </w:r>
    </w:p>
    <w:p>
      <w:pPr>
        <w:spacing w:after="0" w:line="171"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Special Meeting of HEC’s Stockholders</w:t>
      </w:r>
    </w:p>
    <w:p>
      <w:pPr>
        <w:spacing w:after="0" w:line="121" w:lineRule="exact"/>
        <w:rPr>
          <w:sz w:val="20"/>
          <w:szCs w:val="20"/>
          <w:color w:val="auto"/>
        </w:rPr>
      </w:pPr>
    </w:p>
    <w:p>
      <w:pPr>
        <w:jc w:val="both"/>
        <w:ind w:left="300" w:right="80"/>
        <w:spacing w:after="0" w:line="286" w:lineRule="auto"/>
        <w:rPr>
          <w:sz w:val="20"/>
          <w:szCs w:val="20"/>
          <w:color w:val="auto"/>
        </w:rPr>
      </w:pPr>
      <w:r>
        <w:rPr>
          <w:rFonts w:ascii="Arial" w:cs="Arial" w:eastAsia="Arial" w:hAnsi="Arial"/>
          <w:sz w:val="17"/>
          <w:szCs w:val="17"/>
          <w:color w:val="auto"/>
        </w:rPr>
        <w:t>The special meeting of stockholders of HEC will be held via live webcast at 8.30 a.m. Eastern Time, on June 17, 2021. The special meeting can be accessed by visiting https://www.cstproxy.com/hudsoninvestcorp/sm2021, where you will be able to listen to the meeting live and vote during the meeting. Please note that you will only be able to access the special meeting by means of remote communication.</w:t>
      </w:r>
    </w:p>
    <w:p>
      <w:pPr>
        <w:spacing w:after="0" w:line="165" w:lineRule="exact"/>
        <w:rPr>
          <w:sz w:val="20"/>
          <w:szCs w:val="20"/>
          <w:color w:val="auto"/>
        </w:rPr>
      </w:pPr>
    </w:p>
    <w:p>
      <w:pPr>
        <w:ind w:left="300" w:right="440"/>
        <w:spacing w:after="0" w:line="311" w:lineRule="auto"/>
        <w:rPr>
          <w:sz w:val="20"/>
          <w:szCs w:val="20"/>
          <w:color w:val="auto"/>
        </w:rPr>
      </w:pPr>
      <w:r>
        <w:rPr>
          <w:rFonts w:ascii="Arial" w:cs="Arial" w:eastAsia="Arial" w:hAnsi="Arial"/>
          <w:sz w:val="16"/>
          <w:szCs w:val="16"/>
          <w:color w:val="auto"/>
        </w:rPr>
        <w:t>At the special meeting, stockholders will be asked to consider and vote upon the business combination proposal, the charter proposal, the governance proposal, the incentive plan proposal, the ESPP proposal, the director election proposal, the Nasdaq proposal and if necessary, the adjournment proposal to permit further solicitation and vote of proxies if HEC is not able to consummate the Transactions.</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Stockholders will be entitled to vote or direct votes to be cast at the special meeting if they owned shares of HEC’s common stock at the close of business on May 19, 2021, which is the record date for the special meeting. Stockholders will have one vote for each share of HEC’s common stock owned at the close of business on the record date. If your shares are held in “street name” or are in a margin or similar account, you should contact your broker to ensure that votes related to the shares you beneficially own are properly counted. HEC warrants do not have voting rights. On the record date, there were 51,750,000 shares of HEC’s common stock outstanding, of which 41,400,000 were public shares with the rest being held by the Sponsor.</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Quorum and Vote of HEC Stockholders</w:t>
      </w:r>
    </w:p>
    <w:p>
      <w:pPr>
        <w:spacing w:after="0" w:line="117" w:lineRule="exact"/>
        <w:rPr>
          <w:sz w:val="20"/>
          <w:szCs w:val="20"/>
          <w:color w:val="auto"/>
        </w:rPr>
      </w:pPr>
    </w:p>
    <w:p>
      <w:pPr>
        <w:ind w:left="300" w:right="100"/>
        <w:spacing w:after="0" w:line="279" w:lineRule="auto"/>
        <w:rPr>
          <w:sz w:val="20"/>
          <w:szCs w:val="20"/>
          <w:color w:val="auto"/>
        </w:rPr>
      </w:pPr>
      <w:r>
        <w:rPr>
          <w:rFonts w:ascii="Arial" w:cs="Arial" w:eastAsia="Arial" w:hAnsi="Arial"/>
          <w:sz w:val="17"/>
          <w:szCs w:val="17"/>
          <w:color w:val="auto"/>
        </w:rPr>
        <w:t>A quorum of HEC stockholders is necessary to hold a valid meeting. A quorum will be present at the HEC special meeting if a majority of the outstanding shares entitled to vote at the meeting are represented in person or by proxy. Proxies that are marked “abstain” will be treated as shares present for purposes of determining the presence of a quorum on all matters. Broker non-votes will not be counted for the purposes of determining the existence of a quorum or for purposes of determining the number of votes cast at the special meeting.</w:t>
      </w:r>
    </w:p>
    <w:p>
      <w:pPr>
        <w:spacing w:after="0" w:line="171"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The Sponsor owns of record and is entitled to vote 20% of the outstanding shares of HEC’s common stock as of the record date. Such shares, as well as any shares of HEC’s common stock acquired in the aftermarket by the Sponsor, will be voted in favor of the proposals presented at the special meeting.</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proposals presented at the special meeting will require the following votes:</w:t>
      </w:r>
    </w:p>
    <w:p>
      <w:pPr>
        <w:spacing w:after="0" w:line="131" w:lineRule="exact"/>
        <w:rPr>
          <w:sz w:val="20"/>
          <w:szCs w:val="20"/>
          <w:color w:val="auto"/>
        </w:rPr>
      </w:pPr>
    </w:p>
    <w:p>
      <w:pPr>
        <w:ind w:left="700" w:hanging="307"/>
        <w:spacing w:after="0" w:line="293" w:lineRule="auto"/>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approval of each of the business combination proposal, the governance proposal (which is a non-binding advisory vote), the incentive plan proposal, the ESPP proposal, the Nasdaq proposal and the adjournment proposal require the affirmative vote of a majority of the votes cast by holders of HEC’s outstanding shares of HEC’s common stock represented at the special meeting by attendance via the virtual meeting website or by proxy and entitled to vote thereon at the special meeting. Accordingly, if a valid quorum is established, a HEC stockholder’s failure to vote by proxy or to vote at the special meeting with regard to the business combination proposal, the governance proposal, the incentive plan proposal, the ESPP proposal, the Nasdaq proposal and the adjournment proposal will have no effect on such proposals;</w:t>
      </w:r>
    </w:p>
    <w:p>
      <w:pPr>
        <w:spacing w:after="0" w:line="69" w:lineRule="exact"/>
        <w:rPr>
          <w:rFonts w:ascii="Arial" w:cs="Arial" w:eastAsia="Arial" w:hAnsi="Arial"/>
          <w:sz w:val="16"/>
          <w:szCs w:val="16"/>
          <w:color w:val="auto"/>
        </w:rPr>
      </w:pPr>
    </w:p>
    <w:p>
      <w:pPr>
        <w:jc w:val="both"/>
        <w:ind w:left="700" w:right="340" w:hanging="307"/>
        <w:spacing w:after="0" w:line="311" w:lineRule="auto"/>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approval of the charter proposal requires the affirmative vote of holders of a majority of HEC’s outstanding shares of HEC’s common stock entitled to vote thereon at the special meeting. Accordingly, if a valid quorum is established, a HEC stockholder’s failure to vote by proxy or to vote at the special meeting with regard to the charter proposal will have the same effect as a vote “against” such proposal; and</w:t>
      </w:r>
    </w:p>
    <w:p>
      <w:pPr>
        <w:spacing w:after="0" w:line="54" w:lineRule="exact"/>
        <w:rPr>
          <w:rFonts w:ascii="Arial" w:cs="Arial" w:eastAsia="Arial" w:hAnsi="Arial"/>
          <w:sz w:val="16"/>
          <w:szCs w:val="16"/>
          <w:color w:val="auto"/>
        </w:rPr>
      </w:pPr>
    </w:p>
    <w:p>
      <w:pPr>
        <w:ind w:left="700" w:right="60" w:hanging="307"/>
        <w:spacing w:after="0" w:line="275"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directors are elected by a plurality of all of the votes cast by holders of shares of HEC’s common stock represented at the special meeting by attendance via the virtual meeting website or by proxy and entitled to vote thereon at the special meeting. This means that the director nominees who receive the most affirmative votes will be elected. HEC stockholders may not cumulate their votes with respect to the election of directors. Accordingly, if a valid quorum is established, a HEC stockholder’s failure to vote by proxy or to vote at the special meeting with regard to the director election proposal will have no effect on such proposal.</w:t>
      </w:r>
    </w:p>
    <w:p>
      <w:pPr>
        <w:spacing w:after="0" w:line="176" w:lineRule="exact"/>
        <w:rPr>
          <w:sz w:val="20"/>
          <w:szCs w:val="20"/>
          <w:color w:val="auto"/>
        </w:rPr>
      </w:pPr>
    </w:p>
    <w:p>
      <w:pPr>
        <w:ind w:left="300" w:right="520"/>
        <w:spacing w:after="0" w:line="263" w:lineRule="auto"/>
        <w:rPr>
          <w:sz w:val="20"/>
          <w:szCs w:val="20"/>
          <w:color w:val="auto"/>
        </w:rPr>
      </w:pPr>
      <w:r>
        <w:rPr>
          <w:rFonts w:ascii="Arial" w:cs="Arial" w:eastAsia="Arial" w:hAnsi="Arial"/>
          <w:sz w:val="18"/>
          <w:szCs w:val="18"/>
          <w:color w:val="auto"/>
        </w:rPr>
        <w:t>Abstentions will have the same effect as a vote “against” the charter proposal, but will have no effect on the other proposals. Please note that holders of the public shares cannot seek redemption of their shares for cash unless they affirmatively vote “for” or “against” the business combination proposal.</w:t>
      </w:r>
    </w:p>
    <w:p>
      <w:pPr>
        <w:spacing w:after="0" w:line="184"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2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Pursuant to HEC’s current certificate of incorporation, a public stockholder may demand that HEC redeem such shares for cash if the business combination is consummated. Public stockholders will be entitled to receive cash for these shares only if they demand that HEC redeem their shares for cash no later than the second business day prior to the vote on the business combination proposal by delivering their stock to HEC’s transfer agent prior to the vote at the meeting. Each public stockholder may elect to redeem their public shares irrespective of whether they vote for or against the proposed transaction or don’t vote at all. If the business combination is not completed, these shares will not be redeemed. If a public stockholder properly demands redemption, HEC will redeem each public share for a full pro rata portion of the trust account, calculated as of two business days prior to the Closing. As of May 19, 2021, the record date for the special meeting, this would amount to approximately $10.01 per share. If a public stockholder exercises its redemption rights, then it will be exchanging its shares of HEC’s common stock for cash and will no longer own the shares. Please see the section entitled “</w:t>
      </w:r>
      <w:r>
        <w:rPr>
          <w:rFonts w:ascii="Arial" w:cs="Arial" w:eastAsia="Arial" w:hAnsi="Arial"/>
          <w:sz w:val="17"/>
          <w:szCs w:val="17"/>
          <w:i w:val="1"/>
          <w:iCs w:val="1"/>
          <w:color w:val="auto"/>
        </w:rPr>
        <w:t>Special Meeting of HEC Stockholders—Redemption Rights</w:t>
      </w:r>
      <w:r>
        <w:rPr>
          <w:rFonts w:ascii="Arial" w:cs="Arial" w:eastAsia="Arial" w:hAnsi="Arial"/>
          <w:sz w:val="17"/>
          <w:szCs w:val="17"/>
          <w:color w:val="auto"/>
        </w:rPr>
        <w:t>” for a detailed description of the procedures to be followed if you wish to redeem your shares for cash.</w:t>
      </w:r>
    </w:p>
    <w:p>
      <w:pPr>
        <w:spacing w:after="0" w:line="185"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Notwithstanding the foregoing, a public stockholder, together with any affiliate of such holder or any other person with whom such holder is acting in concert or as a “group” (as defined in Section 13(d)(3) of the Exchange Act), will be restricted from seeking redemption rights with respect to more than 20% of the public shares.</w:t>
      </w:r>
    </w:p>
    <w:p>
      <w:pPr>
        <w:spacing w:after="0" w:line="184" w:lineRule="exact"/>
        <w:rPr>
          <w:sz w:val="20"/>
          <w:szCs w:val="20"/>
          <w:color w:val="auto"/>
        </w:rPr>
      </w:pPr>
    </w:p>
    <w:p>
      <w:pPr>
        <w:ind w:left="300" w:right="280"/>
        <w:spacing w:after="0" w:line="277" w:lineRule="auto"/>
        <w:rPr>
          <w:sz w:val="20"/>
          <w:szCs w:val="20"/>
          <w:color w:val="auto"/>
        </w:rPr>
      </w:pPr>
      <w:r>
        <w:rPr>
          <w:rFonts w:ascii="Arial" w:cs="Arial" w:eastAsia="Arial" w:hAnsi="Arial"/>
          <w:sz w:val="18"/>
          <w:szCs w:val="18"/>
          <w:color w:val="auto"/>
        </w:rPr>
        <w:t>Accordingly, all public shares in excess of 20% held by a public stockholder, together with any affiliate of such holder or any other person with whom such holder is acting in concert or was a “group,” will not be redeemed for cash.</w:t>
      </w:r>
    </w:p>
    <w:p>
      <w:pPr>
        <w:spacing w:after="0" w:line="170" w:lineRule="exact"/>
        <w:rPr>
          <w:sz w:val="20"/>
          <w:szCs w:val="20"/>
          <w:color w:val="auto"/>
        </w:rPr>
      </w:pPr>
    </w:p>
    <w:p>
      <w:pPr>
        <w:ind w:left="300" w:right="660"/>
        <w:spacing w:after="0" w:line="277" w:lineRule="auto"/>
        <w:rPr>
          <w:sz w:val="20"/>
          <w:szCs w:val="20"/>
          <w:color w:val="auto"/>
        </w:rPr>
      </w:pPr>
      <w:r>
        <w:rPr>
          <w:rFonts w:ascii="Arial" w:cs="Arial" w:eastAsia="Arial" w:hAnsi="Arial"/>
          <w:sz w:val="18"/>
          <w:szCs w:val="18"/>
          <w:color w:val="auto"/>
        </w:rPr>
        <w:t>The business combination will not be consummated if HEC has net tangible assets of less than $5,000,001 after taking into account public stockholders that have properly demanded redemption of their shares for cash.</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HEC warrants will not have redemption rights with respect to such securities.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HEC stockholders, HEC unitholders and HEC warrant holders do not have appraisal rights in connection with the Transactions under the DGCL.</w:t>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Proxies may be solicited by mail, telephone or in person. HEC has engaged Morrow Sodali LLC (“</w:t>
      </w:r>
      <w:r>
        <w:rPr>
          <w:rFonts w:ascii="Arial" w:cs="Arial" w:eastAsia="Arial" w:hAnsi="Arial"/>
          <w:sz w:val="16"/>
          <w:szCs w:val="16"/>
          <w:i w:val="1"/>
          <w:iCs w:val="1"/>
          <w:color w:val="auto"/>
        </w:rPr>
        <w:t>Morrow</w:t>
      </w:r>
      <w:r>
        <w:rPr>
          <w:rFonts w:ascii="Arial" w:cs="Arial" w:eastAsia="Arial" w:hAnsi="Arial"/>
          <w:sz w:val="16"/>
          <w:szCs w:val="16"/>
          <w:color w:val="auto"/>
        </w:rPr>
        <w:t>”) to assist in the solicitation of proxies. If a stockholder grants a proxy, it may still vote its shares during the meeting if it revokes its proxy before the special meeting. A stockholder may also change its vote by submitting a later-dated proxy as described in the section entitled “</w:t>
      </w:r>
      <w:r>
        <w:rPr>
          <w:rFonts w:ascii="Arial" w:cs="Arial" w:eastAsia="Arial" w:hAnsi="Arial"/>
          <w:sz w:val="16"/>
          <w:szCs w:val="16"/>
          <w:i w:val="1"/>
          <w:iCs w:val="1"/>
          <w:color w:val="auto"/>
        </w:rPr>
        <w:t>Special Meeting of HEC Stockholders—Revoking Your</w:t>
      </w:r>
      <w:r>
        <w:rPr>
          <w:rFonts w:ascii="Arial" w:cs="Arial" w:eastAsia="Arial" w:hAnsi="Arial"/>
          <w:sz w:val="16"/>
          <w:szCs w:val="16"/>
          <w:color w:val="auto"/>
        </w:rPr>
        <w:t xml:space="preserve"> </w:t>
      </w:r>
      <w:r>
        <w:rPr>
          <w:rFonts w:ascii="Arial" w:cs="Arial" w:eastAsia="Arial" w:hAnsi="Arial"/>
          <w:sz w:val="16"/>
          <w:szCs w:val="16"/>
          <w:i w:val="1"/>
          <w:iCs w:val="1"/>
          <w:color w:val="auto"/>
        </w:rPr>
        <w:t>Proxy</w:t>
      </w:r>
      <w:r>
        <w:rPr>
          <w:rFonts w:ascii="Arial" w:cs="Arial" w:eastAsia="Arial" w:hAnsi="Arial"/>
          <w:sz w:val="16"/>
          <w:szCs w:val="16"/>
          <w:color w:val="auto"/>
        </w:rPr>
        <w:t>.” If you have any questions or need assistance voting your shares, please contact Morrow, our proxy solicitor, by calling (800) 662-5200, or</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brokers can call collect at (203) 658-9400, or by emailing HEC.info@investor.morrowsodali.com.</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In considering the recommendation of the HEC Board to vote in favor of approval of the business combination proposal and the other proposals, stockholders should keep in mind that the Sponsor and the HEC Insiders have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320" w:top="459" w:right="6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interests in such proposals that are different from, or in addition to, those of HEC stockholders generally. In particular:</w:t>
      </w:r>
    </w:p>
    <w:p>
      <w:pPr>
        <w:spacing w:after="0" w:line="131" w:lineRule="exact"/>
        <w:rPr>
          <w:sz w:val="20"/>
          <w:szCs w:val="20"/>
          <w:color w:val="auto"/>
        </w:rPr>
      </w:pPr>
    </w:p>
    <w:p>
      <w:pPr>
        <w:ind w:left="700" w:hanging="307"/>
        <w:spacing w:after="0" w:line="271" w:lineRule="auto"/>
        <w:tabs>
          <w:tab w:leader="none" w:pos="7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Transactions or another business combination are not consummated by June 11, 2022, HEC will cease all operations except for the purpose of winding up, redeeming 100% of the outstanding public shares for cash and, subject to the approval of its remaining stockholders and the HEC Board, dissolving and liquidating. In such event, the 10,300,000 founder shares held by the Sponsor and the 50,000 founders shares held by certain of the HEC Insiders would be worthless because the holders thereof are not entitled to participate in any redemption or distribution with respect to such shares. Such shares had an aggregate market value of $102,465,000 based upon the closing price of $9.90 per share on the Nasdaq on May 19, 2021, the record date for the special meeting. Such founder shares are subject to certain time- and performance-based vesting provisions as described under “</w:t>
      </w:r>
      <w:r>
        <w:rPr>
          <w:rFonts w:ascii="Arial" w:cs="Arial" w:eastAsia="Arial" w:hAnsi="Arial"/>
          <w:sz w:val="17"/>
          <w:szCs w:val="17"/>
          <w:i w:val="1"/>
          <w:iCs w:val="1"/>
          <w:color w:val="auto"/>
        </w:rPr>
        <w:t>Proposal No. 1—The Business Combination Proposal—Certain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Business Combination—Sponsor Support Agreement.</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700" w:right="20" w:hanging="307"/>
        <w:spacing w:after="0" w:line="271" w:lineRule="auto"/>
        <w:tabs>
          <w:tab w:leader="none" w:pos="7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Sponsor purchased an aggregate of 10,280,000 private placement warrants from HEC for an aggregate purchase price of $10,280,000 (or $1.00 per private placement warrant). These purchases took place on a private placement basis simultaneously with the consummation of the HEC IPO. A portion of the proceeds HEC received from these purchases were placed in the trust account. Such private placement warrants had an aggregate market value of $12,027,600 based upon the closing price of $1.17 per private placement warrant on the Nasdaq on May 19, 2021, the record date for the special meeting. The private placement warrants will become worthless if HEC does not consummate a business combination by June 11, 2022. Such private placement warrants are subject to certain time- and performance-based vesting provisions as described under “</w:t>
      </w:r>
      <w:r>
        <w:rPr>
          <w:rFonts w:ascii="Arial" w:cs="Arial" w:eastAsia="Arial" w:hAnsi="Arial"/>
          <w:sz w:val="17"/>
          <w:szCs w:val="17"/>
          <w:i w:val="1"/>
          <w:iCs w:val="1"/>
          <w:color w:val="auto"/>
        </w:rPr>
        <w:t>Proposal No. 1—The Business Combination Proposal—Certain Agreements Related to the Business Combination—Sponsor</w:t>
      </w:r>
      <w:r>
        <w:rPr>
          <w:rFonts w:ascii="Arial" w:cs="Arial" w:eastAsia="Arial" w:hAnsi="Arial"/>
          <w:sz w:val="17"/>
          <w:szCs w:val="17"/>
          <w:color w:val="auto"/>
        </w:rPr>
        <w:t xml:space="preserve"> </w:t>
      </w:r>
      <w:r>
        <w:rPr>
          <w:rFonts w:ascii="Arial" w:cs="Arial" w:eastAsia="Arial" w:hAnsi="Arial"/>
          <w:sz w:val="17"/>
          <w:szCs w:val="17"/>
          <w:i w:val="1"/>
          <w:iCs w:val="1"/>
          <w:color w:val="auto"/>
        </w:rPr>
        <w:t>Support Agreement.”</w:t>
      </w:r>
    </w:p>
    <w:p>
      <w:pPr>
        <w:spacing w:after="0" w:line="83" w:lineRule="exact"/>
        <w:rPr>
          <w:rFonts w:ascii="Arial" w:cs="Arial" w:eastAsia="Arial" w:hAnsi="Arial"/>
          <w:sz w:val="17"/>
          <w:szCs w:val="17"/>
          <w:color w:val="auto"/>
        </w:rPr>
      </w:pPr>
    </w:p>
    <w:p>
      <w:pPr>
        <w:ind w:left="700" w:right="240" w:hanging="307"/>
        <w:spacing w:after="0" w:line="313" w:lineRule="auto"/>
        <w:tabs>
          <w:tab w:leader="none" w:pos="7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Douglas Braunstein will become a director of Talkspace, Inc. after the closing of the Transactions. As such, in the future he will receive compensation that the post-combination board of directors determines to pay to its non-employee directors. For additional information, see “</w:t>
      </w:r>
      <w:r>
        <w:rPr>
          <w:rFonts w:ascii="Arial" w:cs="Arial" w:eastAsia="Arial" w:hAnsi="Arial"/>
          <w:sz w:val="15"/>
          <w:szCs w:val="15"/>
          <w:i w:val="1"/>
          <w:iCs w:val="1"/>
          <w:color w:val="auto"/>
        </w:rPr>
        <w:t>Proposal No. 6—The Director Election Proposal</w:t>
      </w:r>
      <w:r>
        <w:rPr>
          <w:rFonts w:ascii="Arial" w:cs="Arial" w:eastAsia="Arial" w:hAnsi="Arial"/>
          <w:sz w:val="15"/>
          <w:szCs w:val="15"/>
          <w:color w:val="auto"/>
        </w:rPr>
        <w:t>.” In addition, beginning in September 2020, Samara Braunstein, the spouse of Douglas Braunstein, was engaged by Talkspace as a consultant, and on December 31, 2020, Talkspace entered into an employment letter agreement with Samara Braunstein to serve as its Chief Marketing Officer. The HEC Board did not consider the hiring of Samara Braunstein to be a material conflict of interest. For additional information on the terms of Samara Braunstein’s employment letter,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Person Transactions—Talkspace’s Related Party Transactions—Samara Braunstein Employment Letter Agreement.</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left="700" w:right="160" w:hanging="307"/>
        <w:spacing w:after="0" w:line="259"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HEC is unable to complete a business combination within the completion window, its executive officers will be personally liable under certain circumstances to ensure that the proceeds in the trust account are not reduced by the claims of target businesses or claims of vendors or other entities that are owed money by HEC for services rendered or contracted for or products sold to HEC. If HEC consummates a business combination, on the other hand, HEC will be liable for all such claims.</w:t>
      </w:r>
    </w:p>
    <w:p>
      <w:pPr>
        <w:spacing w:after="0" w:line="92" w:lineRule="exact"/>
        <w:rPr>
          <w:rFonts w:ascii="Arial" w:cs="Arial" w:eastAsia="Arial" w:hAnsi="Arial"/>
          <w:sz w:val="18"/>
          <w:szCs w:val="18"/>
          <w:color w:val="auto"/>
        </w:rPr>
      </w:pPr>
    </w:p>
    <w:p>
      <w:pPr>
        <w:ind w:left="700" w:right="60" w:hanging="307"/>
        <w:spacing w:after="0" w:line="257"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HEC’s officers and directors, and their affiliates are entitled to reimbursement of out-of-pocket expenses incurred by them in connection with certain activities on HEC’s behalf, such as identifying and investigating possible business targets and business combinations. However, if HEC fails to consummate a business combination within the completion window, they will not have any claim against the trust account for reimbursement. Accordingly, HEC may not be able to reimburse these expenses if the Transactions or another business combination, are not completed within the completion window.</w:t>
      </w:r>
    </w:p>
    <w:p>
      <w:pPr>
        <w:spacing w:after="0" w:line="93" w:lineRule="exact"/>
        <w:rPr>
          <w:rFonts w:ascii="Arial" w:cs="Arial" w:eastAsia="Arial" w:hAnsi="Arial"/>
          <w:sz w:val="18"/>
          <w:szCs w:val="18"/>
          <w:color w:val="auto"/>
        </w:rPr>
      </w:pPr>
    </w:p>
    <w:p>
      <w:pPr>
        <w:ind w:left="700" w:hanging="307"/>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continued indemnification of current directors and officers and the continuation of directors’ and officers’ liability insurance.</w:t>
      </w:r>
    </w:p>
    <w:p>
      <w:pPr>
        <w:spacing w:after="0" w:line="225" w:lineRule="exact"/>
        <w:rPr>
          <w:sz w:val="20"/>
          <w:szCs w:val="20"/>
          <w:color w:val="auto"/>
        </w:rPr>
      </w:pPr>
    </w:p>
    <w:p>
      <w:pPr>
        <w:ind w:left="300" w:right="220"/>
        <w:spacing w:after="0" w:line="277" w:lineRule="auto"/>
        <w:rPr>
          <w:sz w:val="20"/>
          <w:szCs w:val="20"/>
          <w:color w:val="auto"/>
        </w:rPr>
      </w:pPr>
      <w:r>
        <w:rPr>
          <w:rFonts w:ascii="Arial" w:cs="Arial" w:eastAsia="Arial" w:hAnsi="Arial"/>
          <w:sz w:val="18"/>
          <w:szCs w:val="18"/>
          <w:color w:val="auto"/>
        </w:rPr>
        <w:t>In considering the recommendation of the HEC Board to vote in favor of approval of the business combination proposal and the other proposals, stockholders should also keep in mind that the directors and officers of Talkspace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32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have interests in such proposals that are different from, or in addition to, those of HEC stockholders generally. These interests are described under “</w:t>
      </w:r>
      <w:r>
        <w:rPr>
          <w:rFonts w:ascii="Arial" w:cs="Arial" w:eastAsia="Arial" w:hAnsi="Arial"/>
          <w:sz w:val="18"/>
          <w:szCs w:val="18"/>
          <w:i w:val="1"/>
          <w:iCs w:val="1"/>
          <w:color w:val="auto"/>
        </w:rPr>
        <w:t>Interests of Directors and Executive Officers in the Business Combination</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Engagements in Connection with the Transactions</w:t>
      </w:r>
    </w:p>
    <w:p>
      <w:pPr>
        <w:spacing w:after="0" w:line="121"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Pursuant to the Engagement Letter, each of J.P. Morgan’s Equity Capital Markets group and Citigroup is acting as HEC’s joint placement agent and joint capital markets advisor. As placement agents, J.P. Morgan and Citigroup agreed to assist HEC in (i) identifying and contacting potential purchasers of the PIPE Investment, (ii) soliciting and receiving offers to purchase the PIPE Investment, (iii) assisting HEC in preparing an investor presentation and/or marketing materials for distribution to potential purchasers based entirely on information provided by HEC to such advisors and (iv) negotiating the financial aspects of the PIPE Investment. In their capacity as capital markets advisors, they agreed to (i) familiarize themselves with the financial condition and businesses of HEC and Talkspace, and assist HEC in reviewing Talkspace’s forecast of its projected operating performance, as well as assist HEC in reviewing and analyzing the historic operating and financial performance of companies in the same industries as Talkspace, (ii) provide advice to HEC and, following HEC’s request, Talkspace, on its investor communication strategy, (iii) together with HEC’s legal counsel and other third party advisors, assist HEC and Talkspace in formulating an investment thesis with respect to Talkspace, after giving effect to the Transactions, and together with HEC’s legal counsel and other third party advisors, in the preparation of materials to be presented by HEC and Talkspace to investors and/or third party research analysts, (iv) following HEC’s request, arrange investor meetings to be conducted by HEC and Talkspace with investors, (v) following HEC’s request, provide the HEC and Talkspace with feedback received by them from investors and (vi) following HEC’s request, provide HEC and Talkspace with periodic updates on the relevant public equity markets and their perspectives on trends in investor sentiment. In respect of such services, upon the consummation of the Transactions, each of J.P. Morgan’s Equity Capital Markets group and Citigroup will receive fees and expense reimbursements customary for a PIPE transaction (subject to the terms and conditions of the Engagement Letter) of this nature, and as such, J.P. Morgan’s Equity Capital Markets group and Citigroup may have conflicts of interest. HEC’s stockholders should consider these interests.</w:t>
      </w:r>
    </w:p>
    <w:p>
      <w:pPr>
        <w:spacing w:after="0" w:line="174"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For additional information on the deferred underwriting fees due to each of J.P. Morgan’s Equity Capital Markets group and Citigroup, see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Related to HEC—Initial Public Offering and Simultaneous Private Placement</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following the Business Combination</w:t>
      </w:r>
    </w:p>
    <w:p>
      <w:pPr>
        <w:spacing w:after="0" w:line="121"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Upon consummation of the Transactions, the HEC Board anticipates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successors are duly elected and qualified, or until their earlier resignation, removal or death.</w:t>
      </w:r>
    </w:p>
    <w:p>
      <w:pPr>
        <w:spacing w:after="0" w:line="157"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 and “</w:t>
      </w:r>
      <w:r>
        <w:rPr>
          <w:rFonts w:ascii="Arial" w:cs="Arial" w:eastAsia="Arial" w:hAnsi="Arial"/>
          <w:sz w:val="18"/>
          <w:szCs w:val="18"/>
          <w:i w:val="1"/>
          <w:iCs w:val="1"/>
          <w:color w:val="auto"/>
        </w:rPr>
        <w:t>Management of Talkspace, Inc.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Stockholders</w:t>
      </w:r>
    </w:p>
    <w:p>
      <w:pPr>
        <w:spacing w:after="0" w:line="121"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HEC Board believes that the business combination proposal and the other proposals to be presented at the special meeting are fair to and in the best interest of HEC’s stockholders and unanimously recommends that its stockholders vote “FOR” the business combination proposal, “FOR” the charter proposal, “FOR” the governance proposal, “FOR” the incentive plan proposal, “FOR” the ESPP proposal, “FOR” the director election proposal, “FOR” the Nasdaq proposal and “FOR” the adjournment proposal, if presented.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320" w:top="459" w:right="6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you consider the HEC Board’s recommendation of these proposals, you should keep in mind that our directors and officers have interests in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business combination that are different from, or in addition to, the interests of HEC stockholders generally. Please see the section entitled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Proposal No. 1—The Business Combination Proposal—Interests of Certain Persons in the Business Combination</w:t>
      </w:r>
      <w:r>
        <w:rPr>
          <w:rFonts w:ascii="Arial" w:cs="Arial" w:eastAsia="Arial" w:hAnsi="Arial"/>
          <w:sz w:val="16"/>
          <w:szCs w:val="16"/>
          <w:color w:val="auto"/>
        </w:rPr>
        <w:t>” for additional information.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HEC Board was aware of and considered these interests, among other matters, in evaluating and negotiating the Transactions and in recommending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HEC stockholders that they vote “FOR” the proposals presented at the special meeting.</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Closing of Transactions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Obligations of Each Party</w:t>
      </w:r>
    </w:p>
    <w:p>
      <w:pPr>
        <w:spacing w:after="0" w:line="117"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The obligations of each party to the Merger Agreement to consummate, or cause to be consummated, the Transactions are subject to the satisfaction of the following conditions, any one or more of which may be waived (if legally permitted) in writing by Talkspace and HEC:</w:t>
      </w:r>
    </w:p>
    <w:p>
      <w:pPr>
        <w:spacing w:after="0" w:line="52" w:lineRule="exact"/>
        <w:rPr>
          <w:sz w:val="20"/>
          <w:szCs w:val="20"/>
          <w:color w:val="auto"/>
        </w:rPr>
      </w:pPr>
    </w:p>
    <w:p>
      <w:pPr>
        <w:ind w:left="700" w:right="120" w:hanging="307"/>
        <w:spacing w:after="0" w:line="263"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waiting period(s) under the HSR Act in respect of the Transactions (and any extension thereof, or any timing agreements, understandings or commitments obtained by request or other action of the U.S. Federal Trade Commission and/or the U.S. Department of Justice, as applicable) shall have expired or been terminated;</w:t>
      </w:r>
    </w:p>
    <w:p>
      <w:pPr>
        <w:spacing w:after="0" w:line="89" w:lineRule="exact"/>
        <w:rPr>
          <w:rFonts w:ascii="Arial" w:cs="Arial" w:eastAsia="Arial" w:hAnsi="Arial"/>
          <w:sz w:val="18"/>
          <w:szCs w:val="18"/>
          <w:color w:val="auto"/>
        </w:rPr>
      </w:pPr>
    </w:p>
    <w:p>
      <w:pPr>
        <w:ind w:left="700" w:right="24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will not be in force any order, judgment, injunction, decree, writ, stipulation, determination or award, in each case, entered by or with any governmental authority, enjoining or prohibiting the consummation of the Transactions;</w:t>
      </w:r>
    </w:p>
    <w:p>
      <w:pPr>
        <w:spacing w:after="0" w:line="75" w:lineRule="exact"/>
        <w:rPr>
          <w:rFonts w:ascii="Arial" w:cs="Arial" w:eastAsia="Arial" w:hAnsi="Arial"/>
          <w:sz w:val="18"/>
          <w:szCs w:val="18"/>
          <w:color w:val="auto"/>
        </w:rPr>
      </w:pPr>
    </w:p>
    <w:p>
      <w:pPr>
        <w:ind w:left="700" w:right="2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HEC will have at least $5,000,001 of net tangible assets (as determined in accordance with Rule 3a51-1(g)(1) of the Exchange Act) remaining after redemptions by HEC stockholders;</w:t>
      </w:r>
    </w:p>
    <w:p>
      <w:pPr>
        <w:spacing w:after="0" w:line="75" w:lineRule="exact"/>
        <w:rPr>
          <w:rFonts w:ascii="Arial" w:cs="Arial" w:eastAsia="Arial" w:hAnsi="Arial"/>
          <w:sz w:val="18"/>
          <w:szCs w:val="18"/>
          <w:color w:val="auto"/>
        </w:rPr>
      </w:pPr>
    </w:p>
    <w:p>
      <w:pPr>
        <w:ind w:left="700" w:hanging="307"/>
        <w:spacing w:after="0" w:line="342" w:lineRule="auto"/>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HEC stockholders’ approval of the Condition Precedent Proposals, as described in this proxy statement/prospectus, will have been obtained in accordance with the DGCL, HEC’s governing documents and the rules and regulations of the Nasdaq (“</w:t>
      </w:r>
      <w:r>
        <w:rPr>
          <w:rFonts w:ascii="Arial" w:cs="Arial" w:eastAsia="Arial" w:hAnsi="Arial"/>
          <w:sz w:val="16"/>
          <w:szCs w:val="16"/>
          <w:i w:val="1"/>
          <w:iCs w:val="1"/>
          <w:color w:val="auto"/>
        </w:rPr>
        <w:t>HEC Stockholder Approval</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700" w:right="18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Talkspace stockholders’ approval of the Merger Agreement and the Transactions will have been obtained in accordance with the DGCL and Talkspace’s governing documents (“</w:t>
      </w:r>
      <w:r>
        <w:rPr>
          <w:rFonts w:ascii="Arial" w:cs="Arial" w:eastAsia="Arial" w:hAnsi="Arial"/>
          <w:sz w:val="18"/>
          <w:szCs w:val="18"/>
          <w:i w:val="1"/>
          <w:iCs w:val="1"/>
          <w:color w:val="auto"/>
        </w:rPr>
        <w:t>Talkspace Stockholder Approval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00" w:right="300" w:hanging="307"/>
        <w:spacing w:after="0" w:line="286" w:lineRule="auto"/>
        <w:tabs>
          <w:tab w:leader="none" w:pos="7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registration statement of which this proxy statement/prospectus forms a part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will have become effective under the Securities Act and no stop order suspending the effectiveness of the Registration Statement shall have been issued and no proceedings for that purpose shall have been initiated or threatened by the SEC and not withdrawn; and</w:t>
      </w:r>
    </w:p>
    <w:p>
      <w:pPr>
        <w:spacing w:after="0" w:line="70" w:lineRule="exact"/>
        <w:rPr>
          <w:rFonts w:ascii="Arial" w:cs="Arial" w:eastAsia="Arial" w:hAnsi="Arial"/>
          <w:sz w:val="17"/>
          <w:szCs w:val="17"/>
          <w:color w:val="auto"/>
        </w:rPr>
      </w:pPr>
    </w:p>
    <w:p>
      <w:pPr>
        <w:ind w:left="700" w:right="26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of Talkspace, Inc. common stock to be issued in connection with the business combination and the other Transactions shall have been approved for listing on the Nasdaq.</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Obligations of the HEC Parties</w:t>
      </w:r>
    </w:p>
    <w:p>
      <w:pPr>
        <w:spacing w:after="0" w:line="117"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The obligations of the HEC Parties to consummate, or cause to be consummated, the Transactions are subject to the satisfaction of the following additional conditions, any one or more of which may be waived in writing by HEC:</w:t>
      </w:r>
    </w:p>
    <w:p>
      <w:pPr>
        <w:spacing w:after="0" w:line="76" w:lineRule="exact"/>
        <w:rPr>
          <w:sz w:val="20"/>
          <w:szCs w:val="20"/>
          <w:color w:val="auto"/>
        </w:rPr>
      </w:pPr>
    </w:p>
    <w:p>
      <w:pPr>
        <w:ind w:left="700" w:right="60" w:hanging="307"/>
        <w:spacing w:after="0" w:line="296" w:lineRule="auto"/>
        <w:tabs>
          <w:tab w:leader="none" w:pos="7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certain of the representations and warranties of Talkspace pertaining to its corporate organization and due authorization will be true and correct (without giving any effect to any limitation as to “materiality” or “Material Adverse Effect” or any similar limitation set forth therein) in all material respects as of the Closing Date and certain representations and warranties of Talkspace pertaining to its capitalization will be true and correct in all respects other than de minimis inaccuracies as of the Closing Date as though then made (except to the extent such representations and warranties expressly relate to an earlier date, and in such case, will be true and correct on and as of such earlier date);</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32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representations and warranties of Talkspace pertaining to absence of changes will be true and correct in all respects as of the Closing Date;</w:t>
      </w:r>
    </w:p>
    <w:p>
      <w:pPr>
        <w:spacing w:after="0" w:line="153" w:lineRule="exact"/>
        <w:rPr>
          <w:rFonts w:ascii="Arial" w:cs="Arial" w:eastAsia="Arial" w:hAnsi="Arial"/>
          <w:sz w:val="16"/>
          <w:szCs w:val="16"/>
          <w:color w:val="auto"/>
        </w:rPr>
      </w:pPr>
    </w:p>
    <w:p>
      <w:pPr>
        <w:ind w:left="700" w:right="180" w:hanging="307"/>
        <w:spacing w:after="0" w:line="275"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of the remaining representations and warranties of Talkspace will be true and correct (without giving any effect to any limitation as to “materiality” or “Material Adverse Effect” or any similar limitation set forth therein) as of the Closing Date (except to the extent such representations and warranties expressly relate to an earlier date, and in such case, will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81" w:lineRule="exact"/>
        <w:rPr>
          <w:rFonts w:ascii="Arial" w:cs="Arial" w:eastAsia="Arial" w:hAnsi="Arial"/>
          <w:sz w:val="17"/>
          <w:szCs w:val="17"/>
          <w:color w:val="auto"/>
        </w:rPr>
      </w:pPr>
    </w:p>
    <w:p>
      <w:pPr>
        <w:ind w:left="700" w:right="40" w:hanging="307"/>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Talkspace will have delivered to HEC a certificate signed by an officer of Talkspace,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jc w:val="both"/>
        <w:ind w:left="700" w:right="360" w:hanging="307"/>
        <w:spacing w:after="0" w:line="342" w:lineRule="auto"/>
        <w:tabs>
          <w:tab w:leader="none" w:pos="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of the covenants and agreements of Talkspace to be performed as of or prior to the Closing will have been performed in all material respects (subject to a 20-day cure period and except for certain actions to be taken in connection with the Pre-Closing Restructuring); and</w:t>
      </w:r>
    </w:p>
    <w:p>
      <w:pPr>
        <w:spacing w:after="0" w:line="29" w:lineRule="exact"/>
        <w:rPr>
          <w:rFonts w:ascii="Arial" w:cs="Arial" w:eastAsia="Arial" w:hAnsi="Arial"/>
          <w:sz w:val="16"/>
          <w:szCs w:val="16"/>
          <w:color w:val="auto"/>
        </w:rPr>
      </w:pPr>
    </w:p>
    <w:p>
      <w:pPr>
        <w:ind w:left="700" w:right="240" w:hanging="307"/>
        <w:spacing w:after="0" w:line="259"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or prior to the Closing, Talkspace will have delivered, or caused to be delivered, to HEC (i) certified copies of the amended (or amended and restated) governing documents of Talkspace, duly approved and adopted by the board of directors of Talkspace and the stockholders of Talkspace in connection with the Pre-Closing Restructuring and (ii) a copy of the Registration Rights Agreement, duly executed by each holder of Talkspace stock party thereto.</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Obligations of Talkspace</w:t>
      </w:r>
    </w:p>
    <w:p>
      <w:pPr>
        <w:spacing w:after="0" w:line="117" w:lineRule="exact"/>
        <w:rPr>
          <w:sz w:val="20"/>
          <w:szCs w:val="20"/>
          <w:color w:val="auto"/>
        </w:rPr>
      </w:pPr>
    </w:p>
    <w:p>
      <w:pPr>
        <w:ind w:left="300" w:right="680"/>
        <w:spacing w:after="0" w:line="277" w:lineRule="auto"/>
        <w:rPr>
          <w:sz w:val="20"/>
          <w:szCs w:val="20"/>
          <w:color w:val="auto"/>
        </w:rPr>
      </w:pPr>
      <w:r>
        <w:rPr>
          <w:rFonts w:ascii="Arial" w:cs="Arial" w:eastAsia="Arial" w:hAnsi="Arial"/>
          <w:sz w:val="18"/>
          <w:szCs w:val="18"/>
          <w:color w:val="auto"/>
        </w:rPr>
        <w:t>The obligations of Talkspace to consummate, or cause to be consummated, the Transactions are subject to the satisfaction of the following additional conditions, any one or more of which may be waived in writing by Talkspace:</w:t>
      </w:r>
    </w:p>
    <w:p>
      <w:pPr>
        <w:spacing w:after="0" w:line="76" w:lineRule="exact"/>
        <w:rPr>
          <w:sz w:val="20"/>
          <w:szCs w:val="20"/>
          <w:color w:val="auto"/>
        </w:rPr>
      </w:pPr>
    </w:p>
    <w:p>
      <w:pPr>
        <w:ind w:left="700" w:right="240" w:hanging="307"/>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HEC Parties regarding its capitalization, as provided for in the Merger Agreement, will be true and correct other than de minimis inaccuracies as of the Closing Date, as though then made;</w:t>
      </w:r>
    </w:p>
    <w:p>
      <w:pPr>
        <w:spacing w:after="0" w:line="75" w:lineRule="exact"/>
        <w:rPr>
          <w:rFonts w:ascii="Arial" w:cs="Arial" w:eastAsia="Arial" w:hAnsi="Arial"/>
          <w:sz w:val="18"/>
          <w:szCs w:val="18"/>
          <w:color w:val="auto"/>
        </w:rPr>
      </w:pPr>
    </w:p>
    <w:p>
      <w:pPr>
        <w:ind w:left="700" w:right="20" w:hanging="307"/>
        <w:spacing w:after="0" w:line="259"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the remaining representations and warranties of the HEC Parties will be true and correct (without giving any effect to any limitation as to “materiality” or “Material Adverse Effect” or any similar limitation set forth therein) in all material respects as of the Closing Date (except to the extent such representations and warranties expressly relate to an earlier date, and in such case, will be true and correct on and as of such earlier date);</w:t>
      </w:r>
    </w:p>
    <w:p>
      <w:pPr>
        <w:spacing w:after="0" w:line="92"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HEC will have delivered to Talkspace a certificate signed by an officer of HEC,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ind w:left="700" w:right="600" w:hanging="307"/>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the covenants and agreements of the HEC Parties to be performed as of or prior to the Closing will have been performed in all material respects (subject to a 20-day cure period or if earlier, the Termination Date);</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Available Closing HEC Cash will not be less than $400,000,000; and</w:t>
      </w:r>
    </w:p>
    <w:p>
      <w:pPr>
        <w:spacing w:after="0" w:line="130" w:lineRule="exact"/>
        <w:rPr>
          <w:rFonts w:ascii="Arial" w:cs="Arial" w:eastAsia="Arial" w:hAnsi="Arial"/>
          <w:sz w:val="18"/>
          <w:szCs w:val="18"/>
          <w:color w:val="auto"/>
        </w:rPr>
      </w:pPr>
    </w:p>
    <w:p>
      <w:pPr>
        <w:ind w:left="700" w:right="40" w:hanging="307"/>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or prior to the Closing, HEC will have delivered, or caused to be delivered, to Talkspace a copy of the Registration Rights Agreement, duly executed by the Sponsor.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HEC will be treated as the “acquired” company for financial reporting purposes. Accordingly, the business combination will be treated as the equivalent of Talkspace issuing stock for the net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assets of HEC, accompanied by a recapitalization. The net assets of HEC will be stated at historical cost, with no goodwill or other intangible assets recorded. Operations prior to the business combination will be those of Talkspace. See the accounting treatment discussed elsewhere in this proxy statement/prospectus.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300" w:right="40"/>
        <w:spacing w:after="0" w:line="288" w:lineRule="auto"/>
        <w:rPr>
          <w:sz w:val="20"/>
          <w:szCs w:val="20"/>
          <w:color w:val="auto"/>
        </w:rPr>
      </w:pPr>
      <w:r>
        <w:rPr>
          <w:rFonts w:ascii="Arial" w:cs="Arial" w:eastAsia="Arial" w:hAnsi="Arial"/>
          <w:sz w:val="16"/>
          <w:szCs w:val="16"/>
          <w:color w:val="auto"/>
        </w:rPr>
        <w:t>Under the HSR Act and the rules that have been promulgated thereunder by the Federal Trade Commission (the “</w:t>
      </w:r>
      <w:r>
        <w:rPr>
          <w:rFonts w:ascii="Arial" w:cs="Arial" w:eastAsia="Arial" w:hAnsi="Arial"/>
          <w:sz w:val="16"/>
          <w:szCs w:val="16"/>
          <w:i w:val="1"/>
          <w:iCs w:val="1"/>
          <w:color w:val="auto"/>
        </w:rPr>
        <w:t>FTC</w:t>
      </w:r>
      <w:r>
        <w:rPr>
          <w:rFonts w:ascii="Arial" w:cs="Arial" w:eastAsia="Arial" w:hAnsi="Arial"/>
          <w:sz w:val="16"/>
          <w:szCs w:val="16"/>
          <w:color w:val="auto"/>
        </w:rPr>
        <w:t>”), certain transactions may not be consummated unless information has been furnished to the Antitrust Division of the Department of Justice (the “</w:t>
      </w:r>
      <w:r>
        <w:rPr>
          <w:rFonts w:ascii="Arial" w:cs="Arial" w:eastAsia="Arial" w:hAnsi="Arial"/>
          <w:sz w:val="16"/>
          <w:szCs w:val="16"/>
          <w:i w:val="1"/>
          <w:iCs w:val="1"/>
          <w:color w:val="auto"/>
        </w:rPr>
        <w:t>Antitrust Division</w:t>
      </w:r>
      <w:r>
        <w:rPr>
          <w:rFonts w:ascii="Arial" w:cs="Arial" w:eastAsia="Arial" w:hAnsi="Arial"/>
          <w:sz w:val="16"/>
          <w:szCs w:val="16"/>
          <w:color w:val="auto"/>
        </w:rPr>
        <w:t>”) and the FTC and certain waiting period requirements have been satisfied. The Transactions are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issues a Request For Additional Information and Documentary Materials (a “</w:t>
      </w:r>
      <w:r>
        <w:rPr>
          <w:rFonts w:ascii="Arial" w:cs="Arial" w:eastAsia="Arial" w:hAnsi="Arial"/>
          <w:sz w:val="16"/>
          <w:szCs w:val="16"/>
          <w:i w:val="1"/>
          <w:iCs w:val="1"/>
          <w:color w:val="auto"/>
        </w:rPr>
        <w:t>Second Request</w:t>
      </w:r>
      <w:r>
        <w:rPr>
          <w:rFonts w:ascii="Arial" w:cs="Arial" w:eastAsia="Arial" w:hAnsi="Arial"/>
          <w:sz w:val="16"/>
          <w:szCs w:val="16"/>
          <w:color w:val="auto"/>
        </w:rPr>
        <w:t>”) within the initial 30-day waiting period, the waiting period with respect to the Transactions will be extended for an additional period of 30 calendar days, which will begin on the date on which the filing parties each certify compliance with the Second Request. Complying with a Second Request can take a significant period of time. On January 27, 2021, HEC and Talkspace filed the required forms under the HSR Act with the Antitrust Division and the FTC. The initial 30-day waiting period with respect to the Transactions, which cannot expire on a Saturday, Sunday or a U.S. federal holiday, expired at 11:59 p.m. Eastern Time on February 26, 2021.</w:t>
      </w:r>
    </w:p>
    <w:p>
      <w:pPr>
        <w:spacing w:after="0" w:line="16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At any time before or after consummation of the Transactions, notwithstanding termination of the waiting period under the HSR Act, the applicable competition authorities could take such action under applicable antitrust laws as each deems necessary or desirable in the public interest, including seeking to enjoin the consummation of the Transactions. Private parties may also seek to take legal action under the antitrust laws under certain circumstances. There is no assurance that the Antitrust Division, the FTC, any state attorney general, or any other government authority will not attempt to challenge the Transactions on antitrust grounds, and, if such a challenge is made, we cannot assure you as to its result.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March 2021 Talkspace Contingency Plan and Credit Facility</w:t>
      </w:r>
    </w:p>
    <w:p>
      <w:pPr>
        <w:spacing w:after="0" w:line="121" w:lineRule="exact"/>
        <w:rPr>
          <w:sz w:val="20"/>
          <w:szCs w:val="20"/>
          <w:color w:val="auto"/>
        </w:rPr>
      </w:pPr>
    </w:p>
    <w:p>
      <w:pPr>
        <w:ind w:left="300" w:right="40"/>
        <w:spacing w:after="0" w:line="253" w:lineRule="auto"/>
        <w:rPr>
          <w:sz w:val="20"/>
          <w:szCs w:val="20"/>
          <w:color w:val="auto"/>
        </w:rPr>
      </w:pPr>
      <w:r>
        <w:rPr>
          <w:rFonts w:ascii="Arial" w:cs="Arial" w:eastAsia="Arial" w:hAnsi="Arial"/>
          <w:sz w:val="18"/>
          <w:szCs w:val="18"/>
          <w:color w:val="auto"/>
        </w:rPr>
        <w:t>On March 15, 2021, Talkspace’s board of directors approved a contingency plan, to be effected if needed, in whole or in part, at management’s sole discretion, to allow Talkspace to continue its operations and meet its cash obligations. Talkspace’s board of directors required the contingency plan to be developed in conjunction with Talkspace’s entry into the Credit Agreement (as defined below), and the contingency plan would only be implemented if the Transactions are not completed. The contingency plan will not be implemented if the Transactions are completed. The contingency plan consists of cost reduction, which includes mainly the following steps: reduction in marketing expenses, employee headcount, subcontractor and freelancer headcount and capital expenditures. If the contingency plan were implemented, Talkspace would expect there to be a significant reduction in revenues from its B2C channel, a reduced loss and a reduction in required operating cash. Talkspace believes that its existing capital resources will be adequate to satisfy its expected liquidity requirements for at least twelve months from the date of this proxy statement/prospectus.</w:t>
      </w:r>
    </w:p>
    <w:p>
      <w:pPr>
        <w:spacing w:after="0" w:line="196" w:lineRule="exact"/>
        <w:rPr>
          <w:sz w:val="20"/>
          <w:szCs w:val="20"/>
          <w:color w:val="auto"/>
        </w:rPr>
      </w:pPr>
    </w:p>
    <w:p>
      <w:pPr>
        <w:ind w:left="300" w:right="160"/>
        <w:spacing w:after="0" w:line="255" w:lineRule="auto"/>
        <w:rPr>
          <w:sz w:val="20"/>
          <w:szCs w:val="20"/>
          <w:color w:val="auto"/>
        </w:rPr>
      </w:pPr>
      <w:r>
        <w:rPr>
          <w:rFonts w:ascii="Arial" w:cs="Arial" w:eastAsia="Arial" w:hAnsi="Arial"/>
          <w:sz w:val="18"/>
          <w:szCs w:val="18"/>
          <w:color w:val="auto"/>
        </w:rPr>
        <w:t>On March 15, 2021, Talkspace entered into a credit and security agreement (the “Credit Agreement) by and among, Talkspace and Talkspace Network LLC, as borrowers (each and collectively, jointly and severally, “Borrower”) and JPMorgan Chase Bank, N.A. and the other loan parties party thereto to provide Borrower with a term loan of up to $15.0 million,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 million, available for a period of two years from the effective date of the Credit Agreement.</w:t>
      </w:r>
    </w:p>
    <w:p>
      <w:pPr>
        <w:spacing w:after="0" w:line="192"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In accordance with the Credit Agreement entered into on March 15, 2021, Talkspace issued a warrant (the “</w:t>
      </w:r>
      <w:r>
        <w:rPr>
          <w:rFonts w:ascii="Arial" w:cs="Arial" w:eastAsia="Arial" w:hAnsi="Arial"/>
          <w:sz w:val="18"/>
          <w:szCs w:val="18"/>
          <w:i w:val="1"/>
          <w:iCs w:val="1"/>
          <w:color w:val="auto"/>
        </w:rPr>
        <w:t>Warrant</w:t>
      </w:r>
      <w:r>
        <w:rPr>
          <w:rFonts w:ascii="Arial" w:cs="Arial" w:eastAsia="Arial" w:hAnsi="Arial"/>
          <w:sz w:val="18"/>
          <w:szCs w:val="18"/>
          <w:color w:val="auto"/>
        </w:rPr>
        <w:t>”) to JPMorgan Chase Bank, N.A. to purchase 114,454 shares at an exercise price of $0.01 per share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9" w:lineRule="auto"/>
        <w:rPr>
          <w:sz w:val="20"/>
          <w:szCs w:val="20"/>
          <w:color w:val="auto"/>
        </w:rPr>
      </w:pPr>
      <w:r>
        <w:rPr>
          <w:rFonts w:ascii="Arial" w:cs="Arial" w:eastAsia="Arial" w:hAnsi="Arial"/>
          <w:sz w:val="17"/>
          <w:szCs w:val="17"/>
          <w:color w:val="auto"/>
        </w:rPr>
        <w:t>the case that, prior to June 30, 2021, Talkspace has neither (i) closed the Transactions nor (ii) received net proceeds of at least twenty million dollars ($20,000,000) in connection with the issuance of additional equity interests. If Talkspace either closes the Transactions or receives such net proceeds from an equity issuance prior to June 30, 2021, the Warrant will be exercisable for zero shares and will automatically terminate. Otherwise, the Warrant will be exercisable until March 15, 2031 unless earlier terminated by the lender.</w:t>
      </w:r>
    </w:p>
    <w:p>
      <w:pPr>
        <w:spacing w:after="0" w:line="171" w:lineRule="exact"/>
        <w:rPr>
          <w:sz w:val="20"/>
          <w:szCs w:val="20"/>
          <w:color w:val="auto"/>
        </w:rPr>
      </w:pPr>
    </w:p>
    <w:p>
      <w:pPr>
        <w:ind w:left="300" w:right="500"/>
        <w:spacing w:after="0" w:line="277" w:lineRule="auto"/>
        <w:rPr>
          <w:sz w:val="20"/>
          <w:szCs w:val="20"/>
          <w:color w:val="auto"/>
        </w:rPr>
      </w:pPr>
      <w:r>
        <w:rPr>
          <w:rFonts w:ascii="Arial" w:cs="Arial" w:eastAsia="Arial" w:hAnsi="Arial"/>
          <w:sz w:val="18"/>
          <w:szCs w:val="18"/>
          <w:color w:val="auto"/>
        </w:rPr>
        <w:t>For further information, please see “</w:t>
      </w:r>
      <w:r>
        <w:rPr>
          <w:rFonts w:ascii="Arial" w:cs="Arial" w:eastAsia="Arial" w:hAnsi="Arial"/>
          <w:sz w:val="18"/>
          <w:szCs w:val="18"/>
          <w:i w:val="1"/>
          <w:iCs w:val="1"/>
          <w:color w:val="auto"/>
        </w:rPr>
        <w:t>Talkspace’s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70"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Neither HEC nor Talkspace is aware of any material regulatory approvals or actions that are required for completion of the Transactions. It is presently contemplated that if any such additional regulatory approvals or actions are required, those approvals or actions will be sought. There can be no assurance, however, that any additional approvals or actions will be obtained.</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600"/>
        <w:spacing w:after="0" w:line="277" w:lineRule="auto"/>
        <w:rPr>
          <w:sz w:val="20"/>
          <w:szCs w:val="20"/>
          <w:color w:val="auto"/>
        </w:rPr>
      </w:pPr>
      <w:r>
        <w:rPr>
          <w:rFonts w:ascii="Arial" w:cs="Arial" w:eastAsia="Arial" w:hAnsi="Arial"/>
          <w:sz w:val="18"/>
          <w:szCs w:val="18"/>
          <w:color w:val="auto"/>
        </w:rPr>
        <w:t>In evaluating the proposals to be presented at the special meeting, you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risk factors include, but are not limited to, the following:</w:t>
      </w:r>
    </w:p>
    <w:p>
      <w:pPr>
        <w:spacing w:after="0" w:line="131" w:lineRule="exact"/>
        <w:rPr>
          <w:sz w:val="20"/>
          <w:szCs w:val="20"/>
          <w:color w:val="auto"/>
        </w:rPr>
      </w:pPr>
    </w:p>
    <w:p>
      <w:pPr>
        <w:ind w:left="1240" w:hanging="415"/>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Talkspace has a history of losses, which Talkspace expects to continue, and Talkspace may never achieve or sustain profitability.</w:t>
      </w:r>
    </w:p>
    <w:p>
      <w:pPr>
        <w:spacing w:after="0" w:line="153" w:lineRule="exact"/>
        <w:rPr>
          <w:rFonts w:ascii="Arial" w:cs="Arial" w:eastAsia="Arial" w:hAnsi="Arial"/>
          <w:sz w:val="16"/>
          <w:szCs w:val="16"/>
          <w:color w:val="auto"/>
        </w:rPr>
      </w:pPr>
    </w:p>
    <w:p>
      <w:pPr>
        <w:ind w:left="1240" w:hanging="415"/>
        <w:spacing w:after="0" w:line="277"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Talkspace’s business and the markets it operate in are new and rapidly evolving which makes it difficult to evaluate Talkspace’s future prospects and the risks and challenges it may encounter.</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Talkspace may not grow at the rates it historically has achieved or at all, even if its key metrics may indicate growth, which could have a material adverse effect on the market price of Talkspace, Inc. common stock.</w:t>
      </w:r>
    </w:p>
    <w:p>
      <w:pPr>
        <w:spacing w:after="0" w:line="75" w:lineRule="exact"/>
        <w:rPr>
          <w:rFonts w:ascii="Arial" w:cs="Arial" w:eastAsia="Arial" w:hAnsi="Arial"/>
          <w:sz w:val="18"/>
          <w:szCs w:val="18"/>
          <w:color w:val="auto"/>
        </w:rPr>
      </w:pPr>
    </w:p>
    <w:p>
      <w:pPr>
        <w:jc w:val="both"/>
        <w:ind w:left="1240" w:right="240" w:hanging="415"/>
        <w:spacing w:after="0" w:line="263"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virtual behavioral health market is immature and volatile, and if it does not develop, if it develops more slowly than Talkspace expects, if Talkspace encounters negative publicity or if Talkspace’s services are not competitive, the growth of its business will be harmed.</w:t>
      </w:r>
    </w:p>
    <w:p>
      <w:pPr>
        <w:spacing w:after="0" w:line="89" w:lineRule="exact"/>
        <w:rPr>
          <w:rFonts w:ascii="Arial" w:cs="Arial" w:eastAsia="Arial" w:hAnsi="Arial"/>
          <w:sz w:val="18"/>
          <w:szCs w:val="18"/>
          <w:color w:val="auto"/>
        </w:rPr>
      </w:pPr>
    </w:p>
    <w:p>
      <w:pPr>
        <w:ind w:left="1240" w:right="440" w:hanging="415"/>
        <w:spacing w:after="0" w:line="342" w:lineRule="auto"/>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outbreak of the novel coronavirus (COVID-19) and its impact on business and economic conditions could adversely affect Talkspace’s business, results of operations and financial condition, and the extent and duration of those effects will be uncertain.</w:t>
      </w:r>
    </w:p>
    <w:p>
      <w:pPr>
        <w:spacing w:after="0" w:line="29" w:lineRule="exact"/>
        <w:rPr>
          <w:rFonts w:ascii="Arial" w:cs="Arial" w:eastAsia="Arial" w:hAnsi="Arial"/>
          <w:sz w:val="16"/>
          <w:szCs w:val="16"/>
          <w:color w:val="auto"/>
        </w:rPr>
      </w:pPr>
    </w:p>
    <w:p>
      <w:pPr>
        <w:ind w:left="1240" w:right="500" w:hanging="415"/>
        <w:spacing w:after="0" w:line="277"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Talkspace operates in a competitive industry, and if Talkspace is not able to compete effectively, Talkspace’s business, financial condition and results of operations will be harmed.</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growth in the number of clients and members or providers on Talkspace’s platform decreases, or the number of products or services that Talkspace is able to sell to its clients and members decreases, due to legal, economic or business developments, Talkspace’s business, financial condition and results of operations will be harmed.</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Talkspace may be unsuccessful in achieving broad market education and changing consumer purchasing habits.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Talkspace’s growth depends in part on the success of its strategic relationships with third parties that Talkspace provide services to.</w:t>
      </w:r>
    </w:p>
    <w:p>
      <w:pPr>
        <w:spacing w:after="0" w:line="153" w:lineRule="exact"/>
        <w:rPr>
          <w:rFonts w:ascii="Arial" w:cs="Arial" w:eastAsia="Arial" w:hAnsi="Arial"/>
          <w:sz w:val="16"/>
          <w:szCs w:val="16"/>
          <w:color w:val="auto"/>
        </w:rPr>
      </w:pPr>
    </w:p>
    <w:p>
      <w:pPr>
        <w:ind w:left="1240" w:hanging="415"/>
        <w:spacing w:after="0" w:line="263"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Talkspace’s virtual behavioral healthcare strategies depend on its ability to maintain and expand its network of therapists, psychiatrists and other providers. If Talkspace is unable to do so, Talkspace’s future growth would be limited and its business, financial condition and results of operations would be harmed.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320" w:top="459" w:right="6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Developments affecting spending by the healthcare industry could adversely affect Talkspace’s business.</w:t>
      </w:r>
    </w:p>
    <w:p>
      <w:pPr>
        <w:spacing w:after="0" w:line="130"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Talkspace’s business could be adversely affected by legal challenges to its business model or by actions restricting its ability to provide the full range of Talkspace’s services in certain jurisdictions.</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Talkspace is dependent on its relationships with affiliated professional entities, which Talkspace does not own, to provide physician and other professional services, and Talkspace’s business, financial condition and its ability to operate in certain jurisdictions would be adversely affected if those relationships were disrupted or if Talkspace’s arrangements with its providers or clients are found to violate state laws prohibiting the corporate practice of medicine or fee splitting.</w:t>
      </w:r>
    </w:p>
    <w:p>
      <w:pPr>
        <w:spacing w:after="0" w:line="92" w:lineRule="exact"/>
        <w:rPr>
          <w:rFonts w:ascii="Arial" w:cs="Arial" w:eastAsia="Arial" w:hAnsi="Arial"/>
          <w:sz w:val="18"/>
          <w:szCs w:val="18"/>
          <w:color w:val="auto"/>
        </w:rPr>
      </w:pPr>
    </w:p>
    <w:p>
      <w:pPr>
        <w:ind w:left="1240" w:right="160" w:hanging="415"/>
        <w:spacing w:after="0" w:line="308" w:lineRule="auto"/>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impact on us of recent healthcare legislation and other changes in the healthcare industry and in healthcare spending is currently unknown, but may adversely affect Talkspace’s business, financial condition and results of operations.</w:t>
      </w:r>
    </w:p>
    <w:p>
      <w:pPr>
        <w:spacing w:after="0" w:line="51" w:lineRule="exact"/>
        <w:rPr>
          <w:rFonts w:ascii="Arial" w:cs="Arial" w:eastAsia="Arial" w:hAnsi="Arial"/>
          <w:sz w:val="17"/>
          <w:szCs w:val="17"/>
          <w:color w:val="auto"/>
        </w:rPr>
      </w:pPr>
    </w:p>
    <w:p>
      <w:pPr>
        <w:ind w:left="1240" w:right="260" w:hanging="415"/>
        <w:spacing w:after="0" w:line="263"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Talkspace’s ability to generate net revenues and could adversely affect its ability to collect proprietary data on consumer behavior.</w:t>
      </w:r>
    </w:p>
    <w:p>
      <w:pPr>
        <w:spacing w:after="0" w:line="89" w:lineRule="exact"/>
        <w:rPr>
          <w:rFonts w:ascii="Arial" w:cs="Arial" w:eastAsia="Arial" w:hAnsi="Arial"/>
          <w:sz w:val="18"/>
          <w:szCs w:val="18"/>
          <w:color w:val="auto"/>
        </w:rPr>
      </w:pPr>
    </w:p>
    <w:p>
      <w:pPr>
        <w:ind w:left="1240" w:right="260" w:hanging="415"/>
        <w:spacing w:after="0" w:line="259"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Talkspace’s use and disclosure of personally identifiable information, including PHI, personal data, and other health information, is subject to state, federal or other privacy and security regulations, and Talkspace’s failure to comply with those regulations or to adequately secure the information it holds could result in significant liability or reputational harm and, in turn, a material adverse effect on Talkspace client base and member bases and revenue.</w:t>
      </w:r>
    </w:p>
    <w:p>
      <w:pPr>
        <w:spacing w:after="0" w:line="92"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failure to protect, enforce or defend Talkspace’s intellectual property rights could impair its ability to protect our technology and our brand.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Talkspace may be subject to securities litigation, which is expensive and could divert management attention.</w:t>
      </w:r>
    </w:p>
    <w:p>
      <w:pPr>
        <w:spacing w:after="0" w:line="130" w:lineRule="exact"/>
        <w:rPr>
          <w:rFonts w:ascii="Arial" w:cs="Arial" w:eastAsia="Arial" w:hAnsi="Arial"/>
          <w:sz w:val="18"/>
          <w:szCs w:val="18"/>
          <w:color w:val="auto"/>
        </w:rPr>
      </w:pPr>
    </w:p>
    <w:p>
      <w:pPr>
        <w:ind w:left="1240" w:right="700" w:hanging="415"/>
        <w:spacing w:after="0" w:line="277"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Sponsor and the HEC Insiders have agreed to vote in favor of the business combination, regardless of how HEC’s public stockholders vote.</w:t>
      </w:r>
    </w:p>
    <w:p>
      <w:pPr>
        <w:spacing w:after="0" w:line="75" w:lineRule="exact"/>
        <w:rPr>
          <w:rFonts w:ascii="Arial" w:cs="Arial" w:eastAsia="Arial" w:hAnsi="Arial"/>
          <w:sz w:val="18"/>
          <w:szCs w:val="18"/>
          <w:color w:val="auto"/>
        </w:rPr>
      </w:pPr>
    </w:p>
    <w:p>
      <w:pPr>
        <w:jc w:val="both"/>
        <w:ind w:left="1240" w:right="20" w:hanging="415"/>
        <w:spacing w:after="0" w:line="263"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Sponsor, certain members of the HEC Board and certain HEC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89"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HEC Board did not obtain a third-party valuation or fairness opinion in determining whether or not to proceed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HEC’S SUMMARY HISTORICAL FINANCIAL INFORMATION (As Restated)</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HEC is providing the following summary historical financial information to assist you in your analysis of the financial aspects of the Transactions.</w:t>
      </w:r>
    </w:p>
    <w:p>
      <w:pPr>
        <w:spacing w:after="0" w:line="237" w:lineRule="exact"/>
        <w:rPr>
          <w:sz w:val="20"/>
          <w:szCs w:val="20"/>
          <w:color w:val="auto"/>
        </w:rPr>
      </w:pPr>
    </w:p>
    <w:p>
      <w:pPr>
        <w:ind w:left="300" w:right="220"/>
        <w:spacing w:after="0" w:line="296" w:lineRule="auto"/>
        <w:rPr>
          <w:sz w:val="20"/>
          <w:szCs w:val="20"/>
          <w:color w:val="auto"/>
        </w:rPr>
      </w:pPr>
      <w:r>
        <w:rPr>
          <w:rFonts w:ascii="Arial" w:cs="Arial" w:eastAsia="Arial" w:hAnsi="Arial"/>
          <w:sz w:val="16"/>
          <w:szCs w:val="16"/>
          <w:color w:val="auto"/>
        </w:rPr>
        <w:t>HEC’s balance sheet data as of December 31, 2020 (As Restated) and statement of operations data for the period from February 6, 2020 (inception) through December 31, 2020 (As Restated) are derived from HEC’s audited financial statements, included elsewhere in this proxy statement/prospectus. HEC’s condensed consolidated balance sheet data as of March 31, 2021 and condensed consolidated statement of operations data for the three months ended March 31, 2021 and the period from February 6, 2020 (inception) through March 31, 2020 is derived from HEC’s unaudited consolidated financial statements for the three months ended March 31, 2021, included elsewhere in this proxy statement/prospectus.</w:t>
      </w:r>
    </w:p>
    <w:p>
      <w:pPr>
        <w:spacing w:after="0" w:line="161" w:lineRule="exact"/>
        <w:rPr>
          <w:sz w:val="20"/>
          <w:szCs w:val="20"/>
          <w:color w:val="auto"/>
        </w:rPr>
      </w:pPr>
    </w:p>
    <w:p>
      <w:pPr>
        <w:ind w:left="300" w:right="440"/>
        <w:spacing w:after="0" w:line="286" w:lineRule="auto"/>
        <w:rPr>
          <w:sz w:val="20"/>
          <w:szCs w:val="20"/>
          <w:color w:val="auto"/>
        </w:rPr>
      </w:pPr>
      <w:r>
        <w:rPr>
          <w:rFonts w:ascii="Arial" w:cs="Arial" w:eastAsia="Arial" w:hAnsi="Arial"/>
          <w:sz w:val="17"/>
          <w:szCs w:val="17"/>
          <w:color w:val="auto"/>
        </w:rPr>
        <w:t>The information is only a summary and should be read in conjunction with HEC’s financial statements and related notes and “</w:t>
      </w:r>
      <w:r>
        <w:rPr>
          <w:rFonts w:ascii="Arial" w:cs="Arial" w:eastAsia="Arial" w:hAnsi="Arial"/>
          <w:sz w:val="17"/>
          <w:szCs w:val="17"/>
          <w:i w:val="1"/>
          <w:iCs w:val="1"/>
          <w:color w:val="auto"/>
        </w:rPr>
        <w:t>Other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HEC</w:t>
      </w:r>
      <w:r>
        <w:rPr>
          <w:rFonts w:ascii="Arial" w:cs="Arial" w:eastAsia="Arial" w:hAnsi="Arial"/>
          <w:sz w:val="17"/>
          <w:szCs w:val="17"/>
          <w:color w:val="auto"/>
        </w:rPr>
        <w:t>” and “</w:t>
      </w:r>
      <w:r>
        <w:rPr>
          <w:rFonts w:ascii="Arial" w:cs="Arial" w:eastAsia="Arial" w:hAnsi="Arial"/>
          <w:sz w:val="17"/>
          <w:szCs w:val="17"/>
          <w:i w:val="1"/>
          <w:iCs w:val="1"/>
          <w:color w:val="auto"/>
        </w:rPr>
        <w:t>HEC’s Management’s Discussion and Analysis of Financial Condition and Results of Operations.</w:t>
      </w:r>
      <w:r>
        <w:rPr>
          <w:rFonts w:ascii="Arial" w:cs="Arial" w:eastAsia="Arial" w:hAnsi="Arial"/>
          <w:sz w:val="17"/>
          <w:szCs w:val="17"/>
          <w:color w:val="auto"/>
        </w:rPr>
        <w:t>” The historical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below and elsewhere in this proxy statement/prospectus are not indicative of the future performance of HEC.</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Operations: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For the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280" w:type="dxa"/>
            <w:vAlign w:val="bottom"/>
          </w:tcPr>
          <w:p>
            <w:pPr>
              <w:spacing w:after="0"/>
              <w:rPr>
                <w:sz w:val="12"/>
                <w:szCs w:val="12"/>
                <w:color w:val="auto"/>
              </w:rPr>
            </w:pPr>
          </w:p>
        </w:tc>
        <w:tc>
          <w:tcPr>
            <w:tcW w:w="14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February 6, 2020</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6, 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(Inception)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Through</w:t>
            </w:r>
          </w:p>
        </w:tc>
        <w:tc>
          <w:tcPr>
            <w:tcW w:w="280" w:type="dxa"/>
            <w:vAlign w:val="bottom"/>
          </w:tcPr>
          <w:p>
            <w:pPr>
              <w:spacing w:after="0"/>
              <w:rPr>
                <w:sz w:val="12"/>
                <w:szCs w:val="12"/>
                <w:color w:val="auto"/>
              </w:rPr>
            </w:pPr>
          </w:p>
        </w:tc>
        <w:tc>
          <w:tcPr>
            <w:tcW w:w="14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March 31, 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(As Restated)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728,422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(728,422)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(1,776,306)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8,467,400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(18,896,400)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2,575,000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840" w:type="dxa"/>
            <w:vAlign w:val="bottom"/>
          </w:tcPr>
          <w:p>
            <w:pPr>
              <w:spacing w:after="0" w:line="201" w:lineRule="exact"/>
              <w:rPr>
                <w:sz w:val="20"/>
                <w:szCs w:val="20"/>
                <w:color w:val="auto"/>
              </w:rPr>
            </w:pPr>
            <w:r>
              <w:rPr>
                <w:rFonts w:ascii="Arial" w:cs="Arial" w:eastAsia="Arial" w:hAnsi="Arial"/>
                <w:sz w:val="18"/>
                <w:szCs w:val="18"/>
                <w:color w:val="auto"/>
                <w:w w:val="99"/>
              </w:rPr>
              <w:t>Compensation expense in connection with issuance of Private Placement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(1,233,600)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(1,322,813)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228,281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11,089,551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(25,449,532)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10,361,129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(27,225,838)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10,361,129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(27,235,908)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Weighted average shares outstanding of Class A redeemable common stock</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41,400,000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Basic and diluted income per share, Class A redeemable common stock</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180"/>
              <w:spacing w:after="0"/>
              <w:rPr>
                <w:sz w:val="20"/>
                <w:szCs w:val="20"/>
                <w:color w:val="auto"/>
              </w:rPr>
            </w:pPr>
            <w:r>
              <w:rPr>
                <w:rFonts w:ascii="Arial" w:cs="Arial" w:eastAsia="Arial" w:hAnsi="Arial"/>
                <w:sz w:val="18"/>
                <w:szCs w:val="18"/>
                <w:color w:val="auto"/>
                <w:w w:val="96"/>
              </w:rPr>
              <w:t>Weighted average shares outstanding of Class B non-redeemable common</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stock</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10,350,000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10,350,000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58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5"/>
              </w:rPr>
              <w:t>Basic and diluted net loss per share, Class B non-redeemable common</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020" w:type="dxa"/>
            <w:vAlign w:val="bottom"/>
            <w:gridSpan w:val="2"/>
          </w:tcPr>
          <w:p>
            <w:pPr>
              <w:jc w:val="right"/>
              <w:ind w:right="33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58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2858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Balance Sheet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1,178,377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151,334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in trust account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414,275,432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414,228,281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414,804,060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415,525,183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62,868,208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73,950,460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common stock subject to possible redemption, 34,693,585 and 33,657,472 shares at $10.00 per share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as of March 31, 2021 and December 31, 2020, 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346,935,850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336,574,720</w:t>
            </w:r>
          </w:p>
        </w:tc>
        <w:tc>
          <w:tcPr>
            <w:tcW w:w="12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Class B common stock</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21,873,075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32,234,102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(16,874,779)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(27,235,908)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8160" w:type="dxa"/>
            <w:vAlign w:val="bottom"/>
            <w:gridSpan w:val="2"/>
          </w:tcPr>
          <w:p>
            <w:pPr>
              <w:jc w:val="right"/>
              <w:ind w:right="24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TALKSPACE’S SUMMARY HISTORICAL FINANCIAL INFORMATION</w:t>
      </w:r>
    </w:p>
    <w:p>
      <w:pPr>
        <w:spacing w:after="0" w:line="229" w:lineRule="exact"/>
        <w:rPr>
          <w:sz w:val="20"/>
          <w:szCs w:val="20"/>
          <w:color w:val="auto"/>
        </w:rPr>
      </w:pPr>
    </w:p>
    <w:p>
      <w:pPr>
        <w:ind w:left="300" w:right="260"/>
        <w:spacing w:after="0" w:line="269" w:lineRule="auto"/>
        <w:rPr>
          <w:sz w:val="20"/>
          <w:szCs w:val="20"/>
          <w:color w:val="auto"/>
        </w:rPr>
      </w:pPr>
      <w:r>
        <w:rPr>
          <w:rFonts w:ascii="Arial" w:cs="Arial" w:eastAsia="Arial" w:hAnsi="Arial"/>
          <w:sz w:val="17"/>
          <w:szCs w:val="17"/>
          <w:color w:val="auto"/>
        </w:rPr>
        <w:t>The summary historical consolidated statements of comprehensive loss data of Talkspace for the years ended December 31, 2020 and 2019 and the summary historical consolidated balance sheet data as of December 31, 2020 and 2019 are derived from Talkspace’s audited consolidated financial statements included elsewhere in this proxy statement/prospectus. The summary historical consolidated statements of comprehensive loss data of Talkspace for the three months ended March 31, 2021 and 2020 and the summary historical consolidated balance sheet data as of March 31, 2021 are derived from Talkspace’s unaudited interim consolidated financial statements included elsewhere in this proxy statement/prospectus. In Talkspace management’s opinion, the unaudited interim consolidated financial statements include all adjustments necessary to state fairly Talkspace’s financial position as of March 31, 2021 and the results of operations for the three months ended March 31, 2021 and 2020. Talkspace’s historical results are not necessarily indicative of the results that may be expected in the future and Talkspace’s results for the three months ended March 31, 2021 are not necessarily indicative of the results that may be expected for the full year ending December 31, 2021 or any other period. You should read the following summary historical consolidated financial data together with “Talkspace’s Management’s Discussion and Analysis of Financial Condition and Results of Operations” and Talkspace’s consolidated financial statements and related notes included elsewhere in this proxy statement/prospectus.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Statements of Comprehensive loss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left="633"/>
              <w:spacing w:after="0"/>
              <w:rPr>
                <w:sz w:val="20"/>
                <w:szCs w:val="20"/>
                <w:color w:val="auto"/>
              </w:rPr>
            </w:pPr>
            <w:r>
              <w:rPr>
                <w:rFonts w:ascii="Arial" w:cs="Arial" w:eastAsia="Arial" w:hAnsi="Arial"/>
                <w:sz w:val="14"/>
                <w:szCs w:val="14"/>
                <w:b w:val="1"/>
                <w:bCs w:val="1"/>
                <w:color w:val="auto"/>
                <w:w w:val="90"/>
              </w:rPr>
              <w:t>Year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26,353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6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Clinical operations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10,199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8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Loss before taxes on income</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12,730</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7,900</w:t>
            </w:r>
          </w:p>
        </w:tc>
        <w:tc>
          <w:tcPr>
            <w:tcW w:w="3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22,370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29,086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7,900</w:t>
            </w:r>
          </w:p>
        </w:tc>
        <w:tc>
          <w:tcPr>
            <w:tcW w:w="3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22,370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29,086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common shares used in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computing basic and diluted net loss per share</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12,134,482</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11,728,768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11,779,604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11,219,242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533"/>
              <w:spacing w:after="0"/>
              <w:rPr>
                <w:sz w:val="20"/>
                <w:szCs w:val="20"/>
                <w:color w:val="auto"/>
              </w:rPr>
            </w:pPr>
            <w:r>
              <w:rPr>
                <w:rFonts w:ascii="Arial" w:cs="Arial" w:eastAsia="Arial" w:hAnsi="Arial"/>
                <w:sz w:val="18"/>
                <w:szCs w:val="18"/>
                <w:color w:val="auto"/>
                <w:w w:val="89"/>
              </w:rPr>
              <w:t>42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61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2961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Balance sheet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3400" w:type="dxa"/>
            <w:vAlign w:val="bottom"/>
            <w:gridSpan w:val="7"/>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34,919</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$ 32,873</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$ 41,929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32,838</w:t>
            </w:r>
          </w:p>
        </w:tc>
        <w:tc>
          <w:tcPr>
            <w:tcW w:w="3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20,489</w:t>
            </w:r>
          </w:p>
        </w:tc>
        <w:tc>
          <w:tcPr>
            <w:tcW w:w="4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10,246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5"/>
              </w:rPr>
              <w:t>111,282</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111,282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111,282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(109,201)</w:t>
            </w:r>
          </w:p>
        </w:tc>
        <w:tc>
          <w:tcPr>
            <w:tcW w:w="32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(98,898)</w:t>
            </w:r>
          </w:p>
        </w:tc>
        <w:tc>
          <w:tcPr>
            <w:tcW w:w="48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(79,599)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880" w:type="dxa"/>
            <w:vAlign w:val="bottom"/>
            <w:gridSpan w:val="2"/>
          </w:tcPr>
          <w:p>
            <w:pPr>
              <w:ind w:left="180"/>
              <w:spacing w:after="0"/>
              <w:rPr>
                <w:sz w:val="20"/>
                <w:szCs w:val="20"/>
                <w:color w:val="auto"/>
              </w:rPr>
            </w:pPr>
            <w:r>
              <w:rPr>
                <w:rFonts w:ascii="Arial" w:cs="Arial" w:eastAsia="Arial" w:hAnsi="Arial"/>
                <w:sz w:val="18"/>
                <w:szCs w:val="18"/>
                <w:b w:val="1"/>
                <w:bCs w:val="1"/>
                <w:color w:val="auto"/>
              </w:rPr>
              <w:t>Cash flow data:</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3400" w:type="dxa"/>
            <w:vAlign w:val="bottom"/>
            <w:gridSpan w:val="7"/>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5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activities</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$(3,879)</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$(7,797)</w:t>
            </w:r>
          </w:p>
        </w:tc>
        <w:tc>
          <w:tcPr>
            <w:tcW w:w="1300" w:type="dxa"/>
            <w:vAlign w:val="bottom"/>
            <w:gridSpan w:val="4"/>
          </w:tcPr>
          <w:p>
            <w:pPr>
              <w:jc w:val="right"/>
              <w:ind w:right="328"/>
              <w:spacing w:after="0"/>
              <w:rPr>
                <w:sz w:val="20"/>
                <w:szCs w:val="20"/>
                <w:color w:val="auto"/>
              </w:rPr>
            </w:pPr>
            <w:r>
              <w:rPr>
                <w:rFonts w:ascii="Arial" w:cs="Arial" w:eastAsia="Arial" w:hAnsi="Arial"/>
                <w:sz w:val="18"/>
                <w:szCs w:val="18"/>
                <w:color w:val="auto"/>
              </w:rPr>
              <w:t>$(15,175)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$(21,192)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30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(11,303)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Financing activities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8"/>
                <w:szCs w:val="18"/>
                <w:color w:val="auto"/>
              </w:rPr>
              <w:t>54</w:t>
            </w:r>
          </w:p>
        </w:tc>
        <w:tc>
          <w:tcPr>
            <w:tcW w:w="1300" w:type="dxa"/>
            <w:vAlign w:val="bottom"/>
            <w:gridSpan w:val="4"/>
          </w:tcPr>
          <w:p>
            <w:pPr>
              <w:jc w:val="right"/>
              <w:ind w:right="388"/>
              <w:spacing w:after="0"/>
              <w:rPr>
                <w:sz w:val="20"/>
                <w:szCs w:val="20"/>
                <w:color w:val="auto"/>
              </w:rPr>
            </w:pPr>
            <w:r>
              <w:rPr>
                <w:rFonts w:ascii="Arial" w:cs="Arial" w:eastAsia="Arial" w:hAnsi="Arial"/>
                <w:sz w:val="18"/>
                <w:szCs w:val="18"/>
                <w:color w:val="auto"/>
              </w:rPr>
              <w:t>94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51,501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29" w:lineRule="exact"/>
        <w:rPr>
          <w:sz w:val="20"/>
          <w:szCs w:val="20"/>
          <w:color w:val="auto"/>
        </w:rPr>
      </w:pPr>
    </w:p>
    <w:p>
      <w:pPr>
        <w:ind w:left="300" w:right="140"/>
        <w:spacing w:after="0" w:line="279" w:lineRule="auto"/>
        <w:rPr>
          <w:sz w:val="20"/>
          <w:szCs w:val="20"/>
          <w:color w:val="auto"/>
        </w:rPr>
      </w:pPr>
      <w:r>
        <w:rPr>
          <w:rFonts w:ascii="Arial" w:cs="Arial" w:eastAsia="Arial" w:hAnsi="Arial"/>
          <w:sz w:val="17"/>
          <w:szCs w:val="17"/>
          <w:color w:val="auto"/>
        </w:rPr>
        <w:t>The following unaudited pro forma condensed combined balance sheet as of March 31, 2021 combines the unaudited historical condensed consolidated balance sheet of HEC as of March 31, 2021 with the unaudited historical condensed consolidated balance sheet of Talkspace as of March 31, 2021, giving effect to the business combination, the PIPE Investment with an aggregate commitment amount of $300.0 million and the transactions contemplated by the HEC Forward Purchase Agreement, as if they had been consummated as of that date.</w:t>
      </w:r>
    </w:p>
    <w:p>
      <w:pPr>
        <w:spacing w:after="0" w:line="171" w:lineRule="exact"/>
        <w:rPr>
          <w:sz w:val="20"/>
          <w:szCs w:val="20"/>
          <w:color w:val="auto"/>
        </w:rPr>
      </w:pPr>
    </w:p>
    <w:p>
      <w:pPr>
        <w:ind w:left="300"/>
        <w:spacing w:after="0" w:line="301" w:lineRule="auto"/>
        <w:rPr>
          <w:sz w:val="20"/>
          <w:szCs w:val="20"/>
          <w:color w:val="auto"/>
        </w:rPr>
      </w:pPr>
      <w:r>
        <w:rPr>
          <w:rFonts w:ascii="Arial" w:cs="Arial" w:eastAsia="Arial" w:hAnsi="Arial"/>
          <w:sz w:val="16"/>
          <w:szCs w:val="16"/>
          <w:color w:val="auto"/>
        </w:rPr>
        <w:t>The following unaudited pro forma condensed combined statement of operations for the three months ended March 31, 2021 and for the year ended December 31, 2020 combine the historical consolidated statement of operations of HEC and the historical consolidated statement of operations of Talkspace for such periods on a pro forma basis as if the business combination, the PIPE Investment and the transactions contemplated by the HEC Forward Purchase Agreement had been consummated on January 1, 2020, the beginning of the earliest period presented.</w:t>
      </w:r>
    </w:p>
    <w:p>
      <w:pPr>
        <w:spacing w:after="0" w:line="157"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The historical financial statements have been adjusted in the unaudited pro forma condensed combined financial statements to give pro forma effect to events that are: (i) directly attributable to the business combination, the PIPE Investment and the transactions contemplated by the HEC Forward Purchase Agreement, (ii) factually supportable, and (iii) with respect to the statements of operations, expected to have a continuing impact on the results of operations of the combined company.</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unaudited pro forma condensed combined financial statements have been developed from and should be read in conjunction with:</w:t>
      </w:r>
    </w:p>
    <w:p>
      <w:pPr>
        <w:spacing w:after="0" w:line="264" w:lineRule="exact"/>
        <w:rPr>
          <w:sz w:val="20"/>
          <w:szCs w:val="20"/>
          <w:color w:val="auto"/>
        </w:rPr>
      </w:pPr>
    </w:p>
    <w:p>
      <w:pPr>
        <w:ind w:left="700" w:hanging="307"/>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700" w:right="100" w:hanging="307"/>
        <w:spacing w:after="0" w:line="311" w:lineRule="auto"/>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 historical audited financial statements of HEC as of December 31, 2020 (As Restated) and for the period from February 6, 2020 (inception) through December 31, 2020 (As Restated) and (ii) historical unaudited condensed consolidated financial statements of HEC as of and for the three months ended March 31, 2021 and the related notes, in each case included elsewhere in this proxy statement/prospectus;</w:t>
      </w:r>
    </w:p>
    <w:p>
      <w:pPr>
        <w:spacing w:after="0" w:line="54" w:lineRule="exact"/>
        <w:rPr>
          <w:rFonts w:ascii="Arial" w:cs="Arial" w:eastAsia="Arial" w:hAnsi="Arial"/>
          <w:sz w:val="16"/>
          <w:szCs w:val="16"/>
          <w:color w:val="auto"/>
        </w:rPr>
      </w:pPr>
    </w:p>
    <w:p>
      <w:pPr>
        <w:ind w:left="700" w:right="160" w:hanging="307"/>
        <w:spacing w:after="0" w:line="263"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 historical audited consolidated financial statements of Talkspace as of and for the year ended December 31, 2020 and (ii) historical unaudited consolidated financial statements of Talkspace as of and for the three months ended March 31, 2021 and the related notes, in each case included elsewhere in this proxy statement/prospectus; and</w:t>
      </w:r>
    </w:p>
    <w:p>
      <w:pPr>
        <w:spacing w:after="0" w:line="89" w:lineRule="exact"/>
        <w:rPr>
          <w:rFonts w:ascii="Arial" w:cs="Arial" w:eastAsia="Arial" w:hAnsi="Arial"/>
          <w:sz w:val="18"/>
          <w:szCs w:val="18"/>
          <w:color w:val="auto"/>
        </w:rPr>
      </w:pPr>
    </w:p>
    <w:p>
      <w:pPr>
        <w:jc w:val="both"/>
        <w:ind w:left="700" w:right="40" w:hanging="307"/>
        <w:spacing w:after="0" w:line="311" w:lineRule="auto"/>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sections entitled “Unaudited Pro Forma Condensed Combined Financial Information,” “HEC’s Management’s Discussion and Analysis of Financial Condition and Results of Operations” and “Talkspace’s Management’s Discussion and Analysis of Financial Condition and Results of Operation” and other financial information relating to HEC and Talkspace contained in this proxy statement/prospectus.</w:t>
      </w:r>
    </w:p>
    <w:p>
      <w:pPr>
        <w:spacing w:after="0" w:line="149"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by HEC’s public stockholders for cash equal to their pro rata share of the aggregate amount on deposit (as of two business days prior to the Closing) in the trust account:</w:t>
      </w:r>
    </w:p>
    <w:p>
      <w:pPr>
        <w:spacing w:after="0" w:line="207" w:lineRule="exact"/>
        <w:rPr>
          <w:sz w:val="20"/>
          <w:szCs w:val="20"/>
          <w:color w:val="auto"/>
        </w:rPr>
      </w:pPr>
    </w:p>
    <w:p>
      <w:pPr>
        <w:ind w:left="700" w:right="100" w:hanging="307"/>
        <w:spacing w:after="0" w:line="274" w:lineRule="auto"/>
        <w:tabs>
          <w:tab w:leader="none" w:pos="7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Scenario 1— Assuming No Redemption</w:t>
      </w:r>
      <w:r>
        <w:rPr>
          <w:rFonts w:ascii="Arial" w:cs="Arial" w:eastAsia="Arial" w:hAnsi="Arial"/>
          <w:sz w:val="17"/>
          <w:szCs w:val="17"/>
          <w:color w:val="auto"/>
        </w:rPr>
        <w:t>: This presentation assumes that (i) no public stockholders of HEC exercise redemption rights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options who are eligible to make a cash election on a pro rata basis.</w:t>
      </w:r>
    </w:p>
    <w:p>
      <w:pPr>
        <w:spacing w:after="0" w:line="78" w:lineRule="exact"/>
        <w:rPr>
          <w:rFonts w:ascii="Arial" w:cs="Arial" w:eastAsia="Arial" w:hAnsi="Arial"/>
          <w:sz w:val="17"/>
          <w:szCs w:val="17"/>
          <w:color w:val="auto"/>
        </w:rPr>
      </w:pPr>
    </w:p>
    <w:p>
      <w:pPr>
        <w:ind w:left="700" w:right="80" w:hanging="307"/>
        <w:spacing w:after="0" w:line="266"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Scenario 2— Assuming Maximum Redemption</w:t>
      </w:r>
      <w:r>
        <w:rPr>
          <w:rFonts w:ascii="Arial" w:cs="Arial" w:eastAsia="Arial" w:hAnsi="Arial"/>
          <w:sz w:val="18"/>
          <w:szCs w:val="18"/>
          <w:color w:val="auto"/>
        </w:rPr>
        <w:t>: This presentation assumes that (i) 36,400,000 of HEC’s public shares are redeemed for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payment of $364.0 million, which is derived from the number of shares that could be redeemed in connection with the business combination at an assumed redemption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320" w:top="459" w:right="6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60"/>
        <w:spacing w:after="0" w:line="271" w:lineRule="auto"/>
        <w:rPr>
          <w:sz w:val="20"/>
          <w:szCs w:val="20"/>
          <w:color w:val="auto"/>
        </w:rPr>
      </w:pPr>
      <w:r>
        <w:rPr>
          <w:rFonts w:ascii="Arial" w:cs="Arial" w:eastAsia="Arial" w:hAnsi="Arial"/>
          <w:sz w:val="17"/>
          <w:szCs w:val="17"/>
          <w:color w:val="auto"/>
        </w:rPr>
        <w:t>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 (C)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Talkspace Options who are eligible to make a cash election on a pro rata basis.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Unaudited Pro Forma Financial Information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Pr>
          <w:p>
            <w:pPr>
              <w:spacing w:after="0"/>
              <w:rPr>
                <w:sz w:val="14"/>
                <w:szCs w:val="14"/>
                <w:color w:val="auto"/>
              </w:rPr>
            </w:pPr>
          </w:p>
        </w:tc>
        <w:tc>
          <w:tcPr>
            <w:tcW w:w="264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 Assuming</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 Assuming</w:t>
            </w:r>
          </w:p>
        </w:tc>
        <w:tc>
          <w:tcPr>
            <w:tcW w:w="180" w:type="dxa"/>
            <w:vAlign w:val="bottom"/>
          </w:tcPr>
          <w:p>
            <w:pPr>
              <w:spacing w:after="0"/>
              <w:rPr>
                <w:sz w:val="12"/>
                <w:szCs w:val="12"/>
                <w:color w:val="auto"/>
              </w:rPr>
            </w:pPr>
          </w:p>
        </w:tc>
        <w:tc>
          <w:tcPr>
            <w:tcW w:w="26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1"/>
              </w:rPr>
              <w:t>No Redemptions</w:t>
            </w:r>
          </w:p>
        </w:tc>
        <w:tc>
          <w:tcPr>
            <w:tcW w:w="180" w:type="dxa"/>
            <w:vAlign w:val="bottom"/>
          </w:tcPr>
          <w:p>
            <w:pPr>
              <w:spacing w:after="0"/>
              <w:rPr>
                <w:sz w:val="14"/>
                <w:szCs w:val="14"/>
                <w:color w:val="auto"/>
              </w:rPr>
            </w:pPr>
          </w:p>
        </w:tc>
        <w:tc>
          <w:tcPr>
            <w:tcW w:w="264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 thousands except per share amounts)</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Arial" w:cs="Arial" w:eastAsia="Arial" w:hAnsi="Arial"/>
                <w:sz w:val="18"/>
                <w:szCs w:val="18"/>
                <w:b w:val="1"/>
                <w:bCs w:val="1"/>
                <w:color w:val="auto"/>
              </w:rPr>
              <w:t>Statement of Operations Data—Three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Months Ended March 31, 2021</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27,157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29,900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12,557</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4,106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Statement of Operations Data—Year 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76,190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71,819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71,819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21,982</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22,034</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22,034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Balance Sheet Data—As of March 31, 2021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274,362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274,362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285,723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285,723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33,831</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78,957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78,957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206,766</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206,766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4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COMPARATIVE SHARE DATA</w:t>
      </w:r>
    </w:p>
    <w:p>
      <w:pPr>
        <w:spacing w:after="0" w:line="229" w:lineRule="exact"/>
        <w:rPr>
          <w:sz w:val="20"/>
          <w:szCs w:val="20"/>
          <w:color w:val="auto"/>
        </w:rPr>
      </w:pPr>
    </w:p>
    <w:p>
      <w:pPr>
        <w:jc w:val="both"/>
        <w:ind w:left="300" w:right="200"/>
        <w:spacing w:after="0" w:line="279" w:lineRule="auto"/>
        <w:rPr>
          <w:sz w:val="20"/>
          <w:szCs w:val="20"/>
          <w:color w:val="auto"/>
        </w:rPr>
      </w:pPr>
      <w:r>
        <w:rPr>
          <w:rFonts w:ascii="Arial" w:cs="Arial" w:eastAsia="Arial" w:hAnsi="Arial"/>
          <w:sz w:val="17"/>
          <w:szCs w:val="17"/>
          <w:color w:val="auto"/>
        </w:rPr>
        <w:t>The following table sets forth the per share data of each of HEC and Talkspace on a stand-alone basis and the unaudited pro forma combined per share data for the three months ended March 31, 2021 and for the year ended December 31, 2020 after giving effect to the business combination, the PIPE Investment with an aggregate commitment amount of $300.0 million and the transactions contemplated by the HEC Forward Purchase Agreement, assuming the following in the two pro forma scenarios presented:</w:t>
      </w:r>
    </w:p>
    <w:p>
      <w:pPr>
        <w:spacing w:after="0" w:line="73" w:lineRule="exact"/>
        <w:rPr>
          <w:sz w:val="20"/>
          <w:szCs w:val="20"/>
          <w:color w:val="auto"/>
        </w:rPr>
      </w:pPr>
    </w:p>
    <w:p>
      <w:pPr>
        <w:ind w:left="1240" w:right="20" w:hanging="415"/>
        <w:spacing w:after="0" w:line="274" w:lineRule="auto"/>
        <w:tabs>
          <w:tab w:leader="none" w:pos="124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Assuming No Redemption</w:t>
      </w:r>
      <w:r>
        <w:rPr>
          <w:rFonts w:ascii="Arial" w:cs="Arial" w:eastAsia="Arial" w:hAnsi="Arial"/>
          <w:sz w:val="17"/>
          <w:szCs w:val="17"/>
          <w:color w:val="auto"/>
        </w:rPr>
        <w:t>: This presentation assumes that (i) no public stockholders of HEC exercise redemption rights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Talkspace Options who are eligible to make a cash election on a pro rata basis.</w:t>
      </w:r>
    </w:p>
    <w:p>
      <w:pPr>
        <w:spacing w:after="0" w:line="78" w:lineRule="exact"/>
        <w:rPr>
          <w:rFonts w:ascii="Arial" w:cs="Arial" w:eastAsia="Arial" w:hAnsi="Arial"/>
          <w:sz w:val="17"/>
          <w:szCs w:val="17"/>
          <w:color w:val="auto"/>
        </w:rPr>
      </w:pPr>
    </w:p>
    <w:p>
      <w:pPr>
        <w:ind w:left="1240" w:right="200" w:hanging="415"/>
        <w:spacing w:after="0" w:line="286" w:lineRule="auto"/>
        <w:tabs>
          <w:tab w:leader="none" w:pos="1240"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Assuming Maximum Redemption</w:t>
      </w:r>
      <w:r>
        <w:rPr>
          <w:rFonts w:ascii="Arial" w:cs="Arial" w:eastAsia="Arial" w:hAnsi="Arial"/>
          <w:sz w:val="16"/>
          <w:szCs w:val="16"/>
          <w:color w:val="auto"/>
        </w:rPr>
        <w:t>: This presentation assumes that (i) 36,400,000 of HEC’s public shares are redeemed for an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payment of $364.0 million, which is derived from the number of shares that could be redeemed in connection with the business combination at an assumed redemption 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w:t>
      </w:r>
    </w:p>
    <w:p>
      <w:pPr>
        <w:spacing w:after="0" w:line="2" w:lineRule="exact"/>
        <w:rPr>
          <w:rFonts w:ascii="Arial" w:cs="Arial" w:eastAsia="Arial" w:hAnsi="Arial"/>
          <w:sz w:val="16"/>
          <w:szCs w:val="16"/>
          <w:color w:val="auto"/>
        </w:rPr>
      </w:pPr>
    </w:p>
    <w:p>
      <w:pPr>
        <w:ind w:left="1240"/>
        <w:spacing w:after="0" w:line="252" w:lineRule="auto"/>
        <w:rPr>
          <w:rFonts w:ascii="Arial" w:cs="Arial" w:eastAsia="Arial" w:hAnsi="Arial"/>
          <w:sz w:val="16"/>
          <w:szCs w:val="16"/>
          <w:color w:val="auto"/>
        </w:rPr>
      </w:pPr>
      <w:r>
        <w:rPr>
          <w:rFonts w:ascii="Arial" w:cs="Arial" w:eastAsia="Arial" w:hAnsi="Arial"/>
          <w:sz w:val="18"/>
          <w:szCs w:val="18"/>
          <w:color w:val="auto"/>
        </w:rPr>
        <w:t>(C)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Talkspace Options who are eligible to make a cash election on a pro rata basis.</w:t>
      </w:r>
    </w:p>
    <w:p>
      <w:pPr>
        <w:spacing w:after="0" w:line="194"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The pro forma earnings information for the three months ended March 31, 2021 and for the year ended December 31, 2020 were computed as if the business combination, the PIPE Investment and the transactions contemplated by the HEC Forward Purchase Agreement had been consummated on January 1, 2020, the beginning of the earliest period presented.</w:t>
      </w:r>
    </w:p>
    <w:p>
      <w:pPr>
        <w:spacing w:after="0" w:line="184"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The historical book value per share is computed by dividing total stockholders’ equity (deficit), including shares subject to possible redemption, by the number of shares of HEC’s Class A common stock outstanding at the end of the period. The pro forma combined book value per share of Talkspace, Inc. common stock is computed by dividing total pro forma stockholders’ equity by the pro forma number of Talkspace, Inc. common stock outstanding at the end of the period on a fully diluted net exercise basis. The pro forma earnings per share of the combined company is computed by dividing the pro forma net loss available to the combined company’s stockholders by the pro forma weighted-average number of shares of Talkspace, Inc. common stock outstanding over the period on a fully diluted net exercise basis.</w:t>
      </w:r>
    </w:p>
    <w:p>
      <w:pPr>
        <w:spacing w:after="0" w:line="178" w:lineRule="exact"/>
        <w:rPr>
          <w:sz w:val="20"/>
          <w:szCs w:val="20"/>
          <w:color w:val="auto"/>
        </w:rPr>
      </w:pPr>
    </w:p>
    <w:p>
      <w:pPr>
        <w:ind w:left="300" w:right="200"/>
        <w:spacing w:after="0" w:line="279" w:lineRule="auto"/>
        <w:rPr>
          <w:sz w:val="20"/>
          <w:szCs w:val="20"/>
          <w:color w:val="auto"/>
        </w:rPr>
      </w:pPr>
      <w:r>
        <w:rPr>
          <w:rFonts w:ascii="Arial" w:cs="Arial" w:eastAsia="Arial" w:hAnsi="Arial"/>
          <w:sz w:val="17"/>
          <w:szCs w:val="17"/>
          <w:color w:val="auto"/>
        </w:rPr>
        <w:t>You should read the information in the following table in conjunction with the selected historical financial information summary included elsewhere in this proxy statement/prospectus, and the historical financial statements of HEC and Talkspace and related notes that are included elsewhere in this proxy statement/prospectus. The unaudited HEC and Talkspace pro forma combined per share information is derived from, and should be read in conjunction with, the unaudited pro forma condensed combined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20"/>
          </w:cols>
          <w:pgMar w:left="320" w:top="459" w:right="6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related notes included elsewhere in this proxy statement/prospectus.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24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HEC and Talkspace would have been had the companies been combined during the periods presented.</w:t>
      </w: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4"/>
            <w:vMerge w:val="restart"/>
          </w:tcPr>
          <w:p>
            <w:pPr>
              <w:jc w:val="center"/>
              <w:ind w:right="880"/>
              <w:spacing w:after="0"/>
              <w:rPr>
                <w:sz w:val="20"/>
                <w:szCs w:val="20"/>
                <w:color w:val="auto"/>
              </w:rPr>
            </w:pPr>
            <w:r>
              <w:rPr>
                <w:rFonts w:ascii="Arial" w:cs="Arial" w:eastAsia="Arial" w:hAnsi="Arial"/>
                <w:sz w:val="14"/>
                <w:szCs w:val="14"/>
                <w:b w:val="1"/>
                <w:bCs w:val="1"/>
                <w:color w:val="auto"/>
                <w:w w:val="94"/>
              </w:rPr>
              <w:t>Pro Forma</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right="2"/>
              <w:spacing w:after="0" w:line="119" w:lineRule="exact"/>
              <w:rPr>
                <w:sz w:val="20"/>
                <w:szCs w:val="20"/>
                <w:color w:val="auto"/>
              </w:rPr>
            </w:pPr>
            <w:r>
              <w:rPr>
                <w:rFonts w:ascii="Arial" w:cs="Arial" w:eastAsia="Arial" w:hAnsi="Arial"/>
                <w:sz w:val="13"/>
                <w:szCs w:val="13"/>
                <w:b w:val="1"/>
                <w:bCs w:val="1"/>
                <w:color w:val="auto"/>
              </w:rPr>
              <w:t>Pro-Forma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HEC</w:t>
            </w:r>
          </w:p>
        </w:tc>
        <w:tc>
          <w:tcPr>
            <w:tcW w:w="100" w:type="dxa"/>
            <w:vAlign w:val="bottom"/>
          </w:tcPr>
          <w:p>
            <w:pPr>
              <w:spacing w:after="0"/>
              <w:rPr>
                <w:sz w:val="12"/>
                <w:szCs w:val="12"/>
                <w:color w:val="auto"/>
              </w:rPr>
            </w:pPr>
          </w:p>
        </w:tc>
        <w:tc>
          <w:tcPr>
            <w:tcW w:w="158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w w:val="97"/>
              </w:rPr>
              <w:t>Talkspace</w:t>
            </w:r>
          </w:p>
        </w:tc>
        <w:tc>
          <w:tcPr>
            <w:tcW w:w="120" w:type="dxa"/>
            <w:vAlign w:val="bottom"/>
          </w:tcPr>
          <w:p>
            <w:pPr>
              <w:spacing w:after="0"/>
              <w:rPr>
                <w:sz w:val="12"/>
                <w:szCs w:val="12"/>
                <w:color w:val="auto"/>
              </w:rPr>
            </w:pPr>
          </w:p>
        </w:tc>
        <w:tc>
          <w:tcPr>
            <w:tcW w:w="16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Combined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78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(Assuming No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4"/>
                <w:szCs w:val="14"/>
                <w:b w:val="1"/>
                <w:bCs w:val="1"/>
                <w:color w:val="auto"/>
              </w:rPr>
              <w:t>(Historical)</w:t>
            </w:r>
          </w:p>
        </w:tc>
        <w:tc>
          <w:tcPr>
            <w:tcW w:w="70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w w:val="95"/>
              </w:rPr>
              <w:t>(Historical)</w:t>
            </w:r>
          </w:p>
        </w:tc>
        <w:tc>
          <w:tcPr>
            <w:tcW w:w="760" w:type="dxa"/>
            <w:vAlign w:val="bottom"/>
            <w:tcBorders>
              <w:bottom w:val="single" w:sz="8" w:color="CCEEFF"/>
            </w:tcBorders>
            <w:gridSpan w:val="2"/>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Redemption)(1)</w:t>
            </w:r>
          </w:p>
        </w:tc>
        <w:tc>
          <w:tcPr>
            <w:tcW w:w="780" w:type="dxa"/>
            <w:vAlign w:val="bottom"/>
            <w:tcBorders>
              <w:bottom w:val="single" w:sz="8" w:color="CCEEFF"/>
            </w:tcBorders>
            <w:gridSpan w:val="2"/>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Redemption)(1)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Basic and diluted net income per Class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Arial" w:cs="Arial" w:eastAsia="Arial" w:hAnsi="Arial"/>
                <w:sz w:val="18"/>
                <w:szCs w:val="18"/>
                <w:color w:val="auto"/>
              </w:rPr>
              <w:t>A common stock</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Basic and diluted net loss per common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Net loss per share (3)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6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class A common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of HEC</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41,400,000</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Arial" w:cs="Arial" w:eastAsia="Arial" w:hAnsi="Arial"/>
                <w:sz w:val="18"/>
                <w:szCs w:val="18"/>
                <w:color w:val="auto"/>
              </w:rPr>
              <w:t>outstanding of Talkspace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12,134,482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shares outstanding 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 fully diluted net exercise basis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165,045,000</w:t>
            </w: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165,045,000</w:t>
            </w:r>
          </w:p>
        </w:tc>
        <w:tc>
          <w:tcPr>
            <w:tcW w:w="0" w:type="dxa"/>
            <w:vAlign w:val="bottom"/>
          </w:tcPr>
          <w:p>
            <w:pPr>
              <w:spacing w:after="0"/>
              <w:rPr>
                <w:sz w:val="1"/>
                <w:szCs w:val="1"/>
                <w:color w:val="auto"/>
              </w:rPr>
            </w:pPr>
          </w:p>
        </w:tc>
      </w:tr>
      <w:tr>
        <w:trPr>
          <w:trHeight w:val="392"/>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Year Ended December 31, 2020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4"/>
              </w:rPr>
              <w:t>Pro Forma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HEC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4"/>
              </w:rPr>
              <w:t>Talkspace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Combined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(Assuming No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(Historical)</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(Historical)</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Redemption)(1)</w:t>
            </w:r>
          </w:p>
        </w:tc>
        <w:tc>
          <w:tcPr>
            <w:tcW w:w="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Basic and diluted net loss per Class 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Basic and diluted net loss per common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Net loss per share (3)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600"/>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class A common stock of</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HEC</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8"/>
              </w:rPr>
              <w:t>41,400,000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Arial" w:cs="Arial" w:eastAsia="Arial" w:hAnsi="Arial"/>
                <w:sz w:val="18"/>
                <w:szCs w:val="18"/>
                <w:color w:val="auto"/>
              </w:rPr>
              <w:t>outstanding of Talkspace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w w:val="86"/>
              </w:rPr>
              <w:t>11,779,604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shares outstanding on 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diluted net exercise basis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7"/>
              </w:rPr>
              <w:t>165,045,000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165,045,000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20" w:hanging="42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Refer to the section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Calculated based on total stockholder’s equity including shares subject to possible redemption.</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Calculated based on weighted average shares outstanding on a fully diluted net exercise basis.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40"/>
          </w:cols>
          <w:pgMar w:left="320" w:top="459" w:right="7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This proxy statement/prospectus includes statements that express HEC’s and Talkspace’s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but the absence of these words does not mean that a statement is not forward-looking. These forward-looking statements include all matters that are not historical facts. They appear in a number of places throughout this proxy statement/prospectus and include statements regarding our intentions, beliefs or current expectations concerning, among other things, the Transactions, the benefits of the Transactions, including results of operations, financial condition, liquidity, prospects, growth, strategies and the markets in which Talkspace operates. Such forward-looking statements are based on available current market material and management’s expectations, beliefs and forecasts concerning future events impacting HEC and Talkspace.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in this proxy statement/prospectus may include, for example, statements about:</w:t>
      </w:r>
    </w:p>
    <w:p>
      <w:pPr>
        <w:spacing w:after="0" w:line="131" w:lineRule="exact"/>
        <w:rPr>
          <w:sz w:val="20"/>
          <w:szCs w:val="20"/>
          <w:color w:val="auto"/>
        </w:rPr>
      </w:pPr>
    </w:p>
    <w:p>
      <w:pPr>
        <w:ind w:left="1080" w:right="4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HEC’s ability to complete the business combination or, if HEC does not consummate such business combination, any other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satisfaction or waiver (if applicable) of the conditions to the Transactions, including, among other things:</w:t>
      </w:r>
    </w:p>
    <w:p>
      <w:pPr>
        <w:spacing w:after="0" w:line="130" w:lineRule="exact"/>
        <w:rPr>
          <w:rFonts w:ascii="Arial" w:cs="Arial" w:eastAsia="Arial" w:hAnsi="Arial"/>
          <w:sz w:val="18"/>
          <w:szCs w:val="18"/>
          <w:color w:val="auto"/>
        </w:rPr>
      </w:pPr>
    </w:p>
    <w:p>
      <w:pPr>
        <w:ind w:left="1540" w:right="60" w:hanging="331"/>
        <w:spacing w:after="0" w:line="255"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satisfaction or waiver of certain customary closing conditions, including, among others, (i) approval of the business combination and related agreements and other Transactions by the respective shareholders of HEC and Talkspace, (ii) effectiveness of the registration statement of which this proxy statement/prospectus forms a part of, (iii) early termination or expiration of the waiting period under the HSR Act, (iv) receipt of approval for listing on the Nasdaq the shares of Talkspace, Inc. common stock to be issued in connection with the Transactions, (v) that HEC have at least $5,000,001 of net tangible assets upon Closing and (vi) the absence of any injunctions;</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there being at least $400,000,000 of Available Closing HEC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occurrence of any other event, change or other circumstances that could give rise to the termination of the Merger Agreement;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Talkspace;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ability to maintain the listing of Talkspace, Inc. common stock and warrants on the Nasdaq following the business combination;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the completion of the business combination;</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HEC officers and directors allocating their time to other businesses and potentially having conflicts of interest with HEC’s business or in approving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Talkspace,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weak growth and increased volatility in the virtual behavioral health market;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its history of losses and the risk it may not achieve profitability;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inability to adapt to rapid technological changes in the telehealth and teletherapy markets;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its limited number of significant clients and the risk that it may lose their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increased competition from existing and potential new participants in the healthcare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changes in healthcare laws, regulations or trends and its ability to operate in the heavily regulated healthcare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compliance with regulations concerning personally identifiable information and personal health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slower than expected growth in patient adoption of telehealth and teletherapy and in platform usage by either clients or members;</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ability to recruit and retain a network of qualified providers sufficient to serve client and member demand;</w:t>
      </w:r>
    </w:p>
    <w:p>
      <w:pPr>
        <w:spacing w:after="0" w:line="130" w:lineRule="exact"/>
        <w:rPr>
          <w:rFonts w:ascii="Arial" w:cs="Arial" w:eastAsia="Arial" w:hAnsi="Arial"/>
          <w:sz w:val="18"/>
          <w:szCs w:val="18"/>
          <w:color w:val="auto"/>
        </w:rPr>
      </w:pPr>
    </w:p>
    <w:p>
      <w:pPr>
        <w:ind w:left="1540" w:right="400" w:hanging="331"/>
        <w:spacing w:after="0" w:line="277" w:lineRule="auto"/>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its ability to comply with federal and state privacy regulations and the significant liability that could result from a cybersecurity breach or our failure to comply with such regulations;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its ability to establish and maintain strategic relationships with third parties;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impact of the COVID-19 pandemic on its business or on its ability to forecast its business’s financial outlook;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risk that the insurance it maintains may not fully cover all potential exposures;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risks associated with international expansion;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forward-looking statements contained in this proxy statement/prospectus are based on HEC’s and Talkspace’s current expectations and beliefs concerning future developments and their potential effects on the Transactions and Talkspace. There can be no assurance that future developments affecting HEC or Talkspace will be those that HEC or Talkspace has anticipated. These forward-looking statements involve a number of risks, uncertainties (some of which are beyond either HEC’s or Talkspace’s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the assumptions prove incorrect, actual results may vary in material respects from those projected in these forward-looking statements. HEC and Talkspace undertake no obligation to update or revise any forward-looking statements, whether as a result of new information, future events or otherwise, except as may be required under applicable securities laws.</w:t>
      </w:r>
    </w:p>
    <w:p>
      <w:pPr>
        <w:spacing w:after="0" w:line="181" w:lineRule="exact"/>
        <w:rPr>
          <w:sz w:val="20"/>
          <w:szCs w:val="20"/>
          <w:color w:val="auto"/>
        </w:rPr>
      </w:pPr>
    </w:p>
    <w:p>
      <w:pPr>
        <w:ind w:left="120" w:right="680"/>
        <w:spacing w:after="0" w:line="259" w:lineRule="auto"/>
        <w:rPr>
          <w:sz w:val="20"/>
          <w:szCs w:val="20"/>
          <w:color w:val="auto"/>
        </w:rPr>
      </w:pPr>
      <w:r>
        <w:rPr>
          <w:rFonts w:ascii="Arial" w:cs="Arial" w:eastAsia="Arial" w:hAnsi="Arial"/>
          <w:sz w:val="18"/>
          <w:szCs w:val="18"/>
          <w:color w:val="auto"/>
        </w:rPr>
        <w:t>Before any HEC stockholder grants its proxy or instructs how its vote should be cast or votes on the business combination proposal, the charter proposal, the governance proposal, the incentive plan proposal, the ESPP proposal the director election proposal, the Nasdaq proposal or the adjournment proposal, it should be aware that the occurrence of the events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and elsewhere in this proxy statement/prospectus may adversely affect HEC and Talkspace.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LITIGATION RELATED TO THE MERGERS</w:t>
      </w:r>
    </w:p>
    <w:p>
      <w:pPr>
        <w:spacing w:after="0" w:line="22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February 10, 2021, two purported shareholders of HEC filed actions against HEC and the members of HEC’s Board relating to the Mergers. On March 10, 2021, HEC’s Board received a shareholder demand letter against HEC and members of HEC’s Board. In each case, the shareholders allege a variety of disclosure deficiencies in this proxy statement/prospectus and seek disclosures of additional information. The alleged omissions generally relate to (i) certain financial projections; (ii) certain valuation analyses performed by HEC; and (iii) alleged conflicts of interest. Plaintiffs seek to enjoin the forthcoming shareholder vote on the Mergers unless and until HEC discloses the allegedly omitted material information summarized above. The plaintiffs also seek damages and attorneys’ fees.</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HEC cannot predict the outcome of the lawsuits or demand letter or any others that might be filed subsequent to the date of the filing of this proxy statement/prospectus, nor can HEC predict the amount of time and expense that will be required to resolve the lawsuits and demand letter. HEC believes that the lawsuits and demand letter are without merit and intends to vigorously defend against them.</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i w:val="1"/>
          <w:iCs w:val="1"/>
          <w:color w:val="auto"/>
        </w:rPr>
        <w:t>HEC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“Talkspace,” “we,” “us” or “our” refer to the business of Groop Internet Platform Inc. (d/b/a Talkspace) and its subsidiaries prior to the consummation of the business combination, which will be the business of Talkspace, Inc. and its subsidiaries following the consummation of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Limited Operating History and Early Stage of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losses, which we expect to continue, and we may never achieve or sustain profitability.</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incurred significant losses in each period since our inception. We incurred net losses of $22.3 million and $29.1 million for the years ended December 31, 2020 and 2019, respectively, and $12.7 million and $7.9 million for the three months ended March 31, 2021 and 2020, respectively. As of March 31, 2021, we had an accumulated deficit of $121.5 million.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develop and market new virtual behavioral health products and services that our clients and members want and are willing to purchase.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anticipate that cost of revenue and operating expenses will increase substantially in the foreseeable future. These efforts may prove more expensive than we currently anticipate, and we may not succeed in increasing our revenue sufficiently to offset these higher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 As a result of these factors, we may need to raise additional capital through debt or equity financings in order to fund our operations, and such capital may not be available on reasonable terms, if at all.</w:t>
      </w:r>
    </w:p>
    <w:p>
      <w:pPr>
        <w:spacing w:after="0" w:line="27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and the markets we operate in are new and rapidly evolving, which makes it difficult to evaluate our future prospects and the risks and challenges we may encounter.</w:t>
      </w:r>
    </w:p>
    <w:p>
      <w:pPr>
        <w:spacing w:after="0" w:line="6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Our business and the markets we operate in are new and rapidly evolving which make it difficult to evaluate and assess the success of our business to date, our future prospects and the risks and challenges that we may encounter. These risks and challenges include our ability to:</w:t>
      </w:r>
    </w:p>
    <w:p>
      <w:pPr>
        <w:spacing w:after="0" w:line="52" w:lineRule="exact"/>
        <w:rPr>
          <w:sz w:val="20"/>
          <w:szCs w:val="20"/>
          <w:color w:val="auto"/>
        </w:rPr>
      </w:pPr>
    </w:p>
    <w:p>
      <w:pPr>
        <w:ind w:left="1080" w:right="62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attract new clients and members to our platform and position our platform as a convenient and accepted way to access therapy and psychiatry;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retain our clients and members and encourage them to continue to utilize our platform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attract new and existing clients and members to rapidly adopt new offerings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increase the number of clients and members that use our subscription offerings or the number of subscription programs that we manage;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retain our clients and members that subscribe to our subscription offerings;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gain market acceptance of our services and products with clients and members and maintain and expand such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attract and retain providers for inclusion in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anticipate and respond to macroeconomic changes, and industry pricing benchmarks and changes in the markets in which we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effectively manage our growth and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forecast our revenue and budget for, and manage, our expenses and 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our platform, including our apps and websites and with respect to data protection, intellectual property and cybersecurity; and</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12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9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experienced significant growth in the last several years, and therefore our recent revenue growth rate and financial performance should not be considered indicative of our future performance. For the year ended December 31, 2019 and 2020, our revenue was $38.2 million and $76.2 million, respectively, representing a 99.6% growth rate, and for the three months ended March 31, 2021 and 2020, our revenue was $27.2 million and $11.1 million, respectively, representing a 144.2% growth rate. In addition, with the COVID-19 pandemic, we have experienced a significant increase in revenue. The circumstances that have accelerated the growth of our business stemming from the effects of the COVID-19 pandemic may not continue in the future, and future revenues may not grow at these same rates or may decline.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to expand our client, member and provider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and members may be slower to adopt our services than we currently anticipate, which could adversely affect our results of operations and growth prospects.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an investment in our securities.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have a limited operating history on which investors can base an evaluation of our business, prospects, financial condition and operating results.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condition could be materially affected. The projected financial information appearing elsewhere in this proxy statement/prospectus has been prepared with assistance from our management and reflects current estimates of future performance. The projected results depend on the successful implementation of our management’s growth strategies and are based on assumptions and events over which we have only partial or no control. The assumptions underlying such projected information require the exercise of judgment and may not occur, and the projections are subject to uncertainty due to the effects of economic, business, competitive, regulatory, legislative, political and other changes.</w:t>
      </w:r>
    </w:p>
    <w:p>
      <w:pPr>
        <w:spacing w:after="0" w:line="27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in order to execute our business plans following the business combination and related transactions, which may not be available on terms acceptable to us, or at all.</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experienced recurring losses from operations, and negative cash flows at operations, and we expect our operating expenses will increase in the foreseeable future. On March 15, 2021, our board of directors approved a contingency plan, to be effected if needed, in whole or in part, at our management’s sole discretion, to allow us to continue our operations and meet our cash obligations. Our board of directors required the contingency plan to be developed in conjunction with our entry into the Credit Agreement, and the contingency plan would only be implemented if the Transactions are not completed. The contingency plan will not be implemented if the Transactions are completed. See “Prospectus Summary—March 2021 Talkspace Contingency Plan and Credit Facility.” We believe our cash and cash equivalents on hand and cash we expect to obtain from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Business and Industry</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virtual behavioral health market is immature and volatile, and if it does not develop, if it develops more slowly than we expect, if it encounters negative publicity or if our services are not competitive, the growth of our business will be harmed.</w:t>
      </w:r>
    </w:p>
    <w:p>
      <w:pPr>
        <w:spacing w:after="0" w:line="6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virtual behavioral health market is relatively new and unproven, and it is uncertain whether it will achieve and sustain high levels of demand, consumer acceptance and market adoption. Our success will depend to a substantial extent on the willingness of our clients and members to use, and to increase the frequency and extent of their utilization of, our services and products, as well as on our ability to demonstrate the value of virtual behavioral healthcare to employers, health plans, government agencies and other purchasers of healthcare for beneficiaries. Our market may depend on our clients and members’ ability to obtain reimbursement from third-party payors, such as health plans and government agencies, as well as our ability to expand our B2B business and contract for direct reimbursement of our services from employers and health plan clients. Third-party payors in the United States may decline or reduce reimbursement for telehealth and teletherapy services, especially those provided through text messaging or other means via technology, and compliance with administrative procedures or requirements of third-party payors may result in delays in processing approvals by those payors for members to obtain coverage for our services. Failure by our members to obtain or maintain coverage or our inability to secure adequate reimbursement for our services could have an adverse effect on our business, results of operations, and financial conditions. We derive a portion of our revenues from third-party payors, and we expect that this amount will continue to increase, so any reductions in reimbursement by third-party payors could have a material and adverse impact on our projected growth. In addition, negative publicity concerning our services or the virtual behavioral health market as a whole could limit market acceptance of our services. If our clients and members do not perceive the benefits of our services and drive member engagement, or if our services are not competitive, then our market may not develop at all, or it may develop more slowly than we expect. Similarly, individual and healthcare industry concerns or negative publicity regarding patient confidentiality and privacy in the context of virtual behavioral healthcare could limit market acceptance of our services. If any of these events occurs, it could have a material adverse effect on our business, financial condition or results of operations.</w:t>
      </w:r>
    </w:p>
    <w:p>
      <w:pPr>
        <w:spacing w:after="0" w:line="29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6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March 2020, the World Health Organization declared COVID-19 a global pandemic. This contagious outbreak, which has continued to spread, and the related adverse public health developments, including orders to shelter-in-place, travel restrictions and mandated business closures, have adversely affected workforces, organizations, consumers, economies and financial markets globally, leading to an economic downturn and increased market volatility. It has also disrupted the normal operations of many businesses, including ours.</w:t>
      </w:r>
    </w:p>
    <w:p>
      <w:pPr>
        <w:spacing w:after="0" w:line="187"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As a result of the COVID-19 pandemic, our personnel are working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15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cannot predict with any certainty whether and to what degree the impact caused by the COVID-19 pandemic and reactions thereto will continue and expect to face difficulty accurately predicting our internal financial forecasts. The outbreak also presents challenges as our workforce is working remotely in helping new and existing clients, members and other consumers, many of whom are also generally working remotely.</w:t>
      </w:r>
    </w:p>
    <w:p>
      <w:pPr>
        <w:spacing w:after="0" w:line="14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It is not possible for us to accurately predict the duration or magnitude of the results of the COVID-19 and its effects on our business, results of operations or financial condition at this time, but such effects may be material.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COVID-19 pandemic may also have the effect of heightening many of the other risks identified elsewhere in this section.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technological change in our industry presents us with significant risks and challenges.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27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Doctor On Demand, MDLive, BetterHelp, Lyra Health and Ginger. In addition, large, well-financed health systems and health plans have in some cases developed their own telehealth and teletherapy tools and may provide these solutions to their consumer at discounted prices. Competition may also increase from large technology companies, such as Apple, Amazon, Facebook, Google, Verizon, or Microsoft, who may wish to develop their own virtual behavioral health solutions, as well as from large retailers like Amazon or Walmart. The surge in interest in virtual behavioral healthcare, including as a result of the COVID-19 pandemic, and in particular the relaxation of HIPAA privacy and security requirements, has also attracted new competition from providers who utilize consumer-grade video conferencing platforms such as Zoom and Twilio.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7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9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Our competitors could also be better positioned to serve certain segments of the virtual behavioral health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27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currently generate most of our revenues from members who purchase subscription access to our platform. These subscriptions generally have stated initial terms of one-to-six months. We also generate revenues from our enterprise clients, which contracts generally have stated initial terms of one year, unless earlier terminated subject to notice and other requirements. Most of our clients and members have no obligation to renew their subscriptions for our services after the initial term expires. In addition, our clients may negotiate terms less advantageous to us upon renewal, which may reduce our revenue from these clients. Additionally, as we grow our client and member bases, we will need to maintain and grow our network of providers. Certain of our providers are permitted to provide services on other platforms, and therefore, our success will be dependent on our ability to retain and recruit highly trained and licensed therapists, psychiatrists and other providers to our platform.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factors that could affect our ability to sell products and services include, but are not limited to:</w:t>
      </w:r>
    </w:p>
    <w:p>
      <w:pPr>
        <w:spacing w:after="0" w:line="131"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price, performance and functionality of our solution;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availability, price, performance and functionality of competing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ability to develop and sell complementary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stability, performance and security of our hosting infrastructure and hosting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of these consequences could lower retention and have a material adverse effect on our business, financial condition and results of operations.</w:t>
      </w:r>
    </w:p>
    <w:p>
      <w:pPr>
        <w:spacing w:after="0" w:line="35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of our business will depend in large part upon the effectiveness and efficiency of our marketing efforts, and our ability to develop brand awareness cost-effectively.</w:t>
      </w:r>
    </w:p>
    <w:p>
      <w:pPr>
        <w:spacing w:after="0" w:line="62"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Our business success depends on our ability to attract and retain clients and members, which significantly depends on our marketing practices. Our future growth and profitability will depend in large part upon the effectiveness and efficiency of our marketing efforts, including our ability to:</w:t>
      </w:r>
    </w:p>
    <w:p>
      <w:pPr>
        <w:spacing w:after="0" w:line="29"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create greater awareness of our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identify the most effective and efficient levels of spending in each market, media and specific media vehicle;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the appropriate creative messages and media mix for advertising, marketing and promotional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to maintain acceptable consumer acquisition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select the most effective markets, media and specific media vehicles in which to advertise;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convert consumer inquiries into clients and members.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adoption of our solution and attracting new clients and members. Our brand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success and future growth largely depend on our ability to increase consumer awareness of our platform and offerings,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87"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perceived health, safety or quality risks associated with the use of a new platform and applications for therapy and psychiatry;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traditional or existing relationships with therapists, psychiatrists or other providers;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concerns about the privacy and security of the data that consumers and providers share with or through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perception regarding the time and complexity of using our platform.</w:t>
      </w:r>
    </w:p>
    <w:p>
      <w:pPr>
        <w:spacing w:after="0" w:line="225" w:lineRule="exact"/>
        <w:rPr>
          <w:sz w:val="20"/>
          <w:szCs w:val="20"/>
          <w:color w:val="auto"/>
        </w:rPr>
      </w:pPr>
    </w:p>
    <w:p>
      <w:pPr>
        <w:ind w:left="120" w:right="780"/>
        <w:spacing w:after="0" w:line="342" w:lineRule="auto"/>
        <w:rPr>
          <w:sz w:val="20"/>
          <w:szCs w:val="20"/>
          <w:color w:val="auto"/>
        </w:rPr>
      </w:pPr>
      <w:r>
        <w:rPr>
          <w:rFonts w:ascii="Arial" w:cs="Arial" w:eastAsia="Arial" w:hAnsi="Arial"/>
          <w:sz w:val="16"/>
          <w:szCs w:val="16"/>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that we provide services to.</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order to grow our business, we anticipate that we will continue to depend on our existing and future relationships with third parties, such as third-party payors, including health plans and government agencies, as well as our ability to expand our B2B business with employers and health plan clients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results of operations may suffer. Even if we are successful, we cannot assure you that these relationships will result in increased client use of our services or increased revenue.</w:t>
      </w:r>
    </w:p>
    <w:p>
      <w:pPr>
        <w:spacing w:after="0" w:line="27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success is dependent upon our continued ability to maintain a network of highly trained and qualified therapists, psychiatrists and other providers. If we are unable to recruit and retain licensed therapists, psychiatrists and other providers,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members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affecting spending by the healthcare industry could adversely affect our business.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76" w:lineRule="exact"/>
        <w:rPr>
          <w:sz w:val="20"/>
          <w:szCs w:val="20"/>
          <w:color w:val="auto"/>
        </w:rPr>
      </w:pPr>
    </w:p>
    <w:p>
      <w:pPr>
        <w:ind w:left="1080" w:right="300" w:hanging="424"/>
        <w:spacing w:after="0" w:line="308" w:lineRule="auto"/>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130"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reductions in government funding for healthcare;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adverse changes in business or economic conditions affecting healthcare payors or providers or other healthcare industry participants.</w:t>
      </w:r>
    </w:p>
    <w:p>
      <w:pPr>
        <w:spacing w:after="0" w:line="248"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total addressable market (“TAM”) is based on internal estimates and third-party estimates regarding the size of each of the U.S. and international behavioral health markets and is subject to significant uncertainty and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based on assumptions that may not prove to be accurate. These estimates, as well as the estimates and forecasts in this proxy statement/prospectus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our platform or our revenue could materially adversely affect our reputation. For example, prior to the COVID-19 pandemic and the resulting shift towards the acceptance of telehealth solutions, therapists advocacy groups have lobbied the American Psychological Association to reexamine its stance on telemental health, including challenging our contracts with healthcare providers and the efficacy of telemental health, including the use of text messaging. Therapy services are subject to state law requirements, and some states may prohibit the use of text messaging or other forms of technological modalities in delivering telemental health services. With advice of regulatory counsel, we aim to structure our contracts with healthcare providers and deliver telemental health services in compliance with applicable state laws. However, in response to the COVID-19 pandemic and the limitations it created in delivering behavioral health services through in-person interactions, state and federal regulatory authorities loosened or removed a number of regulatory requirements in order to increase the availability of telehealth and teletherapy services, and both providers and patients have increasingly accepted telemental health as an alternative means of delivering and receiving behavioral health services. For more information on increased acceptance of telehealth and teletherapy services, see “</w:t>
      </w:r>
      <w:r>
        <w:rPr>
          <w:rFonts w:ascii="Arial" w:cs="Arial" w:eastAsia="Arial" w:hAnsi="Arial"/>
          <w:sz w:val="16"/>
          <w:szCs w:val="16"/>
          <w:i w:val="1"/>
          <w:iCs w:val="1"/>
          <w:color w:val="auto"/>
        </w:rPr>
        <w:t>Information About</w:t>
      </w:r>
      <w:r>
        <w:rPr>
          <w:rFonts w:ascii="Arial" w:cs="Arial" w:eastAsia="Arial" w:hAnsi="Arial"/>
          <w:sz w:val="16"/>
          <w:szCs w:val="16"/>
          <w:color w:val="auto"/>
        </w:rPr>
        <w:t xml:space="preserve"> </w:t>
      </w:r>
      <w:r>
        <w:rPr>
          <w:rFonts w:ascii="Arial" w:cs="Arial" w:eastAsia="Arial" w:hAnsi="Arial"/>
          <w:sz w:val="16"/>
          <w:szCs w:val="16"/>
          <w:i w:val="1"/>
          <w:iCs w:val="1"/>
          <w:color w:val="auto"/>
        </w:rPr>
        <w:t>Talkspace—U.S. Government Regulation</w:t>
      </w:r>
      <w:r>
        <w:rPr>
          <w:rFonts w:ascii="Arial" w:cs="Arial" w:eastAsia="Arial" w:hAnsi="Arial"/>
          <w:sz w:val="16"/>
          <w:szCs w:val="16"/>
          <w:color w:val="auto"/>
        </w:rPr>
        <w:t>.” In addition, from time to time, news media outlets have provided negative coverage regarding our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Use of social media may adversely impact our reputation, subject us to fines or other penalties or be an ineffective source to market our offerings.</w:t>
      </w:r>
    </w:p>
    <w:p>
      <w:pPr>
        <w:spacing w:after="0" w:line="15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in the past, and may in the future, use social media as part of our omnichannel approach to marketing and outreach to clients, members and other consumers. Changes to these social networking services’ terms of use or terms of service that limit promotional communications, restrictions that would limit our ability or our clients’ ability to send communications through their services, disruptions or downtime experienced by these social networking services or reductions in the use of or engagement with social networking services by current and potential clients and members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clients, members or others. Any such inappropriate use of social media could also cause reputational damage and adversely affect our business.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With respect to our plans for expansion of international operations, we may face political, legal and compliance, operational, regulatory, economic and other risks that we do not face or that are more significant than in our domestic operations.</w:t>
      </w:r>
    </w:p>
    <w:p>
      <w:pPr>
        <w:spacing w:after="0" w:line="6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With respect to our plans for expansion of international operations, we may face political, legal and compliance, operational, regulatory, economic and other risks that we do not face or that are more significant than in our domestic operations. These risks may vary widely by country and include varying regional and geopolitical business conditions and demands, government intervention and censorship, discriminatory regulation, nationalization or expropriation of assets and pricing constraints. Our future international services and products may need to meet country-specific client and member preferences as well as country-specific legal requirements, including those related to healthcare regulatory laws governing telemedicine and teletherapy services, licensing, privacy, data storage, location, protection and security. The interpretation of these laws is evolving and varies significantly from country to county and are enforced by governmental, judicial and regulatory authorities with broad discretion. We cannot be certain that our interpretation of such laws and regulations will be correct in how we plan to structure our international operations, and our arrangements with locally-licensed therapists, psychiatrists or other providers, as well as our international services agreements and client arrangements.</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plans to expand our international operations will require us to overcome logistical and other challenges based on differing languages, cultures, legal and regulatory schemes and time zones. Our international operations may encounter labor laws, customs and employee relationships that can be difficult, less flexible than in our domestic operations and expensive to modify or terminate. In some countries we are required to, or choose to, operate with local business partners, which will require us to manage our partner relationships and may reduce our operational flexibility and ability to quickly respond to business challenges.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planned international operations may be subject to particular risks in addition to those faced by our domestic operations, including:</w:t>
      </w:r>
    </w:p>
    <w:p>
      <w:pPr>
        <w:spacing w:after="0" w:line="131"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need to localize and adapt our solution for specific countries, including translation into foreign languages and associated expenses;</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potential loss of proprietary information due to misappropriation or laws that may be less protective of our intellectual property rights than U.S. laws or that may not be adequately enforced;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89" w:lineRule="exact"/>
        <w:rPr>
          <w:rFonts w:ascii="Arial" w:cs="Arial" w:eastAsia="Arial" w:hAnsi="Arial"/>
          <w:sz w:val="18"/>
          <w:szCs w:val="18"/>
          <w:color w:val="auto"/>
        </w:rPr>
      </w:pPr>
    </w:p>
    <w:p>
      <w:pPr>
        <w:ind w:left="1080" w:right="460" w:hanging="424"/>
        <w:spacing w:after="0" w:line="308"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requirements of foreign laws and other governmental controls applicable to our ability to conduct telehealth and teletherapy services internationally, specifically laws governing remote care and the practice of medicine in such locations;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data privacy laws that require that client data be stored and processed in a designated territory;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new and different sources of competition and laws and business practices favoring local competitors;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changes to export controls and economic sanctions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central bank and other restrictions on our ability to repatriate cash from international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limitations on future growth or inability to maintain current levels of revenues from international sales if we do not invest sufficiently in our international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political unrest, war, terrorism or regional natural disasters, particularly in areas in which we have facilities.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overall success regarding our planned expansion in international markets will depend, in part, on our ability to anticipate and effectively manage these risks and there can be no assurance that we will be able to do so without incurring unexpected costs. If we are not able to manage the risks related to expansion of our international operations, we may not achieve the expected benefits of this expansion and our business, financial condition and results of operations may be harmed.</w:t>
      </w:r>
    </w:p>
    <w:p>
      <w:pPr>
        <w:spacing w:after="0" w:line="29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62"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Our overall business entails the risk of medical liability claims. Although TPN and our affiliated professionals carry insurance covering medical malpractice claims in amounts that we believe are appropriate in light of the risks attendant to the services rendered, successful medical liability claims could result in substantial damage awards that exceed the limits of TPN’s and those affiliated professionals’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8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 decline in the prevalence of employer-sponsored healthcare or the emergence of new technologies may adversely impact our business-to-business segment or require us to expend significant resources in order to remain competitive.</w:t>
      </w:r>
    </w:p>
    <w:p>
      <w:pPr>
        <w:spacing w:after="0" w:line="6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adversely impact our business-to business segment where companies provide Talkspace to their employees as a benefit.</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impacted.</w:t>
      </w:r>
    </w:p>
    <w:p>
      <w:pPr>
        <w:spacing w:after="0" w:line="171"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If healthcare benefits trends shift or entirely new technologies are developed that replace existing solutions, our existing or future solutions could be adversely impacted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rely on third-party platforms such as the Apple App Store and Google Play App Store, to distribute our platform and offerings.</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7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the past, some of these platforms or marketplaces have been unavailable for short periods of time. If this or a similar event were to occur on a short-or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7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68"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members. To operate without interruption, both we and our service providers must guard against:</w:t>
      </w:r>
    </w:p>
    <w:p>
      <w:pPr>
        <w:spacing w:after="0" w:line="100"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right to use any of this hardware or software could result in delays in the provisioning of our services until equivalent technology is either developed by us, or, if available from third parties, is identified, obtained and integrated.</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and members, subject us to potential liability or adversely affect client retention.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296"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76"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Our services involve the storage and transmission of clients’ and our clients and members’ proprietary information, sensitive or confidential data, including valuable intellectual property and personal information of employees, clients, members and others, as well as the protected health information (“PHI”), of our clients and members.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we currently have in place in order to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information systems must be continually updated, patched and upgraded to protect against known vulnerabilities. The volume of new vulnerabilities has increased markedly, as has the criticality of patches and other remedial measures. In addition to remediating newly identified vulnerabilities, previously identified vulnerabilities must also be continuously addressed. Accordingly, we are at risk that cyber-attackers exploit these known vulnerabilities before they have been addressed. Any failure related to these activities and any breach of our information systems could result in significant liability and/or have a material adverse effect on our business, reputation and financial condition.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experience losses or liability not covered by insurance.</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business exposes us to risks that are inherent in the provision of virtual behavioral healthcare and access to remote, virtual healthcare and therapy.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may be adverse tax , legal and other consequences if the employment status of providers on our platform is challenged.</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30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76"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are also subject to evolving EU and UK privacy laws on cookies and e-marketing. In the European Union and the United Kingdom, regulators are increasingly focusing on compliance with requirements in the online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behavioral advertising ecosystem, and current national laws that implement the ePrivacy Directive are highly likely to be replaced by an EU regulation known as the ePrivacy Regulation which will significantly increase fines for non-compliance. In the European Union and the United Kingdom, informed consent is required for the placement of a cookie or similar technologies on a user’s device and for direct electronic marketing. The General Data Protection Regulation (“GDPR”) also imposes conditions on obtaining valid consent, such as a prohibition on pre-checked consents and a requirement to ensure separate consents are sought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8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18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tax laws could adversely affect our operating results and financial condition.</w:t>
      </w:r>
    </w:p>
    <w:p>
      <w:pPr>
        <w:spacing w:after="0" w:line="117"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The United States enacted tax reform legislation in 2017 (the “Tax Cuts and Jobs Act of 2017”) that, among other things, reduces the U.S. federal corporate income tax rate to 21%, imposes significant limitations on the deductibility of interest and executive compensation, allows for the expensing of capital expenditures, limits the deduction for net operating losses (“NOLs”) to 80% of current year taxable income in respect of losses arising in taxable years beginning after 2017, and modifies or repeals many business deductions and credits. The reduction in the U.S. federal corporate income tax rate is expected to be beneficial to us in future years in which we have net income subject to U.S. tax. The reduction in the U.S. federal corporate income tax rate also resulted in a remeasurement of our deferred tax assets and liabilities. There was no net impact on our deferred tax assets as we maintain a full valuation allowance. On March 27, 2020, the Coronavirus Aid, Relief, and Economic Security Act (the “CARES Act”) was enacted in response to the COVID-19 pandemic. The CARES Act contains certain tax provisions, including provisions that retroactively and/or temporarily suspend or relax in certain respects the application of certain provisions, such as the limitations on the deduction of NOLs and interest, in the Tax Cuts and Jobs Act of 2017.</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There are a number of uncertainties and ambiguities as to the interpretation and application of many of the provisions in the Tax Cuts and Jobs Act of 2017 and the CARES Act. In the absence of guidance on these issues, we will use what we believe are reasonable interpretations and assumptions in interpreting and applying the Tax Cuts and Jobs Act of 2017 and the CARES Act, which may change as we receive additional clarification and implementation guidance. It is also possible that the Internal Revenue Service could issue subsequent guidance or take positions on audit that differ from the interpretations and assumptions that we previously made, which could have a material adverse effect on our cash tax liabilities, results of operations and financial condition.</w:t>
      </w:r>
    </w:p>
    <w:p>
      <w:pPr>
        <w:spacing w:after="0" w:line="30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6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28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or similar taxes for virtual behavioral health services which could adversely affect our results of operations.</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attributes may be subject to certain limitations.</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of December 31, 2020, we had $97 million of U.S. federal and $105 million of state net operating loss. Certain of our U.S. federal and state net operating loss carryforwards may be carried forward indefinitely, while other of these loss carryforwards are subject to expiration (beginning in 2032). It is possible that we will not generate taxable income in time to use these net operating loss carryforwards before their expiration (or that we will not generate taxable income at all). Under the Tax Cuts 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including limitations that may result from the consummation of the Transactions.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undertaken an analysis of whether the Transactions will give rise to an “ownership change” for purposes of Section 382 and Section 383 of the Internal Revenue Code or whether there are any existing limitations on use with respect to our net operating losses and other tax attributes.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1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following:</w:t>
      </w:r>
    </w:p>
    <w:p>
      <w:pPr>
        <w:spacing w:after="0" w:line="92"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ability to maintain and grow the number of clients and members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demand for and types of services that are offered on our platform by providers;</w:t>
      </w:r>
    </w:p>
    <w:p>
      <w:pPr>
        <w:spacing w:after="0" w:line="130" w:lineRule="exact"/>
        <w:rPr>
          <w:rFonts w:ascii="Arial" w:cs="Arial" w:eastAsia="Arial" w:hAnsi="Arial"/>
          <w:sz w:val="18"/>
          <w:szCs w:val="18"/>
          <w:color w:val="auto"/>
        </w:rPr>
      </w:pPr>
    </w:p>
    <w:p>
      <w:pPr>
        <w:ind w:left="1080" w:right="104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timing of recognition of revenue, including possible delays in the recognition of revenue due to sometimes unpredictable implementation timelines;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15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ability to effectively manage the size and composition of our network of healthcare providers relative to the level of demand for services from our members and our clients’ members and patients;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client and member retention and the timing and terms of client and member renewals;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mix of products and services sold during a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security or data privacy breaches and associated remediation costs;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in the fair values of our financial instruments (including, but not limited to, certain warrants assumed in connection with the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28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very large and diverse employees could adversely affect our business.</w:t>
      </w:r>
    </w:p>
    <w:p>
      <w:pPr>
        <w:spacing w:after="0" w:line="6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success depends largely upon the continued services of our key members of senior management. These members of senior management are at-will employees and therefore they may terminate employment with us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any time with no advance notice. We also rely on our leadership team in the areas of research and development, marketing, services and general and administrative functions. From time to time, there may be changes in our management team resulting from the hiring or departure of executives, which could disrupt our business. The replacement of one or more of our executive officers or other key employees would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succession plans in place and we have employment arrangements with a limited number of key executives, these do not guarantee that the services of these or suitable successor executives will continue to be available to us.</w:t>
      </w:r>
    </w:p>
    <w:p>
      <w:pPr>
        <w:spacing w:after="0" w:line="17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success is dependent on our ability to align our talent with our business needs, engage our employees and inspire our employees to be open to change, to innovate and to maintain member- and client-focus when delivering our services. To continue to execute our growth strategy, we also must attract and retain highly skilled personnel. 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 In addition, as we expand internationally, we face the challenge of recruiting, integrating, educating, managing, retaining and developing a more culturally diverse workforce.</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job candidates require to join our company. Failure to attract new personnel or failure to retain and motivate our current personnel, could have a material adverse effect on our business, financial condition and results of operations.</w:t>
      </w:r>
    </w:p>
    <w:p>
      <w:pPr>
        <w:spacing w:after="0" w:line="269" w:lineRule="exact"/>
        <w:rPr>
          <w:sz w:val="20"/>
          <w:szCs w:val="20"/>
          <w:color w:val="auto"/>
        </w:rPr>
      </w:pPr>
    </w:p>
    <w:p>
      <w:pPr>
        <w:ind w:left="120" w:right="480"/>
        <w:spacing w:after="0" w:line="340"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23"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7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89" w:lineRule="exact"/>
        <w:rPr>
          <w:sz w:val="20"/>
          <w:szCs w:val="20"/>
          <w:color w:val="auto"/>
        </w:rPr>
      </w:pPr>
    </w:p>
    <w:p>
      <w:pPr>
        <w:ind w:left="5540" w:right="3340" w:hanging="4884"/>
        <w:spacing w:after="0" w:line="449" w:lineRule="auto"/>
        <w:tabs>
          <w:tab w:leader="none" w:pos="109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 70</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platform and contract terms, including disparities in the revenue, licensing, support or professional services model of the acquired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results of operations.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financial condition and results of operations may suffer.</w:t>
      </w:r>
    </w:p>
    <w:p>
      <w:pPr>
        <w:spacing w:after="0" w:line="31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170"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General worldwide economic conditions have experienced significant downturns during the last ten years, and market volatility and uncertainty remain widespread, making it potentially very difficult for our clients and</w:t>
      </w:r>
    </w:p>
    <w:p>
      <w:pPr>
        <w:spacing w:after="0" w:line="1"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Legal and Regulatory Environment</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ability to conduct telehealth and teletherapy services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telehealth and teletherapy services, it is uncertain how long the relaxed policies will remain in effect, and, there can be no guarantee that once the COVID-19 pandemic is over that such restrictions will not be reinstated or changed in a way that adversely affects our business.</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Additionally, it is possible that the laws and rules governing the practice of medicine and the practice of pharmacy, including remote care,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Evolving government regulations may result in increased costs or adversely affect our results of operations.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8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7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are in the process of transitioning to a structure where we will enter into various agreements with a Texas professional association entity, TPN, which in turn will contract with our affiliated professional entities and physicians, therapists, and other licensed professionals for clinical and professional services provided to our members. Once this structure is implemented,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17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TPN will contract with therapists and other licensed professionals or enter into agreements with our affiliated professional entities, physicians, therapists and other licensed professionals for the clinical and professional services provided to our members. We do not own TPN or the professional entities with which it will contract. TPN is owned by an independent Texas-licensed physician, and the other professional entities will be owned by physicians qualified to own such professional entities in the respective states. Once fully implemented, we expect that these relationships will continue, however, we cannot guarantee that they will.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9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in the process of finalizing certain agreements with TPN, which is a 100% physician-owned independent entity.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fee. The other professional entities, physicians, therapists and other licensed professionals who will provide clinical and professional services to our members through contracts with TPN will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successfully restructure our relationships with our providers to comply with these statutes, could eliminate clients located in certain states from the market for our services. Furthermore, the arrangements we are in the process of finalizing or will enter into to comply with state corporate practice of medicine doctrines and fee splitting laws could subject us to additional scrutiny by federal and state regulatory bodies regarding federal and state fraud and abuse laws. Any scrutiny, investigation, adverse determination or litigation with regard to our arrangements with TPN and our affiliated professional entities could have a material adverse effect on our business, financial condition, and results of operations.</w:t>
      </w:r>
    </w:p>
    <w:p>
      <w:pPr>
        <w:spacing w:after="0" w:line="2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Affordable Care Act in 2010 made major changes in how healthcare is delivered and reimbursed, and it increased access to health insurance benefits to the uninsured and underinsured population of the United States.</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as well as recent efforts by the Trump administration to repeal or replace certain aspects of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the enactment of the Tax Cuts and Jobs Act of 2017, there have been additional amendments to certain provisions of the ACA. We expect with the anticipated changes to the U.S. presidency and Congress, there will likely be additional changes to the ACA and/or repeal or replacement of certain changes implemented by the Trump administration. It is uncertain the extent to which any such changes may impact our business or financial condition. President Joe Biden and Congress may consider other legislation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and is in the process of reviewing this case. A decision is expected in 2021. We continue to evaluate the effect that the ACA and its possible modification or repeal and replacement has on our business. It is uncertain the extent to which any such changes may impact our business or financial condition.</w:t>
      </w:r>
    </w:p>
    <w:p>
      <w:pPr>
        <w:spacing w:after="0" w:line="17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2029, with the exception of a temporary suspension from May 1, 2020 through March 31, 2021,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92"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29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76"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The U.S. healthcare industry is heavily regulated and closely scrutinized by federal and state governments.</w:t>
      </w:r>
    </w:p>
    <w:p>
      <w:pPr>
        <w:spacing w:after="0" w:line="2"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 Applicable and potentially applicable U.S. federal and state healthcare laws and regulations include, but are not limited, to the following:</w:t>
      </w:r>
    </w:p>
    <w:p>
      <w:pPr>
        <w:spacing w:after="0" w:line="82" w:lineRule="exact"/>
        <w:rPr>
          <w:sz w:val="20"/>
          <w:szCs w:val="20"/>
          <w:color w:val="auto"/>
        </w:rPr>
      </w:pPr>
    </w:p>
    <w:p>
      <w:pPr>
        <w:ind w:left="1080" w:right="20" w:hanging="424"/>
        <w:spacing w:after="0" w:line="290"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 Sanctions for violating the Stark Law include denial of payment, civil monetary penalties of up to $25,820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$172,137 for a circumvention scheme;</w:t>
      </w:r>
    </w:p>
    <w:p>
      <w:pPr>
        <w:spacing w:after="0" w:line="70" w:lineRule="exact"/>
        <w:rPr>
          <w:rFonts w:ascii="Arial" w:cs="Arial" w:eastAsia="Arial" w:hAnsi="Arial"/>
          <w:sz w:val="16"/>
          <w:szCs w:val="16"/>
          <w:color w:val="auto"/>
        </w:rPr>
      </w:pPr>
    </w:p>
    <w:p>
      <w:pPr>
        <w:ind w:left="1080" w:hanging="424"/>
        <w:spacing w:after="0" w:line="271"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in civil monetary penalties up to $104,330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92" w:lineRule="exact"/>
        <w:rPr>
          <w:sz w:val="20"/>
          <w:szCs w:val="20"/>
          <w:color w:val="auto"/>
        </w:rPr>
      </w:pPr>
    </w:p>
    <w:p>
      <w:pPr>
        <w:ind w:left="1080" w:right="320" w:hanging="424"/>
        <w:spacing w:after="0" w:line="254"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10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HIPAA, which also imposes certain regulatory and contractual requirements regarding the privacy, security and transmission of PHI;</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federal False Claims Act that imposes civil and criminal liability, including treble damages and mandatory minimum penalties of</w:t>
      </w:r>
    </w:p>
    <w:p>
      <w:pPr>
        <w:spacing w:after="0" w:line="34" w:lineRule="exact"/>
        <w:rPr>
          <w:rFonts w:ascii="Arial" w:cs="Arial" w:eastAsia="Arial" w:hAnsi="Arial"/>
          <w:sz w:val="17"/>
          <w:szCs w:val="17"/>
          <w:color w:val="auto"/>
        </w:rPr>
      </w:pPr>
    </w:p>
    <w:p>
      <w:pPr>
        <w:ind w:left="1080" w:right="80"/>
        <w:spacing w:after="0" w:line="253" w:lineRule="auto"/>
        <w:rPr>
          <w:rFonts w:ascii="Arial" w:cs="Arial" w:eastAsia="Arial" w:hAnsi="Arial"/>
          <w:sz w:val="17"/>
          <w:szCs w:val="17"/>
          <w:color w:val="auto"/>
        </w:rPr>
      </w:pPr>
      <w:r>
        <w:rPr>
          <w:rFonts w:ascii="Arial" w:cs="Arial" w:eastAsia="Arial" w:hAnsi="Arial"/>
          <w:sz w:val="18"/>
          <w:szCs w:val="18"/>
          <w:color w:val="auto"/>
        </w:rPr>
        <w:t>$11,665 to $23,331 per false claim or statement, on individuals or entities that knowingly submit false or fraudulent claims for payment to the government or knowingly making, or causing to be made, a false statement in order to have a false claim paid, including qui tam or whistleblower suits. A claim including items or services resulting from a violation of the federal Anti-Kickback Statute constitutes a false or fraudulent claim for purposes of the False Claims Act;</w:t>
      </w:r>
    </w:p>
    <w:p>
      <w:pPr>
        <w:spacing w:after="0" w:line="98" w:lineRule="exact"/>
        <w:rPr>
          <w:rFonts w:ascii="Arial" w:cs="Arial" w:eastAsia="Arial" w:hAnsi="Arial"/>
          <w:sz w:val="17"/>
          <w:szCs w:val="17"/>
          <w:color w:val="auto"/>
        </w:rPr>
      </w:pPr>
    </w:p>
    <w:p>
      <w:pPr>
        <w:ind w:left="1080" w:right="280" w:hanging="424"/>
        <w:spacing w:after="0" w:line="311"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4" w:lineRule="exact"/>
        <w:rPr>
          <w:rFonts w:ascii="Arial" w:cs="Arial" w:eastAsia="Arial" w:hAnsi="Arial"/>
          <w:sz w:val="16"/>
          <w:szCs w:val="16"/>
          <w:color w:val="auto"/>
        </w:rPr>
      </w:pPr>
    </w:p>
    <w:p>
      <w:pPr>
        <w:ind w:left="1080" w:right="600" w:hanging="424"/>
        <w:spacing w:after="0" w:line="34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Federal Trade Commission Act and federal and state consumer protection, advertisement and unfair competition laws, which broadly regulate marketplace activities and activities that could potentially harm consumers, including information practices;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laws that regulate debt collection practices as applied to our debt collection practices;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criminal penalties on healthcare providers who fail to disclose or refund known overpayments;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76"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57"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Our use and disclosure of personally identifiable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2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privacy and security of personally identifiable information (“PII”) stored, maintained, received or transmitted electronically is an enforcement priority in the United States and abroad. While we strive to comply with all applicable privacy and security laws and regulations, as well as our own posted privacy policies, legal standards for privacy, including but not limited to “unfairness” and “deception,” as enforced by the FTC and state attorneys general,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18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5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Numerous federal and state laws and regulations govern collection, storage, dissemination, use, retention, transfer, disposal, security and confidentiality of personally identifiable health information, including HIPAA; U.S. state privacy, security and breach notification and healthcare information laws; the California Consumer Protection Act (“CCPA”); and other data protection laws.</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HIPAA establishes a set of basic national privacy and security standards for the protection of PHI, to covered entities, including certain types of health care providers and their service providers that access PHI, known as business associates. HIPAA requires covered entities and business associates to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and various other measures. Ongoing implementation and oversight of these measures involves significant time, effort and expense. While we undertake substantial efforts to secure the PHI</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maintain, use and disclose in electronic form, a cyber-attack or other intrusion that bypasses our information security systems causing an information security breach, loss of PHI, confidential member information, or other data subject to privacy laws or a material disruption of our operational systems could result in a material adverse impact on our business, along with potentially substantial fines and penalties. When acting as a service provider to licensed therapists or employee assistance programs (group health plans), we are considered a business associate under HIPAA. In some instances we may be considered a covered entity under HIPAA where our own employees are providing direct therapeutic care.</w:t>
      </w:r>
    </w:p>
    <w:p>
      <w:pPr>
        <w:spacing w:after="0" w:line="1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HIPAA also implemented the use of standard transaction code sets and standard identifiers that covered entities must use when submitting or receiving certain electronic healthcare transactions, including activities associated with the billing and collection of healthcare claims. Additionally, HIPAA imposes mandatory penalties for certain violations. Penalties for such violations of HIPAA and its implementing regulations include civil monetary penalties of up to $59,522 per violation, not to exceed approximately $1.8 million for violations of the same standard in a single calendar year (as of 2020, and subject to periodic adjustments for inflation). However, a single breach incident can result in violations of multiple standards, which could result in significant fines. A person who knowingly obtains or discloses individually identifiable health information in violation of HIPAA may face a criminal penalty of up to $50,000 and up to one-year of imprisonment. The criminal penalties increase if the wrongful conduct involves false pretenses or the intent to sell, transfer, or use identifiable health information for commercial advantage, personal gain, or malicious harm.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 In addition, HIPAA mandates that the Secretary of the U.S. Department of Health and Human Services (“</w:t>
      </w:r>
      <w:r>
        <w:rPr>
          <w:rFonts w:ascii="Arial" w:cs="Arial" w:eastAsia="Arial" w:hAnsi="Arial"/>
          <w:sz w:val="17"/>
          <w:szCs w:val="17"/>
          <w:i w:val="1"/>
          <w:iCs w:val="1"/>
          <w:color w:val="auto"/>
        </w:rPr>
        <w:t>HHS</w:t>
      </w:r>
      <w:r>
        <w:rPr>
          <w:rFonts w:ascii="Arial" w:cs="Arial" w:eastAsia="Arial" w:hAnsi="Arial"/>
          <w:sz w:val="17"/>
          <w:szCs w:val="17"/>
          <w:color w:val="auto"/>
        </w:rPr>
        <w:t>”)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8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6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 U.S. federal government and various states and governmental agencies have adopted or are considering adopting various laws, regulations and standards regarding the collection, use, retention, security, disclosure, transfer and other processing of sensitive and personal information. For example, California implemented the California Consumer Privacy Act, or CCPA, which came into effect on January 1, 2020, and to which we are subject. The CCPA imposes obligations and restrictions on businesses regarding their collection, use, processing, retaining and sharing of personal information and provides new and enhanced data privacy rights to California residents.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CCPA provides for civil penalties for violations, which could result in statutory penalties of up to $2,500 per violation, or up to $7,500 per violation if the violation is intentional. The CCPA also provides a private right of action for certain data breaches that result in the loss of personal information. This private right of action may increase the likelihood of, and risks associated with, data breach litigation. Protected health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information that is subject to HIPAA is excluded from the CCPA; however, information we hold about individual residents of California that is not subject to HIPAA would be subject to the CCPA. Because the CCPA is relatively new, there is still some uncertainty about how HIPAA and other exceptions may be applied under the CCPA. Furthermore, California voters approved the California Privacy Rights Act (“CPRA”) on November 3, 2020, which will amend and expand the CCPA, including by providing consumers with additional rights with respect to their personal information. The CPRA will come into effect on January 1, 2023, applying to information collected by businesses on or after January 1, 2022.</w:t>
      </w:r>
    </w:p>
    <w:p>
      <w:pPr>
        <w:spacing w:after="0" w:line="176"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With laws and regulations such as HIPAA, the CCPA, and the CPRA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w:t>
      </w:r>
    </w:p>
    <w:p>
      <w:pPr>
        <w:spacing w:after="0" w:line="14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Moreover, California implemented the California Confidentiality of Medical Information Act, which imposes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such as the CCPA.</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There are many other state-based data privacy and security laws and regulations that may impact our business.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with respect to sensitive and personal information than federal, international or other state laws, and such laws may differ from each other, which may complicate compliance efforts. State laws are changing rapidly and there is discussion in Congress of a new federal data protection and privacy law to which we may be subject.</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along with increased customer demands for enhanced data security infrastructure, could greatly increase our cost of providing our services, decrease demand for our services, reduce our revenue and/or subject us to additional liabilities.</w:t>
      </w:r>
    </w:p>
    <w:p>
      <w:pPr>
        <w:spacing w:after="0" w:line="178"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If we provide services to members outside the United States, we may be subject to such laws, regulations, directives and obligations in relation to processing of personal data in our customer contracts, and we may be subject to significant consequences, including penalties, fines and contractual liability, for our failure to comply. While we have not undertaken a comprehensive review of the GDPR applicability to our business given we only have very small number of users from that region, the GDPR imposes stringent data protection requirements, with enhanced obligations on the processing of sensitive data, including information that relates to mental health, and provides for severe penalties for breach, which could be imposed directly in connection with future European operations. EU Member States are also able to legislate separately on sensitive data (i.e. mental health), and we must comply with these local laws where we operate. European data protection law also imposes strict rules on the transfer of personal data out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of the EEA to the United States that are currently the subject of draft guidance. Following its departure from the EU, the United Kingdom has its own national legislation that imposes similar obligations and penalties to the GDPR. These obligations may be interpreted and applied in a manner that is inconsistent from one jurisdiction to another and may conflict with other requirements or our practices. The relationship between the UK and the EU in relation to certain aspects of data protection law, particularly transfers of personal data (on expiry of the current grace period on June 30, 2021, unless terminated earlier), remains unsettled following the Brexit Trade and Cooperation Agreement and regulatory changes in both the EU and UK may lead to additional compliance costs and could increase our overall risk. Failure to comply with the requirements of the GDPR and the applicable national data protection laws of the EU and European Economic Area (“EEA”) member states or the UK may result in fines of up to €20,000,000 (or £17.5 million in the UK) or up to 4% of the total worldwide annual revenue of Talkspace of the preceding financial year under each regime, whichever is higher, and other administrative penalties. If we provide services outside the United States, we must may need to comply with such laws, regulations and directives and we may be subject to significant consequences, including penalties and fines, for our failure to comply. For example, the European Commission has enacted the General Data Protection Regulation (“GDPR”), that became effective in May 2018 for controllers and processors of personal data, which imposes more stringent data protection requirements and provides for severe penalties for breach, which could be imposed directly in connection with future European operations. Failure to comply with the requirements of GDPR and the applicable national data protection laws of the EU and European Economic Area (“EEA”) member states may result in fines of up to €20,000,000 or up to 4% of the total worldwide annual revenue of Talkspace of the preceding financial year, whichever is higher, and other administrative penalties. To comply with the GDPR we may be required to put in place additional mechanisms policies and procedures ensuring compliance. European data protection law also imposes strict rules on the transfer of personal data out of the EEA to the United States that are currently the subject of draft guidance. These obligations may be interpreted and applied in a manner that is inconsistent from one jurisdiction to another and may conflict with other requirements or our practices. Moreover, following the United Kingdom’s (“UK”) withdrawal from the EU, we have to comply with the GDPR and separately the GDPR as implemented in the UK, each regime having the ability to fine up to the greater of €20 million (£17 million) or 4% of global turnover. The relationship between the UK and the EU in relation to certain aspects of data protection law remains unclear, e.g. how data transfers between EU member states and the UK will be treated. These changes may lead to additional compliance costs and could increase our overall risk. 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client and member confidence, damage to our brand and reputation, and a loss of clients and/or members, any of which could have an adverse effect on our business.</w:t>
      </w:r>
    </w:p>
    <w:p>
      <w:pPr>
        <w:spacing w:after="0" w:line="38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16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Because of the extreme sensitivity of the information which we receive, store and transmit on behalf of therapists, clients, and others, the security features of our technology platform are very important.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9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If our security measures, some of which are managed by third parties, are breached or fail, unauthorized persons may be able to obtain access to sensitive client and member data, including PHI and PII. As a result, our reputation could be severely damaged, adversely affecting client and member confidence. Members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1"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members’ proprietary and protected health information.</w:t>
      </w:r>
    </w:p>
    <w:p>
      <w:pPr>
        <w:spacing w:after="0" w:line="16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 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27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76"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Expansion of our operations into markets outside the United States is one of our strategies for the future growth of our business. In connection with those plans, we may be or may become subject to compliance obligations under anti-corruption laws and regulations imposed by governmental authorities around the world with jurisdiction over our operations, which may include the FCPA, as well as the anti-corruption laws and regulations of other jurisdictions where we conduct business. These laws and regulations apply to companies, directors, officers, employees and agents, and may impact the way we conduct our operations, trade practices, investment decisions and partnering activities. Where they apply, the FCPA and the U.K. Bribery Act of 2010 (the “UK Bribery Act”) prohibit us and our officers, directors and employees, as well as any third parties acting on our behalf, including joint venture partners and agents, from corruptly offering, promising, authorizing or providing anything of value to public officials or other persons for the purpose of influencing official decisions or obtaining or retaining business or otherwise obtaining an improper business benefit. As part of our business, we may deal with non-U.S. governments and state-owned business enterprises, the employees and representatives of which may be considered foreign officials for purposes of the FCPA.</w:t>
      </w:r>
    </w:p>
    <w:p>
      <w:pPr>
        <w:spacing w:after="0" w:line="18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connection with our planned expansion of our international operations, we will become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Our business also will need to be conducted in compliance with applicable export controls and economic sanctions laws and regulations, including those of the U.S. government, the governments of other countries in which we operate or plan to operate in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pursuant to export controls and economic sanctions laws and regulations. Our provision of services outside of the United States exposes us to the risk of violating, or being accused of violating, anti-corruption, exports controls and economic sanctions laws and regulations. Though we have implemented an anti-corruption policy, as well as formal training and monitoring programs, we cannot ensure that our policies and procedures will always protect us from risks associated with any unlawful acts carried out by our employees or agents. Violations of anti-corruption, exports controls or economic sanctions laws and regulations may expose us to reputational harm, as well as significant civil and criminal penalties, including monetary fines, imprisonment, disgorgement of profits, injunctions, suspension or debarment from government contracts, and other remedial measures. Investigations of alleged violations can be expensive and disruptive to our operations. Violations could have a material adverse effect on our reputation, business, financial condition and results of operations.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Any failure to protect, enforce or defend our intellectual property rights could impair our ability to protect our technology and our brand.</w:t>
      </w:r>
    </w:p>
    <w:p>
      <w:pPr>
        <w:spacing w:after="0" w:line="14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8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61"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Third parties may challenge the validity of our trademarks and patents or oppose trademark and patent applications. We may not be able to obtain and enforce additional patents to protect our proprietary rights from use by potential competitors. Companies with other patents could require us to stop using or pay to use required technology.</w:t>
      </w:r>
    </w:p>
    <w:p>
      <w:pPr>
        <w:spacing w:after="0" w:line="7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through trademarks, patents,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rely on our trademarks, trade name and brand names to distinguish our products and services from the products and services of our competitors, and we have registered or applied to register many of these trademarks. We cannot assure you that any future trademark applications will be approved. Third parties may also oppose our future trademark applications, or otherwise challenge our use of our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6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In that event, any competitive advantage that such patents might provide would be lost. If we are unable to secure or maintain patent coverage, our technology could become subject to competition from the sale of similar competing products.</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88"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recent years, there has been significant litigation in the United States involving patents and other intellectual property rights. Companies in the Internet and technology industries are increasingly bringing and becoming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8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78"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63"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cease offering or using technologies that incorporate the challenged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to sell or use the relevant technology;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redesign technology to avoid infringement.</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92"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16"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resolve any technical issues in a timely manner, we may lose clients and our reputation may be harmed.</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clients. Further, if we are unable to address clients’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2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6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6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HEC and the Business Combination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HEC prior to the consummation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Sponsor and the HEC Insiders have agreed to vote in favor of the business combination, regardless of how HEC’s public stockholders vote.</w:t>
      </w:r>
    </w:p>
    <w:p>
      <w:pPr>
        <w:spacing w:after="0" w:line="14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Unlike many other blank check companies in which the initial stockholders agree to vote their founder shares in accordance with the majority of the votes cast by the public stockholders in connection with an initial business combination, the Sponsor and the HEC Insiders have agreed to vote any shares of HEC’s common stock owned by them in favor of the Merger Agreement and the Transactions, in each case, subject to the terms and conditions contemplated by the Sponsor Support Agreement. As of the date of this proxy statement/prospectus, the Sponsor and the HEC Insiders own shares equal to approximately 20% of the issued and outstanding shares of HEC’s common stock. Accordingly, it is more likely that the necessary stockholder approval will be received for the business combination than would be the case if the Sponsor and the HEC Insiders agreed to vote any shares of HEC’s common stock owned by them in accordance with the majority of the votes cast by the public stockholders.</w:t>
      </w:r>
    </w:p>
    <w:p>
      <w:pPr>
        <w:spacing w:after="0" w:line="28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The Sponsor, certain members of the HEC Board and certain HEC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7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When considering the HEC Board’s recommendation that our stockholders vote in favor of the approval of the business combination proposal and the other proposals described in this proxy statement/prospectus, our stockholders should be aware that the Sponsor and certain directors and officers of HEC have interests in the business combination that may be different from, or in addition to, the interests of our stockholders generally. These interests include:</w:t>
      </w:r>
    </w:p>
    <w:p>
      <w:pPr>
        <w:spacing w:after="0" w:line="92" w:lineRule="exact"/>
        <w:rPr>
          <w:sz w:val="20"/>
          <w:szCs w:val="20"/>
          <w:color w:val="auto"/>
        </w:rPr>
      </w:pPr>
    </w:p>
    <w:p>
      <w:pPr>
        <w:ind w:left="540" w:right="500" w:hanging="316"/>
        <w:spacing w:after="0" w:line="27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fact that the Sponsor and the HEC Insiders have agreed not to redeem any of the founder shares in connection with a stockholder vote to approve a proposed initial business combination;</w:t>
      </w:r>
    </w:p>
    <w:p>
      <w:pPr>
        <w:spacing w:after="0" w:line="75" w:lineRule="exact"/>
        <w:rPr>
          <w:rFonts w:ascii="Arial" w:cs="Arial" w:eastAsia="Arial" w:hAnsi="Arial"/>
          <w:sz w:val="18"/>
          <w:szCs w:val="18"/>
          <w:color w:val="auto"/>
        </w:rPr>
      </w:pPr>
    </w:p>
    <w:p>
      <w:pPr>
        <w:ind w:left="540" w:right="520" w:hanging="316"/>
        <w:spacing w:after="0" w:line="308" w:lineRule="auto"/>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continued right of the Sponsor to hold Talkspace, Inc. common stock and the shares of Talkspace, Inc. common stock to be issued to the Sponsor upon exercise of its private placement warrants following the Transactions, subject to certain lock-up periods;</w:t>
      </w:r>
    </w:p>
    <w:p>
      <w:pPr>
        <w:spacing w:after="0" w:line="51" w:lineRule="exact"/>
        <w:rPr>
          <w:rFonts w:ascii="Arial" w:cs="Arial" w:eastAsia="Arial" w:hAnsi="Arial"/>
          <w:sz w:val="17"/>
          <w:szCs w:val="17"/>
          <w:color w:val="auto"/>
        </w:rPr>
      </w:pPr>
    </w:p>
    <w:p>
      <w:pPr>
        <w:ind w:left="540" w:right="160" w:hanging="316"/>
        <w:spacing w:after="0" w:line="311"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completion window, the Sponsor has agreed to indemnify us to ensure that the proceeds in the trust account are not reduced below $10.00 per public share, or such lesser per public share amount as is in the trust account on the liquidation date, by the claims of prospective target businesses with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spacing w:after="0" w:line="263" w:lineRule="auto"/>
        <w:rPr>
          <w:sz w:val="20"/>
          <w:szCs w:val="20"/>
          <w:color w:val="auto"/>
        </w:rPr>
      </w:pPr>
      <w:r>
        <w:rPr>
          <w:rFonts w:ascii="Arial" w:cs="Arial" w:eastAsia="Arial" w:hAnsi="Arial"/>
          <w:sz w:val="18"/>
          <w:szCs w:val="18"/>
          <w:color w:val="auto"/>
        </w:rPr>
        <w:t>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89" w:lineRule="exact"/>
        <w:rPr>
          <w:sz w:val="20"/>
          <w:szCs w:val="20"/>
          <w:color w:val="auto"/>
        </w:rPr>
      </w:pPr>
    </w:p>
    <w:p>
      <w:pPr>
        <w:ind w:left="540" w:right="80" w:hanging="316"/>
        <w:spacing w:after="0" w:line="277"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fact that the Sponsor and officers and directors of HEC will lose their entire investment in us and will not be reimbursed for any out-of-pocket expenses if an initial business combination is not consummated within the completion window;</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fact that the Sponsor and the HEC Insiders have agreed to waive their rights to liquidating distributions from the trust account with respect to their founder shares if we fail to complete an initial business combination within the completion window;</w:t>
      </w:r>
    </w:p>
    <w:p>
      <w:pPr>
        <w:spacing w:after="0" w:line="75" w:lineRule="exact"/>
        <w:rPr>
          <w:rFonts w:ascii="Arial" w:cs="Arial" w:eastAsia="Arial" w:hAnsi="Arial"/>
          <w:sz w:val="18"/>
          <w:szCs w:val="18"/>
          <w:color w:val="auto"/>
        </w:rPr>
      </w:pPr>
    </w:p>
    <w:p>
      <w:pPr>
        <w:ind w:left="540" w:right="380" w:hanging="316"/>
        <w:spacing w:after="0" w:line="263"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fact that the Sponsor paid an aggregate of approximately $10,280,000 for its 10,280,000 private placement warrants to purchase shares of HEC’s Class A common stock and that such private placement warrants will expire worthless if a business combination is not consummated within the completion window; and</w:t>
      </w:r>
    </w:p>
    <w:p>
      <w:pPr>
        <w:spacing w:after="0" w:line="89" w:lineRule="exact"/>
        <w:rPr>
          <w:rFonts w:ascii="Arial" w:cs="Arial" w:eastAsia="Arial" w:hAnsi="Arial"/>
          <w:sz w:val="18"/>
          <w:szCs w:val="18"/>
          <w:color w:val="auto"/>
        </w:rPr>
      </w:pPr>
    </w:p>
    <w:p>
      <w:pPr>
        <w:ind w:left="540" w:right="100" w:hanging="316"/>
        <w:spacing w:after="0" w:line="279" w:lineRule="auto"/>
        <w:tabs>
          <w:tab w:leader="none" w:pos="5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fact that at the Closing, the Sponsor will enter into the Registration Rights Agreement with Talkspace, Inc. and certain former stockholders of Talkspace, which provides for, among other things, registration rights, including, among other things, customary demand, shelf and piggy-back rights, subject to certain restrictions and customary cut-back provisions with respect to the shares of Talkspace, Inc. common stock or warrants to purchase shares of Talkspace, Inc. common stock held by certain parties following the Closing.</w:t>
      </w:r>
    </w:p>
    <w:p>
      <w:pPr>
        <w:spacing w:after="0" w:line="17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personal and financial interests of our officers and directors may have influenced their motivation in identifying and selecting Talkspace, completing a business combination with Talkspace and may influence their operation of Talkspace, Inc. following the business combination. This risk may become more acute as the deadline of June 11, 2022 for completing an initial business combination nears.</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HEC Board was aware of and considered these interests, among other matters, in evaluating and negotiating the Transactions and in recommending to the HEC stockholders that they vote “FOR” the proposals presented at the special meeting. In considering the recommendations of the HEC Board to vote for the proposals, its shareholders should consider these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HEC Board did not obtain a third-party valuation or fairness opinion in determining whether or not to proceed with the business combination.</w:t>
      </w:r>
    </w:p>
    <w:p>
      <w:pPr>
        <w:spacing w:after="0" w:line="15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HEC Board did not obtain a third-party valuation or fairness opinion in connection with its determination to approve the Transactions. In analyzing the business combination, the HEC Board and management conducted due diligence on Talkspace. The HEC Board reviewed comparisons of selected financial data of Talkspace with its peers in the industry and the financial terms set forth in the Merger Agreement, and concluded that the business combination was in the best interest of HEC’s shareholders. The officers and directors of HEC, including Mr. Braunstein, have substantial experience in evaluating the operating and financial merits of companies from a wide range of industries and concluded that their experience and backgrounds, together with the experience and sector expertise of HEC’s capital markets and other advisors, including J.P. Morgan’s M&amp;A Advisory group, J.P. Morgan’s Equity Capital Markets group and Citigroup, enabled them to perform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necessary analyses and make determinations regarding the Transactions. Accordingly, investors will be relying solely on the judgment of the HEC Board in valuing Talkspace’s business, and assuming the risk that the HEC Board may not have properly valued such business. The lack of a third-party valuation or fairness opinion may also lead an increased number of stockholders to vote against the proposed business combination or demand redemption of their shares for cash, which could potentially impact HEC’s ability to consummate the business combination. For more information on the HEC Board’s decision-making process, see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w:t>
      </w:r>
      <w:r>
        <w:rPr>
          <w:rFonts w:ascii="Arial" w:cs="Arial" w:eastAsia="Arial" w:hAnsi="Arial"/>
          <w:sz w:val="18"/>
          <w:szCs w:val="18"/>
          <w:i w:val="1"/>
          <w:iCs w:val="1"/>
          <w:color w:val="auto"/>
        </w:rPr>
        <w:t>HEC’s Board of Directors’ Reasons for Approval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Transactions</w:t>
      </w:r>
      <w:r>
        <w:rPr>
          <w:rFonts w:ascii="Arial" w:cs="Arial" w:eastAsia="Arial" w:hAnsi="Arial"/>
          <w:sz w:val="18"/>
          <w:szCs w:val="18"/>
          <w:color w:val="auto"/>
        </w:rPr>
        <w:t>.”</w:t>
      </w:r>
    </w:p>
    <w:p>
      <w:pPr>
        <w:spacing w:after="0" w:line="30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The Sponsor is liable to ensure that proceeds of the trust are not reduced by vendor claims in the event a business combination is not consummated. The Sponsor has also agreed to pay for any liquidation expenses if a business combination is not consummated. Such liability may have influenced the Sponsor’s decision to approve the Transactions.</w:t>
      </w:r>
    </w:p>
    <w:p>
      <w:pPr>
        <w:spacing w:after="0" w:line="76"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If the Transactions or another business combination are not consummated by HEC within the completion window, the Sponsor will be liable under certain circumstances to ensure that the proceeds in the trust account are not reduced by the claims of target businesses or claims of vendors or other entities that are owed money by HEC for services rendered or contracted for or products sold to HEC. If HEC consummates a business combination, including the Transactions, on the other hand, HEC will be liable for all such claims. Neither HEC nor the Sponsor has any reason to believe that the Sponsor will not be able to fulfill its indemnity obligations to HEC. Please see the section entitled “</w:t>
      </w:r>
      <w:r>
        <w:rPr>
          <w:rFonts w:ascii="Arial" w:cs="Arial" w:eastAsia="Arial" w:hAnsi="Arial"/>
          <w:sz w:val="18"/>
          <w:szCs w:val="18"/>
          <w:i w:val="1"/>
          <w:iCs w:val="1"/>
          <w:color w:val="auto"/>
        </w:rPr>
        <w:t>Other Information Related to HEC</w:t>
      </w:r>
      <w:r>
        <w:rPr>
          <w:rFonts w:ascii="Arial" w:cs="Arial" w:eastAsia="Arial" w:hAnsi="Arial"/>
          <w:sz w:val="18"/>
          <w:szCs w:val="18"/>
          <w:color w:val="auto"/>
        </w:rPr>
        <w:t>—</w:t>
      </w:r>
      <w:r>
        <w:rPr>
          <w:rFonts w:ascii="Arial" w:cs="Arial" w:eastAsia="Arial" w:hAnsi="Arial"/>
          <w:sz w:val="18"/>
          <w:szCs w:val="18"/>
          <w:i w:val="1"/>
          <w:iCs w:val="1"/>
          <w:color w:val="auto"/>
        </w:rPr>
        <w:t>Liquidation if</w:t>
      </w:r>
      <w:r>
        <w:rPr>
          <w:rFonts w:ascii="Arial" w:cs="Arial" w:eastAsia="Arial" w:hAnsi="Arial"/>
          <w:sz w:val="18"/>
          <w:szCs w:val="18"/>
          <w:color w:val="auto"/>
        </w:rPr>
        <w:t xml:space="preserve"> </w:t>
      </w:r>
      <w:r>
        <w:rPr>
          <w:rFonts w:ascii="Arial" w:cs="Arial" w:eastAsia="Arial" w:hAnsi="Arial"/>
          <w:sz w:val="18"/>
          <w:szCs w:val="18"/>
          <w:i w:val="1"/>
          <w:iCs w:val="1"/>
          <w:color w:val="auto"/>
        </w:rPr>
        <w:t>no Business Combination</w:t>
      </w:r>
      <w:r>
        <w:rPr>
          <w:rFonts w:ascii="Arial" w:cs="Arial" w:eastAsia="Arial" w:hAnsi="Arial"/>
          <w:sz w:val="18"/>
          <w:szCs w:val="18"/>
          <w:color w:val="auto"/>
        </w:rPr>
        <w:t>” for further information.</w:t>
      </w:r>
    </w:p>
    <w:p>
      <w:pPr>
        <w:spacing w:after="0" w:line="19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These obligations of the Sponsor may have influenced the Sponsor’s decision to approve the Transactions and to continue to pursue such business combination. Each of the Insiders has an indirect economic interest in the founder shares and private placement warrants purchased by the Sponsor as a result of his or her membership interest in the Sponsor. In addition, Douglas Braunstein and Douglas Bergeron may be deemed to have an indirect economic interest in the founder shares and private placement warrants purchased by the Sponsor as a result of HEC Fund, having membership interests in the Sponsor, and their respective affiliation with such entities. In considering the recommendations of the HEC Board to vote for the business combination proposal and the other proposals described in this proxy statement/prospectus, HEC’s stockholders should consider these interests.</w:t>
      </w:r>
    </w:p>
    <w:p>
      <w:pPr>
        <w:spacing w:after="0" w:line="27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exercise of HEC’s directors’ and officers’ discretion in agreeing to changes or waivers in the terms of the Transactions may result in a conflict of interest when determining whether such changes to the terms of the Transactions or waivers of conditions are appropriate and in HEC’s stockholders’ best interest.</w:t>
      </w:r>
    </w:p>
    <w:p>
      <w:pPr>
        <w:spacing w:after="0" w:line="76" w:lineRule="exact"/>
        <w:rPr>
          <w:sz w:val="20"/>
          <w:szCs w:val="20"/>
          <w:color w:val="auto"/>
        </w:rPr>
      </w:pPr>
    </w:p>
    <w:p>
      <w:pPr>
        <w:ind w:left="120" w:right="180"/>
        <w:spacing w:after="0" w:line="268" w:lineRule="auto"/>
        <w:rPr>
          <w:sz w:val="20"/>
          <w:szCs w:val="20"/>
          <w:color w:val="auto"/>
        </w:rPr>
      </w:pPr>
      <w:r>
        <w:rPr>
          <w:rFonts w:ascii="Arial" w:cs="Arial" w:eastAsia="Arial" w:hAnsi="Arial"/>
          <w:sz w:val="17"/>
          <w:szCs w:val="17"/>
          <w:color w:val="auto"/>
        </w:rPr>
        <w:t>In the period leading up to Closing, events may occur that, pursuant to the Merger Agreement, would require HEC to agree to amend the Merger Agreement, to consent to certain actions taken by Talkspace or to waive rights that HEC is entitled to under, or conditions of, the Merger Agreement. Such events could arise because of changes in the course of Talkspace’s business, a request by Talkspace to undertake actions that would otherwise be prohibited by the terms of the Merger Agreement or the occurrence of other events that would have a material adverse effect on Talkspace’s business and would entitle HEC to terminate the Merger Agreement. In any of such circumstances, it would be at HEC’s discretion, acting through the HEC Board, to grant its consent or waive those rights or conditions. The existence of the financial and personal interests of the directors described in the preceding risk factors (and described elsewhere in this proxy statement/prospectus) may result in a conflict of interest on the part of one or more of the directors between what he, she or they may believe is best for HEC and what he, she or they may believe is best for himself, herself or themselves in determining whether or not to take the requested action. As of the date of this proxy statement/prospectus, HEC does not believe there will be any material changes or waivers that HEC’s directors and officers would be likely to make after the mailing of this proxy statement/prospectus. While certain changes could be made without further shareholder approval, HEC will circulate a new or amended proxy statement/prospectus or supplement thereto if changes to the terms of the Transactions that would have a material impact on its stockholders are required prior to the vote on the business combination proposal.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If HEC is unable to complete the Transactions or another initial business combination by June 11, 2022, HEC will cease all operations except for the purpose of winding up, redeeming 100% of the outstanding public shares and, subject to the approval of its remaining stockholders and the HEC Board, dissolving and liquidating. In such event, third parties may bring claims against HEC and, as a result, the proceeds held in the trust account could be reduced and the per-share liquidation price received by stockholders could be less than $10.00 per share.</w:t>
      </w:r>
    </w:p>
    <w:p>
      <w:pPr>
        <w:spacing w:after="0" w:line="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the terms of HEC’s current certificate of incorporation, HEC must complete a business combination before the end of the completion window, or HEC must cease all operations except for the purpose of winding up, redeeming 100% of the outstanding public shares and, subject to the approval of its remaining stockholders and the HEC Board, dissolving and liquidating. In such event, third parties may bring claims against HEC. Although HEC has obtained waiver agreements from certain vendors and service providers it has engaged and owes money to, and the prospective target businesses it has negotiated with, whereby such parties have waived any right, title, interest or claim of any kind they may have in or to any monies held in the trust account, there is no guarantee that they or other vendors who did not execute such waivers will not seek recourse against the trust account notwithstanding such agreements. Furthermore, there is no guarantee that a court will uphold the validity of such agreements. Accordingly, the proceeds held in the trust account could be subject to claims which could take priority over those of HEC’s public stockholders. If HEC is unable to complete a business combination within the completion window, the Sponsor will be liable under certain circumstances to ensure that the proceeds in the trust account are not reduced by the claims of target businesses or claims of vendors or other entities that are owed money by HEC for services rendered or contracted for or products sold to HEC. However, they may not be able to meet such obligation. Therefore, the per-share distribution from the trust account in such a situation may be less than $10.00 due to such claims.</w:t>
      </w:r>
    </w:p>
    <w:p>
      <w:pPr>
        <w:spacing w:after="0" w:line="17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Additionally, if HEC is forced to file a bankruptcy case or an involuntary bankruptcy case is filed against it which is not dismissed, or if HEC otherwise enters compulsory or court supervised liquidation, the proceeds held in the trust account could be subject to applicable bankruptcy law, and may be included in its bankruptcy estate and subject to the claims of third parties with priority over the claims of its stockholders. To the extent any bankruptcy claims deplete the trust account, HEC may not be able to return to its public stockholders at least $10.00 per share.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HEC’s stockholders may be held liable for claims by third parties against HEC to the extent of distributions received by them.</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If HEC is unable to complete the Transactions or another business combination within the completion window, HEC will (i) cease all operations except for the purpose of winding up, (ii) as promptly as reasonably possible but not more than ten (10)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its remaining stockholders and the HEC Board, dissolve and liquidate, subject (in the case of (ii) and (iii) above) to its obligations under Delaware law to provide for claims of creditors and the requirements of other applicable law. HEC cannot assure you that it will properly assess all claims that may be potentially brought against HEC. As such, HEC’s stockholders could potentially be liable for any claims to the extent of distributions received by them (but no more) and any liability of its stockholders may extend well beyond the third anniversary of the date of distribution. Accordingly, HEC cannot assure you that third parties will not seek to recover from its stockholders amounts owed to them by HEC.</w:t>
      </w:r>
    </w:p>
    <w:p>
      <w:pPr>
        <w:spacing w:after="0" w:line="166"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If HEC is forced to file a bankruptcy case or an involuntary bankruptcy case is filed against it which is not dismissed, any distributions received by stockholders could be viewed under applicable debtor/creditor and/or bankruptcy laws as either a “preferential transfer” or a “fraudulent conveyance.” As a result, a bankruptcy court could seek to recover all amounts received by HEC’s stockholders. Furthermore, because HEC intends to distribute the proceeds held in the trust account to its public stockholders promptly after the expiration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time period to complete a business combination, this may be viewed or interpreted as giving preference to its public stockholders over any potential creditors with respect to access to or distributions from its assets. Furthermore, the HEC Board may be viewed as having breached their fiduciary duties to HEC’s creditors and/or may have acted in bad faith, and thereby exposing itself and HEC to claims of punitive damages, by paying public stockholders from the trust account prior to addressing the claims of creditors. HEC cannot assure you that claims will not be brought against it for these reasons.</w:t>
      </w:r>
    </w:p>
    <w:p>
      <w:pPr>
        <w:spacing w:after="0" w:line="2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Activities taken by existing HEC stockholders to increase the likelihood of approval of the business combination proposal and the other proposals described in this proxy statement/prospectus could have a depressive effect on HEC’s securities.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At any time prior to the special meeting, during a period when they are not then aware of any material nonpublic information regarding HEC or its securities, the Sponsor, directors, officers, advisors or any of their respective affiliates and/or their respective affiliates may purchase shares from institutional and other investors who vote, or indicate an intention to vote, against the business combination proposal, or execute agreements to purchase such shares from such investors in the future, or they may enter into transactions with such investors and others to provide them with incentives to acquire shares of HEC’s common stock or vote their shares in favor of the business combination proposal. The purpose of such share purchases and other transactions would be to increase the likelihood of satisfaction of the requirements to consummate the Transactions where it appears that such requirements would otherwise not be met. Entering into any such arrangements may have a depressive effect on HEC’s securities. For example, as a result of these arrangements, an investor or holder may have the ability to effectively purchase shares at a price lower than the market price and may therefore be more likely to sell the shares they own, either prior to or immediately after the special meeting.</w:t>
      </w:r>
    </w:p>
    <w:p>
      <w:pPr>
        <w:spacing w:after="0" w:line="274" w:lineRule="exact"/>
        <w:rPr>
          <w:sz w:val="20"/>
          <w:szCs w:val="20"/>
          <w:color w:val="auto"/>
        </w:rPr>
      </w:pPr>
    </w:p>
    <w:p>
      <w:pPr>
        <w:ind w:left="120" w:right="400"/>
        <w:spacing w:after="0" w:line="340" w:lineRule="auto"/>
        <w:rPr>
          <w:sz w:val="20"/>
          <w:szCs w:val="20"/>
          <w:color w:val="auto"/>
        </w:rPr>
      </w:pPr>
      <w:r>
        <w:rPr>
          <w:rFonts w:ascii="Arial" w:cs="Arial" w:eastAsia="Arial" w:hAnsi="Arial"/>
          <w:sz w:val="15"/>
          <w:szCs w:val="15"/>
          <w:b w:val="1"/>
          <w:bCs w:val="1"/>
          <w:i w:val="1"/>
          <w:iCs w:val="1"/>
          <w:color w:val="auto"/>
        </w:rPr>
        <w:t>HEC’s stockholders will experience dilution as a consequence of, among other transactions, the issuance of Talkspace, Inc. common stock as consideration in the business combination and the PIPE Investment and due to future issuances pursuant to our 2021 Plan. Having a minority share position in Talkspace, Inc. may reduce the influence that HEC’s current stockholders have on the management of Talkspace, Inc.</w:t>
      </w:r>
    </w:p>
    <w:p>
      <w:pPr>
        <w:spacing w:after="0" w:line="23"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Talkspace employees, directors and consultants hold, and after the business combination, may be granted, equity awards under the 2021 Plan and/or purchase rights under the ESPP. You will experience additional dilution when those equity awards and purchase rights become vested and settled or exercisable, as applicable, for shares of Talkspace, Inc. common stock.</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The issuance of additional shares of Talkspace, Inc. common stock will significantly dilute the equity interests of existing holders of HEC securities and may adversely affect prevailing market prices for Talkspace, Inc. common stock or public warrants. Having a minority ownership interest in Talkspace, Inc. may reduce the influence that HEC’s current public stockholders have on the management of Talkspace, Inc.</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Sponsor, existing stockholders of Talkspace and the PIPE Investors will beneficially own a significant equity interest in HEC and may take actions that conflict with your interests.</w:t>
      </w:r>
    </w:p>
    <w:p>
      <w:pPr>
        <w:spacing w:after="0" w:line="62"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interests of the Sponsor, existing stockholders of Talkspace and the PIPE Investors may not align with the interests of HEC and its other stockholders. The Sponsor, certain existing stockholders of Talkspace and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PIPE Investors are each in the business of making investments in companies and may acquire and hold interests in businesses that compete directly or indirectly with HEC. The Sponsor, existing stockholders of Talkspace and the PIPE Investors, and their respective affiliates, may also pursue acquisition opportunities that may be complementary to HEC’s business and, as a result, those acquisition opportunities may not be available to us. The second amended and restated certificate of incorporation provides that certain parties may engage in competitive businesses and renounces any entitlement to certain corporate opportunities offered to the PIPE Investors or any of their managers, officers, directors, equity holders, members, principals, affiliates and subsidiaries (other than HEC and its subsidiaries) that are not expressly offered to them in their capacities as directors or officers of HEC. The second amended and restated certificate of incorporation also provides that certain parties or any of their managers, officers, directors, equity holders, members, principals, affiliates and subsidiaries (other than HEC and its subsidiaries) do not have any fiduciary duty to refrain from engaging, directly or indirectly, in the same or similar business activities or lines of business as HEC or any of its subsidiaries.</w:t>
      </w:r>
    </w:p>
    <w:p>
      <w:pPr>
        <w:spacing w:after="0" w:line="27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Talkspace, Inc. common stock or other equity securities without your approval, which would dilute your ownership interests and may depress the market price of your shares.</w:t>
      </w:r>
    </w:p>
    <w:p>
      <w:pPr>
        <w:spacing w:after="0" w:line="62"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may issue additional shares of Talkspace, Inc. common stock or other equity securities of equal or senior rank in the future in connection with, among other things, future acquisitions, repayment of outstanding indebtedness or under our 2021 Plan or ESPP, without stockholder approval, in a number of circumstances.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issuance of additional shares of Talkspace, Inc. common stock or other equity securities of equal or senior rank could have the following effects:</w:t>
      </w:r>
    </w:p>
    <w:p>
      <w:pPr>
        <w:spacing w:after="0" w:line="154" w:lineRule="exact"/>
        <w:rPr>
          <w:sz w:val="20"/>
          <w:szCs w:val="20"/>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your proportionate ownership interest in HEC will decrease;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HEC’s common stock may be diminished;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market price of our shares of HEC stock may decline.</w:t>
      </w:r>
    </w:p>
    <w:p>
      <w:pPr>
        <w:spacing w:after="0" w:line="333"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HEC has no operating history and its results of operations and those of Talkspace, Inc. may differ significantly from the unaudited pro forma financial data included in this proxy statement/prospectus.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HEC is a blank check company with no operating history or results.</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proxy statement/prospectus includes unaudited pro forma condensed combined financial statements for Talkspace, Inc. The unaudited pro forma condensed combined statement of operations of Talkspace, Inc. combines (i) the historical audited results of operations of HEC for the year ended December 31, 2020 and the unaudited results of HEC for the period ended March 31, 2021, with (ii) the historical audited results of operations of Talkspace for the year ended December 31, 2020 and the unaudited results of Talkspace for the three months ended March 31, 2021, respectively, and gives pro forma effect to the business combination as if it had been consummated on January 1, 2020, the beginning of the earliest period presented. The unaudited pro forma condensed combined balance sheet of Talkspace, Inc. combines the historical balance sheets of HEC as of March 31, 2021 and of Talkspace as of March 31, 2021 and gives pro forma effect to the business combination as if it had been consummated on March 31, 2021.</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above, or the future consolidated results of operations or financial position of Talkspace, Inc. Accordingly, Talkspace, Inc.’s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8"/>
          <w:szCs w:val="18"/>
          <w:i w:val="1"/>
          <w:iCs w:val="1"/>
          <w:color w:val="auto"/>
        </w:rPr>
        <w:t>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w:t>
      </w:r>
      <w:r>
        <w:rPr>
          <w:rFonts w:ascii="Arial" w:cs="Arial" w:eastAsia="Arial" w:hAnsi="Arial"/>
          <w:sz w:val="18"/>
          <w:szCs w:val="18"/>
          <w:color w:val="auto"/>
        </w:rPr>
        <w: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announcement of the proposed business combination could disrupt Talkspace’s relationships with its clients, members, providers, business partners and others, as well as its operating results and business generally.</w:t>
      </w:r>
    </w:p>
    <w:p>
      <w:pPr>
        <w:spacing w:after="0" w:line="62"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Whether or not the business combination and related transactions are ultimately consummated, as a result of uncertainty related to the proposed transactions, risks relating to the impact of the announcement of the business combination on Talkspace’s business include the following:</w:t>
      </w:r>
    </w:p>
    <w:p>
      <w:pPr>
        <w:spacing w:after="0" w:line="29" w:lineRule="exact"/>
        <w:rPr>
          <w:sz w:val="20"/>
          <w:szCs w:val="20"/>
          <w:color w:val="auto"/>
        </w:rPr>
      </w:pPr>
    </w:p>
    <w:p>
      <w:pPr>
        <w:ind w:left="1080" w:right="16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its employees may experience uncertainty about their future roles, which might adversely affect Talkspace’s ability to retain and hire key personnel and other employees;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clients, members, providers, business partners and other parties with which Talkspace maintains business relationships may experience uncertainty about its future and seek alternative relationships with third parties, seek to alter their business relationships with Talkspace or fail to extend an existing relationship or subscription with Talkspace; and</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Talkspace has expended and will continue to expend significant costs, fees and expenses for professional services and transaction costs in connection with the proposed Business Combination.</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any of the aforementioned risks were to materialize, they could lead to significant costs which may impact Talkspace’s results of operations and cash available to fund its business.</w:t>
      </w:r>
    </w:p>
    <w:p>
      <w:pPr>
        <w:spacing w:after="0" w:line="2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Talkspace’s financial forecasts, which were presented to the HEC Board and are included in this proxy statement/prospectus, may not prove accurate.</w:t>
      </w:r>
    </w:p>
    <w:p>
      <w:pPr>
        <w:spacing w:after="0" w:line="6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connection with the Transactions, HEC management presented certain forecasted financial information for Talkspace to the HEC Board, which was internally prepared and provided by Talkspace, and adjusted by HEC management to take into consideration the consummation of the Transactions (assuming that no shares of HEC’s Class A common stock are elected to be redeemed by HEC stockholders), as well as certain adjustments that were appropriate in their judgment and experience. The forecasts were based on numerous variables and assumptions known to Talkspace and HEC at the time of preparation. Such variables and assumptions are inherently uncertain and many are beyond the control of Talkspace or HEC. Important factors that may affect actual results and cause the forecasts to not be achieved include, but are not limited to, risks and uncertainties relating to the businesses of Talkspace (including its ability to achieve strategic goals, objectives and targets over applicable periods), industry performance, the competitive environment, changes in technology, general business and economic conditions. Various assumptions underlying the forecasts may prove to not have been, or may no longer be, accurate. The forecasts may not be realized, and actual results may be significantly higher or lower than projected in the forecasts. The forecasts also reflect assumptions as to certain business strategies or plans that are subject to change. As a result, the inclusion of such forecasts in this proxy statement/prospectus should not be relied on as “guidance” or otherwise predictive of actual future events, and actual results may differ materially from the forecasts.</w:t>
      </w:r>
    </w:p>
    <w:p>
      <w:pPr>
        <w:spacing w:after="0" w:line="2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HEC and Talkspace have incurred and expect to incur significant costs associated with the business combination. Whether or not the business combination is completed, the incurrence of these costs will reduce the amount of cash available to be used for other corporate purposes by HEC if the business combination is not completed.</w:t>
      </w:r>
    </w:p>
    <w:p>
      <w:pPr>
        <w:spacing w:after="0" w:line="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HEC and Talkspace expect to incur significant transaction and transition costs associated with the business combination and operating as a public company following the Closing. We and Talkspace may also incur additional costs to retain key employees. Certain transaction expenses incurred in connection with the Merger Agreement (including the business combination), including all legal, accounting, consulting, investment banking and other fees, expenses and costs, will be paid by Talkspace, Inc. following the Closing. Even if the business combination is not completed, HEC expects to incur approximately $49 million in expenses. These expenses will reduce the amount of cash available to be used for other corporate purposes by HEC if the business combination is not completed.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Talkspace, Inc. common stock, which would increase the number of shares eligible for future resale in the public market and result in dilution to our stockholders.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Outstanding warrants to purchase an aggregate of 16,740,000 shares of Talkspace, Inc. common stock will become exercisable in accordance with the terms of the Warrant Agreement governing those securities. Further, an additional 2,500,000 warrants may be issued pursuant to the HEC Forward Purchase Agreement, which would be exercisable to purchase an aggregate 1,250,000 shares of Talkspace, Inc. common stock. These warrants will become exercisable at any time commencing on the later of 30 days after the completion of the business combination and 12 months from the closing of the HEC IPO. The exercise price of these warrants will be $11.50 per share. To the extent such warrants are exercised, additional shares of Talkspace, Inc. common stock will be issued, which will result in dilution to the holders of Talkspace, Inc. common stock and increase the number of shares eligible for resale in the public market. Sales of substantial numbers of such shares in the public market or the fact that such warrants may be exercised could adversely affect the market price of Talkspace, Inc. common stock. However, there is no guarantee that the public warrants will ever be in the money prior to their expiration, and as such, the warrants may expire worthless. See “—</w:t>
      </w:r>
      <w:r>
        <w:rPr>
          <w:rFonts w:ascii="Arial" w:cs="Arial" w:eastAsia="Arial" w:hAnsi="Arial"/>
          <w:sz w:val="17"/>
          <w:szCs w:val="17"/>
          <w:i w:val="1"/>
          <w:iCs w:val="1"/>
          <w:color w:val="auto"/>
        </w:rPr>
        <w:t>Even if HEC consummates the business combination, there is no</w:t>
      </w:r>
      <w:r>
        <w:rPr>
          <w:rFonts w:ascii="Arial" w:cs="Arial" w:eastAsia="Arial" w:hAnsi="Arial"/>
          <w:sz w:val="17"/>
          <w:szCs w:val="17"/>
          <w:color w:val="auto"/>
        </w:rPr>
        <w:t xml:space="preserve"> </w:t>
      </w:r>
      <w:r>
        <w:rPr>
          <w:rFonts w:ascii="Arial" w:cs="Arial" w:eastAsia="Arial" w:hAnsi="Arial"/>
          <w:sz w:val="17"/>
          <w:szCs w:val="17"/>
          <w:i w:val="1"/>
          <w:iCs w:val="1"/>
          <w:color w:val="auto"/>
        </w:rPr>
        <w:t>guarantee that the public warrants will ever be in the money, and they may expire worthless</w:t>
      </w:r>
      <w:r>
        <w:rPr>
          <w:rFonts w:ascii="Arial" w:cs="Arial" w:eastAsia="Arial" w:hAnsi="Arial"/>
          <w:sz w:val="17"/>
          <w:szCs w:val="17"/>
          <w:color w:val="auto"/>
        </w:rPr>
        <w:t>.”</w:t>
      </w:r>
    </w:p>
    <w:p>
      <w:pPr>
        <w:spacing w:after="0" w:line="29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Even if HEC consummates the business combination, there is no guarantee that the public warrants will ever be in the money, and they may expire worthless.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exercise price for HEC public warrants is $11.50 per share of HEC’s Class A common stock. There is no guarantee that the public warrants will ever be in the money prior to their expiration, and as such, the warrants may expire worthless. If HEC is unable to complete an initial business combination, HEC’s warrants may expire worthless.</w:t>
      </w:r>
    </w:p>
    <w:p>
      <w:pPr>
        <w:spacing w:after="0" w:line="29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fail to effectively remediate this material weakness, it could continue to adversely affect our ability to report our results of operations and financial condition accurately and in a timely manner. If we fail to comply with the rules under the Sarbanes-Oxley Act of 2002 related to disclosure controls and procedures, if we fail to effectively remediate the identified material weakness, or if we discover other material weaknesses or deficiencies in our internal controls over financial reporting, our business and financial condition could be materially and adversely affected and our stock price could decline.</w:t>
      </w:r>
    </w:p>
    <w:p>
      <w:pPr>
        <w:spacing w:after="0" w:line="53"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Our management is responsible for establishing and maintaining an adequate system of internal control over financial reporting, designed to provide reasonable assurance regarding the reliability of financial reporting and he preparation of consolidated financial statements for external purposes in accordance with U.S. GAAP.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fail to comply with the rules under the Sarbanes-Oxley Act of 2002 related to disclosure controls and procedures, or, if we discover material weaknesses and other deficiencies in our internal control and accounting procedures, our stock price could decline significantly and our business and financial condition could be adversely affected.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decline significantly.</w:t>
      </w:r>
    </w:p>
    <w:p>
      <w:pPr>
        <w:spacing w:after="0" w:line="17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disclosed elsewhere in this proxy statement/prospectus, HEC’s management reassessed the effectiveness of its disclosure controls and procedures for the periods affected by the restatement. As a result of that reassessment, HEC’s management determined that its disclosure controls and procedures for such periods were not effective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with respect to the classification of HEC’s warrants and the HEC forward purchase agreement as components of equity instead of as liabilities, as well as the related determination of the fair value of warrant liabilities, additional paid-in capital and accumulated deficit, and related financial disclosures, and that the foregoing arose as a result of a material weakness in HEC’s internal control over financial reporting.</w:t>
      </w:r>
    </w:p>
    <w:p>
      <w:pPr>
        <w:spacing w:after="0" w:line="16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Any failure to effectively remediate the identified material weakness or otherwise maintain adequate internal controls over financial reporting could adversely impact our ability to report our financial results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and legal proceedings by stockholders or regulatory authorities, which could result in a material adverse effect on our business. We could face monetary judgments, penalties or other sanctions that could have a material adverse effect on our business, financial condition and results of operations and could cause our stock price to decline. Failure to timely file required reports with the SEC could cause us to be ineligible to utilize short form registration statements on Form S-3 or Form S-4, which may impair our ability to obtain capital in a timely fashion to execute our business strategies, issue shares to effect an acquisition, or subject us to legal claims from stockholders or warrant holders. Inadequate internal control could also cause investors to lose confidence in our reported financial information, which could have a negative effect on the trading price of our stock.</w:t>
      </w:r>
    </w:p>
    <w:p>
      <w:pPr>
        <w:spacing w:after="0" w:line="16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intend to take certain remedial actions intended to address the identified material weakness in our internal control over financial reporting. However, we can give no assurance that such measures will remediate the material weakness identified or that any additional material weaknesses or restatements of financial results will not arise in the future. In the future, our management may determine that our disclosure controls and procedures are ineffective or that there are one or more material weaknesses in our internal controls over financial reporting, resulting in a reasonable possibility that a material misstatement to the annual or interim financial statements would not have been prevented or detected. Accordingly, a material weakness increases the risk that the financial information we report contains material errors. Any system of internal controls, however well designed and operated, is based in part on certain assumptions and can provide only reasonable, not absolute, assurances that the objectives of the system are met. Efforts to correct any material weaknesses or deficiencies that may be identified could require significant financial resources to address. Moreover, if remedial measures are insufficient to address the deficiencies that are determined to exist, we may fail to meet our future reporting obligations on a timely basis, our consolidated financial statements could contain material misstatements, we could be required to restate our prior period financial results, our operating results may be harmed, and we could become subject to class action litigation or investigations or proceedings from regulatory authorities. Internal control deficiencies and ineffective disclosure controls and procedures could also cause investors to lose confidence in our reported financial information. Any of these matters could adversely affect our business, reputation, revenues, results of operations, financial condition and stock price.</w:t>
      </w:r>
    </w:p>
    <w:p>
      <w:pPr>
        <w:spacing w:after="0" w:line="28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b w:val="1"/>
          <w:bCs w:val="1"/>
          <w:i w:val="1"/>
          <w:iCs w:val="1"/>
          <w:color w:val="auto"/>
        </w:rPr>
        <w:t>We are not registering the shares of Talkspace, Inc. common stock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5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are not registering the shares of Talkspace, Inc. common stock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best efforts to file a registration statement under the Securities Act covering the issuance of such shares and maintain a current prospectus relating to the shares of HEC’s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Talkspace. Inc.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Talkspace, Inc. common stock included in the units. If and when the warrants become redeemable by us, we may exercise our redemption right even if we are unable to register or qualify the underlying shares of Talkspace, Inc. common stock for sale under all applicable state securities laws.</w:t>
      </w:r>
    </w:p>
    <w:p>
      <w:pPr>
        <w:spacing w:after="0" w:line="2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certain key personnel, including the key personnel of Talkspace whom we expect to stay with the post-combination business following the business combination. The loss of key personnel could negatively impact the operations and profitability of our post-combination business and its financial condition could suffer as a result.</w:t>
      </w:r>
    </w:p>
    <w:p>
      <w:pPr>
        <w:spacing w:after="0" w:line="7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ability to successfully effect the business combination is dependent upon the efforts of our key personnel, including the key personnel of Talkspace. Although some key personnel may remain with the post-combination business in senior management or advisory positions following the business combination, it is possible that we will lose some key personnel, the loss of which could negatively impact the operations and profitability of our post-combination business. We anticipate that some or all of the management of Talkspace will remain in place.</w:t>
      </w:r>
    </w:p>
    <w:p>
      <w:pPr>
        <w:spacing w:after="0" w:line="171"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Talkspace’s success depends to a significant degree upon the continued contributions of senior management, certain of whom would be difficult to replace. Departure by certain of Talkspace’s officers could have a material adverse effect on Talkspace’s business, financial condition, or operating results.</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HEC and Talkspace. These uncertainties may impair our or Talkspace’s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Talkspace’s business could be harmed.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76" w:lineRule="exact"/>
        <w:rPr>
          <w:sz w:val="20"/>
          <w:szCs w:val="20"/>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30"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78"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Following the Closing, HEC’s only significant asset will be its ownership interest in the Talkspace business and such ownership may not be sufficiently profitable or valuable to enable HEC to pay any dividends on Talkspace, Inc. common stock or satisfy HEC’s other financial obligations.</w:t>
      </w:r>
    </w:p>
    <w:p>
      <w:pPr>
        <w:spacing w:after="0" w:line="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Following the Closing, HEC will have no direct operations and no significant assets other than its ownership interest in the Talkspace business. HEC will depend on the Talkspace business for distributions, loans and other payments to generate the funds necessary to meet its financial obligations, including its expenses as a publicly traded company and to pay any dividends with respect to Talkspace, Inc. common stock. The earnings from, or other available assets of, the Talkspace business may not be sufficient to pay dividends or make distributions or loans to enable HEC to pay any dividends on Talkspace, Inc. common stock or satisfy our other financial obligations.</w:t>
      </w:r>
    </w:p>
    <w:p>
      <w:pPr>
        <w:spacing w:after="0" w:line="17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the business combination. Please see the sections titled “</w:t>
      </w:r>
      <w:r>
        <w:rPr>
          <w:rFonts w:ascii="Arial" w:cs="Arial" w:eastAsia="Arial" w:hAnsi="Arial"/>
          <w:sz w:val="16"/>
          <w:szCs w:val="16"/>
          <w:i w:val="1"/>
          <w:iCs w:val="1"/>
          <w:color w:val="auto"/>
        </w:rPr>
        <w:t>HEC’s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and “</w:t>
      </w:r>
      <w:r>
        <w:rPr>
          <w:rFonts w:ascii="Arial" w:cs="Arial" w:eastAsia="Arial" w:hAnsi="Arial"/>
          <w:sz w:val="16"/>
          <w:szCs w:val="16"/>
          <w:i w:val="1"/>
          <w:iCs w:val="1"/>
          <w:color w:val="auto"/>
        </w:rPr>
        <w:t>Talkspace’s 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for more information.</w:t>
      </w:r>
    </w:p>
    <w:p>
      <w:pPr>
        <w:spacing w:after="0" w:line="2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Following the Closing, Talkspace, Inc. may be required to take write-downs or write-offs, restructuring and impairment or other charges that could have a significant negative effect on Talkspace, Inc.’s financial condition, results of operations and its stock price, which could cause you to lose some or all of your investment.</w:t>
      </w:r>
    </w:p>
    <w:p>
      <w:pPr>
        <w:spacing w:after="0" w:line="76"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Although HEC has conducted due diligence on the Talkspace business, HEC cannot assure you that this diligence will surface all material issues that may be present in such business, that it would be possible to uncover all material issues through a customary amount of due diligence, or that factors outside of the Talkspace business and outside of HEC’s and Talkspace’s control will not later arise. As a result of these factors, Talkspace, Inc. may be forced to later write-down or write-off assets, restructure operations, or incur impairment or other charges that could result in losses. Even if HEC’s due diligence successfully identifies certain risks, unexpected risks may arise, and previously known risks may materialize in a manner not consistent with HEC’s preliminary risk analysis. If any of these risks materialize, this could have a material adverse effect on Talkspace, Inc.’s financial condition and results of operations and could contribute to negative market perceptions about our securities or Talkspace, Inc.</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Accordingly, any of HEC’s stockholders or warrant holders who choose to remain stockholders or warrant holders of Talkspace, Inc. following the business combination could suffer a reduction in the value of their shares and warrants. Such shareholders or warrant holders are unlikely to have a remedy for such reduction in value unless they are able to successfully claim that the reduction was due to the breach by our directors or officers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market for HEC’s securities may not continue, which would adversely affect the liquidity and price of HEC’s securities.</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HEC is currently a blank check company and there has not been a public market for shares of Talkspace common stock since it is a private company. Following the business combination, the price of HEC’s securities may fluctuate significantly due to the market’s reaction to the business combination and general market and economic conditions. An active trading market for HEC’s securities following the business combination may never develop or, if developed, it may not be sustained. In addition, the price of HEC’s securities after the business combination can vary due to general economic conditions and forecasts, HEC’s general business condition and the release of HEC’s financial reports.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absence of a liquid public trading market:</w:t>
      </w:r>
    </w:p>
    <w:p>
      <w:pPr>
        <w:spacing w:after="0" w:line="131" w:lineRule="exact"/>
        <w:rPr>
          <w:sz w:val="20"/>
          <w:szCs w:val="20"/>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the HEC’s Class A common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you may not be able to resell your shares of HEC’s Class A common stock at or above the price attributed to them in the business combination;</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market price of shares of HEC’s Class A common stock may experience significant price volatility;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Additionally, if HEC’s securities become delisted from the Nasdaq for any reason, and are quoted on the OTC Bulletin Board, an inter-dealer automated quotation system for equity securities that is not a national securities exchange, the liquidity and price of HEC’s securities may be more limited than if HEC was quoted or listed on the Nasdaq or another national securities exchange. You may be unable to sell your securities unless a market can be established or sustained.</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Talkspace, Inc. common stock may decline.</w:t>
      </w:r>
    </w:p>
    <w:p>
      <w:pPr>
        <w:spacing w:after="0" w:line="6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stockholders or securities analysts, the market price of Talkspace, Inc.’s following the Closing may decline. The market price of Talkspace, Inc. common stock at the time of the business combination may vary significantly from the market price of HEC’s Class A common stock on the date the Merger Agreement was executed, the date of this proxy statement/prospectus, or the date on which HEC’s stockholders vote on the business combination.</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addition, following the business combination, fluctuations in the price of HEC’s securities could contribute to the loss of all or part of your investment. Immediately prior to the business combination, there has not been a public market for stock relating to the Talkspace business and trading in shares of HEC’s Class A common stock has not been active. Accordingly, the valuation ascribed to the Talkspace business and HEC’s Class A common stock in the business combination may not be indicative of the price that will prevail in the trading market following the business combination.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trading price of Talkspace, Inc. common stock following the business combination may fluctuate substantially and may be lower than the current market price of HEC’s Class A common stock. This may be especially true for companies like ours with a small public float. If an active market for HEC’s securities develops and continues, the trading price of HEC’s securities following the business combination could be volatile and subject to wide fluctuations. The trading price of Talkspace, Inc. common stock following the business combination will depend on many factors, including those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Talkspace, Inc.’s control and may not be related to Talkspace, Inc.’s operating performance. These fluctuations could cause you to lose all or part of your investment in Talkspace, Inc. common stock since you might be unable to sell your shares at or above the price attributed to them in the business combination. Any of the factors listed below could have a material adverse effect on your investment in HEC’s securities and HEC’s securities may trade at prices significantly below the price you paid for them. In such circumstances, the trading price of HEC’s securities may not recover and may experience a further decline.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affecting the trading price of HEC securities following the business combination may include:</w:t>
      </w:r>
    </w:p>
    <w:p>
      <w:pPr>
        <w:spacing w:after="0" w:line="131" w:lineRule="exact"/>
        <w:rPr>
          <w:sz w:val="20"/>
          <w:szCs w:val="20"/>
          <w:color w:val="auto"/>
        </w:rPr>
      </w:pPr>
    </w:p>
    <w:p>
      <w:pPr>
        <w:ind w:left="540" w:hanging="316"/>
        <w:spacing w:after="0"/>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actual or anticipated developments in Talkspace, Inc.’s business, competitors’ businesses or the competitive landscape generally;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in laws and regulations affecting Talkspace, Inc.’s business;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Talkspace, Inc.;</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in Talkspace, Inc.’s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volume of Talkspace, Inc. common stock available for public sale;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major change in Talkspace, Inc.’s board of directors or management;</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sales of substantial amounts of Talkspace, Inc. common stock by our directors, officers or significant stockholders or the perception that such sales could occur;</w:t>
      </w:r>
    </w:p>
    <w:p>
      <w:pPr>
        <w:spacing w:after="0" w:line="75"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risk factors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Broad market and industry factors may materially harm the market price of HEC’s securities irrespective of HEC’s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HEC’s securities, may not be predictable. A loss of investor confidence in the market for the stocks of other companies which investors perceive to be similar to HEC’s could depress HEC’s stock price regardless of HEC’s business, prospects, financial conditions or results of operations. Broad market and industry factors, including, most recently,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impact of the novel coronavirus, COVID-19, and any other global pandemics, as well as general economic, political and market conditions such as recessions or interest rate changes, may seriously affect the market price of Talkspace, Inc. common stock, regardless of HEC’s actual operating performance. These fluctuations may be even more pronounced in the trading market for our stock shortly following the business combination. A decline in the market price of HEC’s securities also could adversely affect HEC’s ability to issue additional securities and HEC’s ability to obtain additional financing in the future.</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HEC’s quarterly operating results may fluctuate significantly and could fall below the expectations of securities analysts and investors due to a variety of factors, some of which are beyond HEC’s control, resulting in a decline in HEC’s stock price.</w:t>
      </w:r>
    </w:p>
    <w:p>
      <w:pPr>
        <w:spacing w:after="0" w:line="27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proxy statement/prospectus. As a result, our stockholders may not have access to certain information they deem important. We will remain an emerging growth company until the earliest of (i) the last day of the fiscal year: (a) following June 11, 2025, the fifth anniversary of the HEC IPO; (b) in which we have total annual gross revenue of at least $1.07 billion; or (c) in which we are deemed to be a large accelerated filer, which means the market value of Talkspace, Inc. common stock that is held by non-affiliates exceeds $700 million as of the last business day of our prior second fiscal quarter, and (ii) the date on which we have issued more than $1.0 billion in non-convertible debt during the prior three-year period.</w:t>
      </w:r>
    </w:p>
    <w:p>
      <w:pPr>
        <w:spacing w:after="0" w:line="168"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cannot predict if investors will find Talkspace, Inc. common stock less attractive because we rely on these exemptions. If some investors find Talkspace, Inc. common stock less attractive as a result, there may be a less active trading market for Talkspace, Inc. common stock and our stock price may be more volatile.</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warrants and HEC Forward Purchase Agreement are accounted for as liabilities and the changes in value of our warrants and HEC Forward Purchase Agreement could have a material effect on our financial results.</w:t>
      </w:r>
    </w:p>
    <w:p>
      <w:pPr>
        <w:spacing w:after="0" w:line="62"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and the HEC Forward Purchase Agreement. As a result of the SEC Statement, we reevaluated the accounting treatment of our 20,700,000 public warrants, 10,280,000 private placement warrants and the HEC Forward Purchase Agreement, and determined to classify the warrants and the HEC Forward Purchase Agreement as liabilities measured at fair value, with changes in fair value each period reported in earnings.</w:t>
      </w:r>
    </w:p>
    <w:p>
      <w:pPr>
        <w:spacing w:after="0" w:line="17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As a result, these liabilities are subject to re-measurement at each balance sheet date until exercised, and any change in fair value is recognized in our statement of operations.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our warrants and the HEC Forward Purchase Agreement each reporting period and that the amount of such gains or losses could be material.</w:t>
      </w:r>
    </w:p>
    <w:p>
      <w:pPr>
        <w:spacing w:after="0" w:line="29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restated our financial statements as of December 31, 2020 and for the period from February 6, 2020 (inception) through December 31, 2020, as well as our financial data as of June 11, 2020, which may lead to additional risks and uncertainties, including loss of investor confidence and negative impacts on our stock price.</w:t>
      </w:r>
    </w:p>
    <w:p>
      <w:pPr>
        <w:spacing w:after="0" w:line="7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May 2, 2021, we concluded that our prior accounting for our outstanding warrants and the HEC Forward Purchase Agreement incorrectly reflected them as components of equity instead of as liabilities, and as a result thereof, our previous financial statements as of December 31, 2020 and for the period from February 6, 2020 (inception) through December 31, 2020, as well as our financial data as of June 11, 2020 (collectively, the “Affected Periods”), should no longer be relied upon. As a result, we restated our financial statements for the Affected Periods. The issues identified were all noncash and did not impact our operating expenses, cash flows or cash for the Affected Periods or the year ended December 31, 2020. As a result of the foregoing matters, we may become subject to additional risks and uncertainties, including, among others, unanticipated costs for accounting and legal fees, the increased possibility of legal proceedings, shareholder lawsuits, governmental agency investigations, and inquiries by the Nasdaq Stock Market or other regulatory bodies, which could cause investors to lose confidence in our reported financial information and could subject us to civil or criminal penalties, shareholder class actions or derivative actions. We could face monetary judgments, penalties or other sanctions that could have a material adverse effect on our business, financial condition and results of operations and could cause our stock price to decline. If any such actions occur, they will, regardless of the outcome, consume a significant amount of management’s time and attention and may result in additional legal, accounting, insurance and other costs. If we do not prevail in any such proceedings, we could be required to pay damages or settlement costs. In addition, the restatement and related matters could impair our reputation. Each of these occurrences could have a material adverse effect on our business, results of operations, financial condition and stock price.</w:t>
      </w:r>
    </w:p>
    <w:p>
      <w:pPr>
        <w:spacing w:after="0" w:line="27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Talkspace, Inc., may face litigation and other risks as a result of the material weakness in our internal control over financial reporting.</w:t>
      </w:r>
    </w:p>
    <w:p>
      <w:pPr>
        <w:spacing w:after="0" w:line="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 previously issued audited financial statements for the Affected Periods. See “—Our warrants and HEC Forward Purchase Agreement are accounted for as liabilities and the changes in value of our warrants and HEC Forward Purchase Agreement could have a material effect on our financial results.” As part of the restatement, we identified a material weakness in our internal controls over financial reporting.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As a result of such material weakness, the restatement, the change in accounting for the warrants and HEC Forward Purchase Agreement, and other matters raised or that may in the future be raised by the SEC, we and, following the business combination, Talkspace, Inc.,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proxy statement/prospectus,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the business combination and related transactions.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Redemption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HEC prior to the consummation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tender your shares of HEC’s Class A common stock in order to validly seek redemption at the special meeting.</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connection with tendering your shares for redemption, you must elect either to physically tender your common stock certificates to HEC’s transfer agent or to deliver your shares of HEC’s common stock to the transfer agent electronically using The Depository Trust Company’s DWAC (Deposit/Withdrawal At Custodian) System, which election would likely be determined based on the manner in which you hold your shares of HEC’s common stock, in each case, by two business days prior to the special meeting. The requirement for physical or electronic delivery by two business days prior to the special meeting ensures that a redeeming holder’s election to redeem is irrevocable once the business combination is approved. Any failure to observe these procedures will result in your loss of redemption rights in connection with the vote on the business combination.</w:t>
      </w:r>
    </w:p>
    <w:p>
      <w:pPr>
        <w:spacing w:after="0" w:line="16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HEC does not have a specified maximum redemption threshold. The absence of such a redemption threshold may make it possible for us to complete a business combination with which a substantial majority of HEC’s stockholders do not agree.</w:t>
      </w:r>
    </w:p>
    <w:p>
      <w:pPr>
        <w:spacing w:after="0" w:line="170"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HEC’s current certificate of incorporation does not provide a specified maximum redemption threshold, except that HEC will not redeem public shares in an amount that would cause HEC’s net tangible assets to be less than $5,000,001 (as determined in accordance with Rule 3a51-1(g)(1) of the Exchange Act). However, the Merger Agreement provides that HEC’s and Talkspace’s respective obligations to consummate the business combination are conditioned on HEC having at least $5,000,001 of net tangible assets as of Closing Date and the amount of Available Closing HEC Cash being least $400,000,000 as of the Closing. As a result, HEC may be able to complete the business combination even though a substantial portion of public stockholders do not approve the business combination and have redeemed their shares or have entered into privately negotiated agreements to sell their shares to the Sponsor, directors or officers or their affiliates. As of the date of this proxy statement/prospectus, no agreements with respect to the private purchase of public shares by HEC or the persons described above have been entered into with any such investor or holder. HEC will file a Current Report on Form 8-K with the SEC to disclose private arrangements entered into or significant private purchases made by any of the aforementioned persons that would affect the vote on the business combination proposal or the other proposals (as described in this proxy statement/prospectus) at the special meeting.</w:t>
      </w:r>
    </w:p>
    <w:p>
      <w:pPr>
        <w:spacing w:after="0" w:line="18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the event that the aggregate cash consideration that HEC would be required to pay for all shares of HEC’s Class A common stock that are validly submitted for redemption, plus any amount required to satisfy the foregoing cash condition pursuant to the terms of the Merger Agreement, exceeds the aggregate amount of cash available to HEC, HEC may not complete the business combination or redeem any shares, all shares of HEC’s Class A common stock submitted for redemption will be returned to the holders thereof and HEC may instead search for an alternate business combination.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Based on the amount of approximately $414.3 million in HEC’s trust account as of May 19, 2021, the record date for the special meeting, and taking into account the anticipated gross proceeds of the PIPE Investment and the HEC Forward Purchase, 36.4 million shares of HEC’s Class A common stock may be redeemed and still enable HEC to have sufficient cash to satisfy the closing condition under the Merger Agreement. We refer to this as the “maximum redemption scenario.”</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redemption rights with respect to more than 20% of the public shares.</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 public stockholder, together with any of his, her or its affiliates or any other person with whom it is acting in concert or as a “group” (as defined under Section 13(d) of the Exchange Act), will be restricted from redeeming in the aggregate his, her or its shares or, if part of such a group, the group’s shares, in excess of 20% of the shares of HEC’s Class A common stock included in the units sold in the HEC IPO unless such stockholder first obtains HEC’s prior consent. In order to determine whether a stockholder is acting in concert or as a group with another stockholder, HEC will require each public stockholder seeking to exercise redemption rights to certify to HEC whether such stockholder is acting in concert or as a group with any other stockholder. Such certifications, together with other public information relating to stock ownership available to HEC at that time, such as Schedule 13D, Schedule 13G and Section 16 filings under the Exchange Act, will be the sole basis on which HEC makes the above-referenced determination. Your inability to redeem any such excess shares will reduce your influence over HEC’s ability to consummate the business combination and you could suffer a material loss on your investment in HEC if you sell such excess shares in open market transactions. Additionally, you will not receive redemption distributions with respect to such excess shares if HEC consummates the business combination. As a result, you will continue to hold that number of shares aggregating to more than 20% of the shares sold in the HEC IPO and, in order to dispose of such excess shares, would be required to sell your stock in open market transactions, potentially at a loss. HEC cannot assure you that the value of such excess shares will appreciate over time following the business combination or that the market price of shares of Talkspace, Inc. common stock will exceed the per-share redemption price. Notwithstanding the foregoing, stockholders may challenge HEC’s determination as to whether a stockholder is acting in concert or as a group with another stockholder in a court of competent jurisdiction.</w:t>
      </w:r>
    </w:p>
    <w:p>
      <w:pPr>
        <w:spacing w:after="0" w:line="18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However, HEC’s stockholders’ ability to vote all of their shares (including such excess shares) for or against the business combination is not restricted by this limitation on redemption.</w:t>
      </w:r>
    </w:p>
    <w:p>
      <w:pPr>
        <w:spacing w:after="0" w:line="2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62"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HEC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6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Stockholders of HEC who wish to redeem their shares of HEC’s Class A common stock for a pro rata portion of the trust account must comply with specific requirements for redemption that may make it more difficult for them to exercise their redemption rights prior to the deadline. If stockholders fail to comply with the redemption requirements specified in this proxy statement/prospectus, they will not be entitled to redeem their shares of HEC’s Class A common stock for a pro rata portion of the funds held in the trust account.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Stockholders electing to redeem their shares of HEC’s Class A common stock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8"/>
          <w:szCs w:val="18"/>
          <w:i w:val="1"/>
          <w:iCs w:val="1"/>
          <w:color w:val="auto"/>
        </w:rPr>
        <w:t>Special Meeting of HEC Stockholders—Redemption Rights</w:t>
      </w:r>
      <w:r>
        <w:rPr>
          <w:rFonts w:ascii="Arial" w:cs="Arial" w:eastAsia="Arial" w:hAnsi="Arial"/>
          <w:sz w:val="18"/>
          <w:szCs w:val="18"/>
          <w:color w:val="auto"/>
        </w:rPr>
        <w:t>” of this proxy statement/prospectus for additional information on how to exercise your redemption rights.</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despite HEC’s compliance with the proxy rules, a stockholder fails to receive HEC proxy materials, such stockholder may not become aware of the opportunity to redeem its shares of HEC’s Class A common stock. In addition, the proxy materials that HEC is furnishing to public stockholders of HEC’s Class A common stock in connection with the business combination describes the various procedures that must be complied with in order to validly redeem public shares of HEC’s Class A common stock. In the event that a stockholder fails to comply with these procedures, its shares of HEC’s Class A common stock may not be redeemed.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If the Adjournment Proposal Is Not Approved</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the adjournment proposal is not approved, and an insufficient number of votes have been obtained to authorize the Closing, the HEC Board will not have the ability to adjourn the special meeting to a later date in order to solicit further votes, and, therefore, the business combination will not be approved.</w:t>
      </w:r>
    </w:p>
    <w:p>
      <w:pPr>
        <w:spacing w:after="0" w:line="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HEC Board is seeking approval to adjourn the special meeting to a later date or dates if, at the special meeting, HEC is unable to consummate the business combination. If the adjournment proposal is not approved, the HEC Board will not have the ability to adjourn the special meeting to a later date and, therefore, the business combination would not be completed.</w:t>
      </w:r>
    </w:p>
    <w:p>
      <w:pPr>
        <w:spacing w:after="0" w:line="288"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Additional Risks Related to Ownership of Talkspace, Inc. Common Stock Following the Business Combination and Talkspace, Inc. Operating as a Public Company</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significantly increased costs and devote substantial management time as a result of operating as a public company.</w:t>
      </w:r>
    </w:p>
    <w:p>
      <w:pPr>
        <w:spacing w:after="0" w:line="1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a public company, we will incur significant legal, accounting and other expenses that we do not incur as a private company. For example, we will be subject to the reporting requirements of the Securities Exchange Act of 1934, as amended (the “Exchange Act”), and will be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We are in the process of hiring additional accounting personnel and, as a public company, may need to hire additional accounting and financial staff with appropriate public company experience and technical accounting knowledge and may need to establish an internal audit function.</w:t>
      </w:r>
    </w:p>
    <w:p>
      <w:pPr>
        <w:spacing w:after="0" w:line="18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As a private company, we have not endeavored to establish and maintain public-company-quality internal control over financial reporting. If we fail to establish and maintain proper and effective internal control over financial reporting, as a public company, our ability to produce accurate and timely financial statements could be impaired, investors may lose confidence in our financial reporting and the trading price of our common stock may decline.</w:t>
      </w:r>
    </w:p>
    <w:p>
      <w:pPr>
        <w:spacing w:after="0" w:line="7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Pursuant to Section 404 of the Sarbanes-Oxley Act, following completion of the business combination, the report by management on internal control over financial reporting will be on Talkspace’s financial reporting and internal controls (as accounting acquirer), and an attestation of the independent registered public accounting firm will also be required. As a private company, Talkspace has not previously been required to conduct an internal control evaluation and assessment. The rules governing the standards that must be met for management to assess internal control over financial reporting are complex and require significant documentation, testing and possible remediation. To comply with the Sarbanes-Oxley Act, the requirements of being a reporting company under the Exchange Act and any complex accounting rules in the future, the combined company, may need to upgrade Talkspace’s legacy information technology systems; implement additional financial and management controls, reporting systems and procedures; and hire additional accounting and finance staff.</w:t>
      </w:r>
    </w:p>
    <w:p>
      <w:pPr>
        <w:spacing w:after="0" w:line="17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If Talkspace, Inc. is unable to hire the additional accounting and finance staff necessary to comply with these requirements, it may need to retain additional outside consultants. Talkspace, Inc. or, if required, its independent registered public accounting firm, are unable to conclude that its internal control over financial reporting is effective, investors may lose confidence in its financial reporting, which could negatively impact the price of its securities.</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 xml:space="preserve">On April 12, 2021, the Acting Director of the Division of Corporation Finance and Acting Chief Accountant of the SEC together issued the SEC Statement. Following the issuance of the SEC Statement, on May 4, 2021, HEC concluded that it was appropriate to restate its previously issued audited financial statements as of December 31, 2020 and for the period from February 6, 2020 (inception) through December 31, 2020, as well as our financial data as of June 11, 2020, and as part of such process, HEC identified a material weakness in its internal control over financial reporting. As the accounting acquirer in the business combination, we will inherit this material weakness and the warrants. See </w:t>
      </w:r>
      <w:r>
        <w:rPr>
          <w:rFonts w:ascii="Arial" w:cs="Arial" w:eastAsia="Arial" w:hAnsi="Arial"/>
          <w:sz w:val="16"/>
          <w:szCs w:val="16"/>
          <w:i w:val="1"/>
          <w:iCs w:val="1"/>
          <w:color w:val="auto"/>
        </w:rPr>
        <w:t>“Risks Related to HEC and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Combination—We have identified a material weakness in our internal control over financial reporting. If we fail to effectively remediate this material weakness, it could continue to adversely affect our ability to report our results of operations and financial condition accurately and in a timely manner. If we fail to comply with the rules under the Sarbanes-Oxley Act of 2002 related to disclosure controls and procedures, if we fail to effectively remediate the identified material weakness, or if we discover other material weaknesses or deficiencies in our internal controls over financial reporting, our business and financial condition could be materially and adversely affected and our stock price could decline” </w:t>
      </w:r>
      <w:r>
        <w:rPr>
          <w:rFonts w:ascii="Arial" w:cs="Arial" w:eastAsia="Arial" w:hAnsi="Arial"/>
          <w:sz w:val="16"/>
          <w:szCs w:val="16"/>
          <w:color w:val="auto"/>
        </w:rPr>
        <w:t>and “</w:t>
      </w:r>
      <w:r>
        <w:rPr>
          <w:rFonts w:ascii="Arial" w:cs="Arial" w:eastAsia="Arial" w:hAnsi="Arial"/>
          <w:sz w:val="16"/>
          <w:szCs w:val="16"/>
          <w:i w:val="1"/>
          <w:iCs w:val="1"/>
          <w:color w:val="auto"/>
        </w:rPr>
        <w:t>Risks Related to HEC and the Business Combination—Our warrants and HEC Forward Purchase Agreement are accounted for as liabilities and the changes in value of our warrants and HEC Forward Purchase Agreement could have a material effect on our financial results.</w:t>
      </w:r>
      <w:r>
        <w:rPr>
          <w:rFonts w:ascii="Arial" w:cs="Arial" w:eastAsia="Arial" w:hAnsi="Arial"/>
          <w:sz w:val="16"/>
          <w:szCs w:val="16"/>
          <w:color w:val="auto"/>
        </w:rPr>
        <w:t>”</w:t>
      </w:r>
    </w:p>
    <w:p>
      <w:pPr>
        <w:spacing w:after="0" w:line="16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and, following completion of the business combination, Talkspace, Inc. cannot assure you that there will not be additional material weaknesses in its internal control over financial reporting now or in the future. Any failure to maintain internal control over financial reporting could severely inhibit Talkspace, Inc.’s ability to accurately report its financial condition, results of operations or cash flows. If Talkspace, Inc. is unable to conclude that its internal control over financial reporting is effective, or if its independent registered public accounting firm determines that Talkspace, Inc. has a material weakness in its internal control over financial reporting, investors may lose confidence in the accuracy and completeness of its financial reports, the market price of its common stock could decline, and it could be subject to sanctions or investigations by Nasdaq, the SEC or other regulatory authorities. Failure to remedy any material weakness in Talkspace, Inc.’s internal control over financial reporting, or to implement or maintain other effective control systems required of public companies, could also restrict its future access to the capital markets.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Delaware law and our second amended and restated certificate of incorporation and the Proposed Bylaws contain certain provisions, including anti-takeover provisions that limit the ability of stockholders to take certain actions and could delay or discourage takeover attempts that stockholders may consider favorable.</w:t>
      </w:r>
    </w:p>
    <w:p>
      <w:pPr>
        <w:spacing w:after="0" w:line="7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Our second amended and restated certificate of incorporation and the Proposed Bylaws that will be in effect upon the Closing,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or taking other corporate actions, including effecting changes in our management. Among other things, our second amended and restated certificate of incorporation and the Proposed Bylaws include provisions regarding:</w:t>
      </w:r>
    </w:p>
    <w:p>
      <w:pPr>
        <w:spacing w:after="0" w:line="83"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proposed second amended and restated certificate of incorporation will prohibit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30"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 that certain transactions are not “corporate opportunities” and that the Identified Persons (as defined in the second amended and restated certificate of incorporation) are not subject to the doctrine of corporate opportunity and such Identified Persons do not have any fiduciary duty to refrain from engaging directly or indirectly in the same or similar business activities or lines of business as Talkspace, Inc. or any of its subsidiaries;</w:t>
      </w:r>
    </w:p>
    <w:p>
      <w:pPr>
        <w:spacing w:after="0" w:line="92"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provide that Talkspace, Inc. will not be governed by Section 203 of the DGCL and, instead, include a provision in the second amended and restated certificate of incorporation that is substantially similar to Section 203 of the DGCL, and acknowledge that certain stockholders cannot be “interested stockholders” (as defined in the second amended and restated certificate of incorporation);</w:t>
      </w:r>
    </w:p>
    <w:p>
      <w:pPr>
        <w:spacing w:after="0" w:line="70"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our Board to take additional actions to prevent an unsolicited takeover and inhibit the ability of an acquirer to amend the bylaws to facilitate an unsolicited takeover attempt; and</w:t>
      </w:r>
    </w:p>
    <w:p>
      <w:pPr>
        <w:spacing w:after="0" w:line="75"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control of Talkspace, Inc.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Board or management.</w:t>
      </w:r>
    </w:p>
    <w:p>
      <w:pPr>
        <w:spacing w:after="0" w:line="34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Nasdaq may not list Talkspace, Inc.’s securities on its exchange, which could limit investors’ ability to make transactions in Talkspace, Inc.’s securities and subject Talkspace, Inc. to additional trading restrictions.</w:t>
      </w:r>
    </w:p>
    <w:p>
      <w:pPr>
        <w:spacing w:after="0" w:line="6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connection with the business combination, in order to continue to maintain the listing of our securities on Nasdaq, we will be required to demonstrate compliance with Nasdaq’s initial listing requirements, which are more rigorous than Nasdaq’s continued listing requirements. We will apply to have Talkspace, Inc.’s securities listed on Nasdaq upon consummation of the business combination. We cannot assure you that we will be able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meet all initial listing requirements. Even if Talkspace, Inc.’s securities are listed on Nasdaq, we may be unable to maintain the listing of our securities in the future</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in connection with or after the business combination, Talkspace, Inc. fails to meet the initial listing requirements or maintain the listing, and if Nasdaq or another national securities exchange does not list our securities on its exchange, our stockholders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limited availability of market quotations for Talkspace, Inc.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reduced liquidity for Talkspace, Inc.’s securities;</w:t>
      </w:r>
    </w:p>
    <w:p>
      <w:pPr>
        <w:spacing w:after="0" w:line="130"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determination that Talkspace, Inc. common stock is a “penny stock” which will require brokers trading Talkspace, Inc. common stock to adhere to more stringent rules and possibly result in a reduced level of trading activity in the secondary trading market for Talkspace, Inc.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If Talkspace, Inc.’s securities were not listed on the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29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The provision of our second amended and restated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7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Our second amended and restated certificate of incorporation will require,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our second amended and restated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 will not apply to claims arising under the Securities Act, the Exchange Act or other federal securities laws for which there is exclusive federal or concurrent federal and state jurisdiction.</w:t>
      </w:r>
    </w:p>
    <w:p>
      <w:pPr>
        <w:spacing w:after="0" w:line="178"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Talkspace, Inc.’s stockholders will not be deemed to have waived Talkspace, Inc.’s compliance with the federal securities laws and the rules and regulations thereunder.</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Talkspace, Inc.’s amended and restated certificate of incorporation to be inapplicable or unenforceable.</w:t>
      </w:r>
    </w:p>
    <w:p>
      <w:pPr>
        <w:spacing w:after="0" w:line="19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second amended and restated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Talkspace, Inc.’s securities may be volatile.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consummation of the business combination, the price of Talkspace, Inc.’s securities may fluctuate due to a variety of factors, including:</w:t>
      </w:r>
    </w:p>
    <w:p>
      <w:pPr>
        <w:spacing w:after="0" w:line="142" w:lineRule="exact"/>
        <w:rPr>
          <w:sz w:val="20"/>
          <w:szCs w:val="20"/>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success of competitive services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Talkspace, Inc.’s common stock regardless of the operating performance of Talkspace, including the Talkspace businesses acquired in the business combination.</w:t>
      </w:r>
    </w:p>
    <w:p>
      <w:pPr>
        <w:spacing w:after="0" w:line="2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Future resales of our common stock after the consummation of the Transactions may cause the market price of Talkspace, Inc. securities to drop significantly, even if Talkspace, Inc.’s business is doing well.</w:t>
      </w:r>
    </w:p>
    <w:p>
      <w:pPr>
        <w:spacing w:after="0" w:line="6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Pursuant to the Sponsor Support Agreement and the Proposed Bylaws, after the consummation of the Transactions and subject to certain exceptions, the Sponsor and the Talkspace Holders will be contractually restricted from selling or transferring any of its shares of Talkspace, Inc. common stock (not including the shares of Talkspace, Inc. common stock issued in the PIPE Investment pursuant to the terms of the Subscription Agreements) (the “</w:t>
      </w:r>
      <w:r>
        <w:rPr>
          <w:rFonts w:ascii="Arial" w:cs="Arial" w:eastAsia="Arial" w:hAnsi="Arial"/>
          <w:sz w:val="17"/>
          <w:szCs w:val="17"/>
          <w:i w:val="1"/>
          <w:iCs w:val="1"/>
          <w:color w:val="auto"/>
        </w:rPr>
        <w:t>Lock-up Shares</w:t>
      </w:r>
      <w:r>
        <w:rPr>
          <w:rFonts w:ascii="Arial" w:cs="Arial" w:eastAsia="Arial" w:hAnsi="Arial"/>
          <w:sz w:val="17"/>
          <w:szCs w:val="17"/>
          <w:color w:val="auto"/>
        </w:rPr>
        <w:t>”). Such restrictions begin at Closing and end on the date that is 180 days after the Closing.</w:t>
      </w:r>
    </w:p>
    <w:p>
      <w:pPr>
        <w:spacing w:after="0" w:line="17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However, following the expiration of such lockup, the Sponsor and the Talkspace Holders will not be restricted from selling shares of our stock held by them, other than by applicable securities laws. Additionally, the Third Party PIPE Investors will not be restricted from selling any of their shares of our common stock following the closing of the business combination,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The shares held by Sponsor and the Talkspace Holders may be sold after the expiration of the applicable lock-up period under the Sponsor Support Agreement and Proposed Bylaws. As restrictions on resale end and registration statements (filed after the Closing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we may issue additional common stock or other equity securities without the approval of investors, which would dilute investors’ ownership interests and may depress the market price of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27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Talkspace following consummation of the business combination.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research analyst coverage following consummation of the business combination, if no analysts commence coverage of us, the market price and volume for our securities could be adversely affected.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Talkspace, Inc. does not intend to pay cash dividends for the foreseeable future.</w:t>
      </w:r>
    </w:p>
    <w:p>
      <w:pPr>
        <w:spacing w:after="0" w:line="11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Following the business combination, Talkspace, Inc. currently intends to retain its future earnings, if any, to finance the further development and expansion of its business and does not intend to pay cash dividends in the foreseeable future. Any future determination to pay dividends will be at the discretion of Talkspace Inc.’s board of directors and will depend on its financial condition, results of operations, capital requirements and future agreements and financing instruments, business prospects and such other factors as its board of directors deems relevant.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MEETING OF HEC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HEC is furnishing this proxy statement/prospectus to HEC’s stockholders as part of the solicitation of proxies by the HEC Board for use at the special meeting of HEC stockholders to be held on June 17, 2021, and at any adjournment or postponement thereof. This proxy statement/prospectus provides HEC’s stockholders with information they need to know to be able to vote or instruct their vote to be cast at the special meeting.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special meeting of stockholders will be held via live webcast at 8.30 a.m. Eastern Time, on June 17, 2021. The special meeting can be accessed by visiting https://www.cstproxy.com/hudsoninvestcorp/sm2021, where you will be able to listen to the meeting live and vote during the meeting. Please note that you will only be able to access the special meeting by means of remote communication. Please have your Control Number, which can be found on your proxy card, to join the special meeting. If you do not have a control number, please contact the Continental Stock Transfer &amp; Trust Company, the Transfer Agent.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HEC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special meeting, HEC is asking holders of HEC’s common stock to consider and vote upon:</w:t>
      </w:r>
    </w:p>
    <w:p>
      <w:pPr>
        <w:spacing w:after="0" w:line="131" w:lineRule="exact"/>
        <w:rPr>
          <w:sz w:val="20"/>
          <w:szCs w:val="20"/>
          <w:color w:val="auto"/>
        </w:rPr>
      </w:pPr>
    </w:p>
    <w:p>
      <w:pPr>
        <w:ind w:left="540" w:hanging="316"/>
        <w:spacing w:after="0"/>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proposal to approve the business combination described in this proxy statement/prospectus, including (a) adopting the Merger Agreement and</w:t>
      </w:r>
    </w:p>
    <w:p>
      <w:pPr>
        <w:spacing w:after="0" w:line="46" w:lineRule="exact"/>
        <w:rPr>
          <w:rFonts w:ascii="Arial" w:cs="Arial" w:eastAsia="Arial" w:hAnsi="Arial"/>
          <w:sz w:val="16"/>
          <w:szCs w:val="16"/>
          <w:color w:val="auto"/>
        </w:rPr>
      </w:pPr>
    </w:p>
    <w:p>
      <w:pPr>
        <w:ind w:left="540" w:right="80"/>
        <w:spacing w:after="0" w:line="260" w:lineRule="auto"/>
        <w:rPr>
          <w:rFonts w:ascii="Arial" w:cs="Arial" w:eastAsia="Arial" w:hAnsi="Arial"/>
          <w:sz w:val="16"/>
          <w:szCs w:val="16"/>
          <w:color w:val="auto"/>
        </w:rPr>
      </w:pPr>
      <w:r>
        <w:rPr>
          <w:rFonts w:ascii="Arial" w:cs="Arial" w:eastAsia="Arial" w:hAnsi="Arial"/>
          <w:sz w:val="18"/>
          <w:szCs w:val="18"/>
          <w:color w:val="auto"/>
        </w:rPr>
        <w:t>(b) approving the other transactions contemplated by the Merger Agreement and related agreements described in this proxy statement/prospectus. Please see the section entitled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540" w:right="260" w:hanging="316"/>
        <w:spacing w:after="0" w:line="277"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approve and adopt the second amended and restated certificate of incorporation of HEC.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540" w:hanging="316"/>
        <w:spacing w:after="0" w:line="263"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a separate proposal with respect to certain governance provisions in the second amended and restated certificate of incorporation presented separately in accordance with SEC requirements. Please see the section entitled “</w:t>
      </w:r>
      <w:r>
        <w:rPr>
          <w:rFonts w:ascii="Arial" w:cs="Arial" w:eastAsia="Arial" w:hAnsi="Arial"/>
          <w:sz w:val="18"/>
          <w:szCs w:val="18"/>
          <w:i w:val="1"/>
          <w:iCs w:val="1"/>
          <w:color w:val="auto"/>
        </w:rPr>
        <w:t>Proposal No. 3</w:t>
      </w:r>
      <w:r>
        <w:rPr>
          <w:rFonts w:ascii="Arial" w:cs="Arial" w:eastAsia="Arial" w:hAnsi="Arial"/>
          <w:sz w:val="18"/>
          <w:szCs w:val="18"/>
          <w:color w:val="auto"/>
        </w:rPr>
        <w:t xml:space="preserve"> </w:t>
      </w:r>
      <w:r>
        <w:rPr>
          <w:rFonts w:ascii="Arial" w:cs="Arial" w:eastAsia="Arial" w:hAnsi="Arial"/>
          <w:sz w:val="18"/>
          <w:szCs w:val="18"/>
          <w:i w:val="1"/>
          <w:iCs w:val="1"/>
          <w:color w:val="auto"/>
        </w:rPr>
        <w:t>—The 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divide the board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right="180" w:hanging="316"/>
        <w:spacing w:after="0" w:line="263"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8"/>
          <w:szCs w:val="18"/>
          <w:i w:val="1"/>
          <w:iCs w:val="1"/>
          <w:color w:val="auto"/>
        </w:rPr>
        <w:t>Proposal No. 7—The Nasdaq Proposal</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540" w:right="60" w:hanging="316"/>
        <w:spacing w:after="0" w:line="259"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8"/>
          <w:szCs w:val="18"/>
          <w:i w:val="1"/>
          <w:iCs w:val="1"/>
          <w:color w:val="auto"/>
        </w:rPr>
        <w:t>Proposal No. 8</w:t>
      </w:r>
      <w:r>
        <w:rPr>
          <w:rFonts w:ascii="Arial" w:cs="Arial" w:eastAsia="Arial" w:hAnsi="Arial"/>
          <w:sz w:val="18"/>
          <w:szCs w:val="18"/>
          <w:color w:val="auto"/>
        </w:rPr>
        <w:t>—</w:t>
      </w:r>
      <w:r>
        <w:rPr>
          <w:rFonts w:ascii="Arial" w:cs="Arial" w:eastAsia="Arial" w:hAnsi="Arial"/>
          <w:sz w:val="18"/>
          <w:szCs w:val="18"/>
          <w:i w:val="1"/>
          <w:iCs w:val="1"/>
          <w:color w:val="auto"/>
        </w:rPr>
        <w:t>The Adjournment Proposal.</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HEC Board unanimously recommends that stockholders vote “FOR” the business combination proposal, “FOR” the charter proposal, “FOR” the governance proposal, “FOR” the incentive plan proposal, “FOR” the ESPP proposal, “FOR” the director election proposal, “FOR” the Nasdaq proposal and “FOR” the adjournment proposal, if presented.</w:t>
      </w:r>
    </w:p>
    <w:p>
      <w:pPr>
        <w:spacing w:after="0" w:line="184"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1—The Business Combination Proposal—Interests of Certain Persons in the Business Combination</w:t>
      </w:r>
      <w:r>
        <w:rPr>
          <w:rFonts w:ascii="Arial" w:cs="Arial" w:eastAsia="Arial" w:hAnsi="Arial"/>
          <w:sz w:val="17"/>
          <w:szCs w:val="17"/>
          <w:color w:val="auto"/>
        </w:rPr>
        <w:t>” for additional information. The HEC Board</w:t>
      </w:r>
      <w:r>
        <w:rPr>
          <w:rFonts w:ascii="Arial" w:cs="Arial" w:eastAsia="Arial" w:hAnsi="Arial"/>
          <w:sz w:val="17"/>
          <w:szCs w:val="17"/>
          <w:i w:val="1"/>
          <w:iCs w:val="1"/>
          <w:color w:val="auto"/>
        </w:rPr>
        <w:t xml:space="preserve"> </w:t>
      </w:r>
      <w:r>
        <w:rPr>
          <w:rFonts w:ascii="Arial" w:cs="Arial" w:eastAsia="Arial" w:hAnsi="Arial"/>
          <w:sz w:val="17"/>
          <w:szCs w:val="17"/>
          <w:color w:val="auto"/>
        </w:rPr>
        <w:t>was aware of and considered these interests, among other matters, in evaluating and negotiating the Transactions and in recommending to the HEC stockholders that they vote “FOR” the proposals presented at the special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Persons Entitled to Vote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HEC has fixed the close of business on May 19, 2021, as the record date for determining HEC stockholders entitled to notice of and to attend and vote at the special meeting. As of the close of business on the record date, there were shares of HEC’s common stock outstanding and entitled to vote. Each share of HEC’s common stock is entitled to one vote per share at the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presence at the special meeting by attendance via the virtual meeting website or by proxy, of a majority of the voting power of all the outstanding shares of HEC’s common stock as of the record date entitled to vote constitutes a quorum at the special meeting. Proxies that are marked “abstain” will be treated as shares present for purposes of determining the presence of a quorum on all matters. Broker non-votes will not be counted for the purposes of determining he existence of a quorum or for purposes of determining the number of votes cast at the special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approval of each of the business combination proposal, the governance proposal (which is a non-binding advisory vote) the incentive plan proposal, the ESPP proposal, the Nasdaq proposal and the adjournment proposal require the affirmative vote of a majority of the votes cast by holders of HEC’s outstanding shares of HEC’s common stock represented at the special meeting by attendance via the virtual meeting website or by proxy and entitled to vote at the special meeting. Accordingly, if a valid quorum is established, a HEC stockholder’s failure to vote by proxy or to vote at the special meeting with regard to the business combination proposal, the governance proposal, the incentive plan proposal, the ESPP proposal, the Nasdaq proposal and the adjournment proposal will have no effect on such proposals.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approval of the charter proposal requires the affirmative vote of holders of a majority of HEC’s outstanding shares of HEC’s common stock entitled to vote thereon at the special meeting. Accordingly, if a valid quorum is established, a HEC stockholder’s failure to vote by proxy or to vote at the special meeting with regard to the charter proposal will have the same effect as a vote “against” such proposal.</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Directors are elected by a plurality of all of the votes cast by holders of shares of HEC’s common stock represented at the special meeting by attendance via the virtual meeting website or by proxy and entitled to vote thereon at the special meeting. This means that the director nominees who receive the most affirmative votes will be elected. HEC stockholders may not cumulate their votes with respect to the election of directors. Accordingly, if a valid quorum is established, a HEC stockholder’s failure to vote by proxy or to vote at the special meeting with regard to the director election proposal will have no effect on such proposal.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color w:val="auto"/>
        </w:rPr>
        <w:t xml:space="preserve">Consummation of the Transactions is conditioned on the approval of each of the Condition Precedent Proposals. </w:t>
      </w:r>
      <w:r>
        <w:rPr>
          <w:rFonts w:ascii="Arial" w:cs="Arial" w:eastAsia="Arial" w:hAnsi="Arial"/>
          <w:sz w:val="18"/>
          <w:szCs w:val="18"/>
          <w:b w:val="1"/>
          <w:bCs w:val="1"/>
          <w:color w:val="auto"/>
        </w:rPr>
        <w:t>It is important for you to note that in</w:t>
      </w:r>
      <w:r>
        <w:rPr>
          <w:rFonts w:ascii="Arial" w:cs="Arial" w:eastAsia="Arial" w:hAnsi="Arial"/>
          <w:sz w:val="18"/>
          <w:szCs w:val="18"/>
          <w:color w:val="auto"/>
        </w:rPr>
        <w:t xml:space="preserve"> </w:t>
      </w:r>
      <w:r>
        <w:rPr>
          <w:rFonts w:ascii="Arial" w:cs="Arial" w:eastAsia="Arial" w:hAnsi="Arial"/>
          <w:sz w:val="18"/>
          <w:szCs w:val="18"/>
          <w:b w:val="1"/>
          <w:bCs w:val="1"/>
          <w:color w:val="auto"/>
        </w:rPr>
        <w:t>the event that the Condition Precedent Proposals do not receive the requisite vote for approval, we will not consummate the business combination.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Abstentions will have no effect on the outcome of each of the business combination proposal, the governance proposal, the incentive plan proposal, the ESPP proposal, the director election proposal, the Nasdaq proposal and the adjournment proposal. However, abstentions will count as a vote “against” the charter proposal.</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the special meeting will be considered non-routine and, therefore, your broker, bank or nominee cannot vote your shares without your instruction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 non-votes will count as a vote “AGAINST” the charter proposal but will not have any effect on the outcome of any other proposals.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Each share of HEC’s common stock that you own in your name entitles you to one vote. If your shares are held in “street name” or are in a margin or similar account, you should contact your broker to ensure that votes related to the shares you beneficially own are properly counted.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two ways to vote your shares of HEC’s common stock at the special meeting:</w:t>
      </w:r>
    </w:p>
    <w:p>
      <w:pPr>
        <w:spacing w:after="0" w:line="131" w:lineRule="exact"/>
        <w:rPr>
          <w:sz w:val="20"/>
          <w:szCs w:val="20"/>
          <w:color w:val="auto"/>
        </w:rPr>
      </w:pPr>
    </w:p>
    <w:p>
      <w:pPr>
        <w:ind w:left="540" w:right="40" w:hanging="316"/>
        <w:spacing w:after="0" w:line="296" w:lineRule="auto"/>
        <w:tabs>
          <w:tab w:leader="none" w:pos="540"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You Can Vote By Signing and Returning the Enclosed Proxy Card</w:t>
      </w:r>
      <w:r>
        <w:rPr>
          <w:rFonts w:ascii="Arial" w:cs="Arial" w:eastAsia="Arial" w:hAnsi="Arial"/>
          <w:sz w:val="16"/>
          <w:szCs w:val="16"/>
          <w:color w:val="auto"/>
        </w:rPr>
        <w:t>. If you vote by proxy card, your “proxy,” whose name is listed on the proxy</w:t>
      </w:r>
      <w:r>
        <w:rPr>
          <w:rFonts w:ascii="Arial" w:cs="Arial" w:eastAsia="Arial" w:hAnsi="Arial"/>
          <w:sz w:val="16"/>
          <w:szCs w:val="16"/>
          <w:i w:val="1"/>
          <w:iCs w:val="1"/>
          <w:color w:val="auto"/>
        </w:rPr>
        <w:t xml:space="preserve"> </w:t>
      </w:r>
      <w:r>
        <w:rPr>
          <w:rFonts w:ascii="Arial" w:cs="Arial" w:eastAsia="Arial" w:hAnsi="Arial"/>
          <w:sz w:val="16"/>
          <w:szCs w:val="16"/>
          <w:color w:val="auto"/>
        </w:rPr>
        <w:t>card, will vote your shares as you instruct on the proxy card. If you sign and return the proxy card but do not give instructions on how to vote your shares, your shares will be voted “FOR” the business combination proposal, “FOR” the charter proposal, “FOR” the governance proposal, “FOR” the incentive plan proposal, “FOR” the ESPP proposal, “FOR” the director election proposal, “FOR” the Nasdaq proposal and “FOR” the adjournment proposal, if presented. Votes received after a matter has been voted upon at the special meeting will not be counted.</w:t>
      </w:r>
    </w:p>
    <w:p>
      <w:pPr>
        <w:spacing w:after="0" w:line="66" w:lineRule="exact"/>
        <w:rPr>
          <w:rFonts w:ascii="Arial" w:cs="Arial" w:eastAsia="Arial" w:hAnsi="Arial"/>
          <w:sz w:val="16"/>
          <w:szCs w:val="16"/>
          <w:color w:val="auto"/>
        </w:rPr>
      </w:pPr>
    </w:p>
    <w:p>
      <w:pPr>
        <w:ind w:left="540" w:right="100" w:hanging="316"/>
        <w:spacing w:after="0" w:line="279"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You can attend the special meeting via the virtual meeting platform and vote during the meeting by following the instructions on your proxy card. You can access the special meeting by visiting the website at https://www.cstproxy.com/hudsoninvestcorp/sm2021. You will need your control number for access. If you do not have a control number, please contact Continental Stock Transfer &amp; Trust Company. Instructions on how to attend and participate at the special meeting are available at https://www.cstproxy.com/hudsoninvestcorp/sm2021.</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However, if your shares are held in the name of your broker, bank or another nominee, you must get a proxy from the broker, bank or other nominee.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is the only way HEC can be sure that the broker, bank or nominee has not already voted your shares.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and you give a proxy, you may revoke it at any time before it is exercised by doing any one of the following:</w:t>
      </w:r>
    </w:p>
    <w:p>
      <w:pPr>
        <w:spacing w:after="0" w:line="131" w:lineRule="exact"/>
        <w:rPr>
          <w:sz w:val="20"/>
          <w:szCs w:val="20"/>
          <w:color w:val="auto"/>
        </w:rPr>
      </w:pPr>
    </w:p>
    <w:p>
      <w:pPr>
        <w:ind w:left="540" w:hanging="31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you may notify HEC’s Secretary in writing before the special meeting that you have revoked your proxy;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at the special meeting, as indicated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If you are a stockholder and have any questions about how to vote or direct a vote in respect of your shares of HEC’s common stock, you may call Morrow, HEC’s proxy solicitor, at (203) 658-9400 (Call Collect) or (Toll Free) or HEC at (800) 662-5200.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Pursuant to our current certificate of incorporation, public stockholders may seek to redeem their shares for cash, irrespective of whether they vote “for” or “against” the business combination proposal or don’t vote at all. Any stockholder holding public shares as of the record date who votes “for” or “against” the business combination proposal may demand that HEC redeem such shares for a full pro rata portion of the trust account (which, for illustrative purposes, was approximately $10.01 per share as of May 19, 2021, the record date for the special meeting), calculated as of two business days prior to the anticipated consummation of the business combination. If a holder properly seeks redemption as described in this section and the business combination is consummated, HEC will redeem these shares for a pro rata portion of funds deposited in the trust account and the holder will no longer own these shares following the business combination.</w:t>
      </w:r>
    </w:p>
    <w:p>
      <w:pPr>
        <w:spacing w:after="0" w:line="17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Notwithstanding the foregoing, a public stockholder, together with any affiliate such holder or any other person with whom such holder is acting in concert or as a “group” (as defined in Section 13(d)(3) of the Exchange Act), will be restricted from seeking redemption rights with respect to more than 20% of the public shares. Accordingly, all public shares in excess of 20% held by a public stockholder, together with any affiliate of such holder or any other person with whom such holder is acting in concert or as a “group,” will not be redeemed for cash.</w:t>
      </w:r>
    </w:p>
    <w:p>
      <w:pPr>
        <w:spacing w:after="0" w:line="17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Sponsor and the HEC Insiders will not have redemption rights with respect to any shares of HEC’s common stock owned by them in connection with the Transactions.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Each public stockholder may elect to redeem its public shares irrespective of whether they vote for or against the proposed transaction or whether they were a stockholder on the record date for the stockholder meeting held to approve the proposed transaction. Public stockholders may demand redemption by delivering their stock, either physically or electronically using Depository Trust Company’s DWAC System, to HEC’s transfer agent prior to the vote at the special meeting. If you hold the shares in street name, you will have to coordinate with your broker to have your shares certificated or delivered electronically. Certificates that have not been tendered (either physically or electronically) in accordance with these procedures will not be redeemed for cash. There is a nominal cost associated with this tendering process and the act of certificating the shares or delivering them through the DWAC system. The transfer agent will typically charge the tendering broker $100 and it would be up to the broker whether or not to pass this cost on to the redeeming stockholder. In the event the proposed business combination is not consummated this may result in an additional cost to stockholders for the return of their shares.</w:t>
      </w:r>
    </w:p>
    <w:p>
      <w:pPr>
        <w:spacing w:after="0" w:line="181"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Any request to redeem such shares, once made, may be withdrawn at any time up to the vote on the business combination proposal. Furthermore, if a public stockholder delivered its certificate in connection with an election of its redemption and subsequently decides prior to the applicable date not to elect to exercise such rights, it may simply request that the transfer agent return the certificate (physically or electronically).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the business combination is not approved or completed for any reason, then HEC’s public stockholders who elected to exercise their redemption rights will not be entitled to redeem their shares for a full pro rata portion of the trust account, as applicable. In such case, HEC will promptly return any shares delivered by public stockholders. Additionally, if HEC would be left with less than $5,000,001 of net tangible assets as a result of the public stockholders properly demanding redemption of their shares for cash, HEC will not be able to consummate the business combination.</w:t>
      </w:r>
    </w:p>
    <w:p>
      <w:pPr>
        <w:spacing w:after="0" w:line="171"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The closing price of HEC’s Class A common stock on May 19, 2021, the record date for the special meeting, was $9.90 per share. The cash held in the trust account on such date was approximately $414,279,375.01 ($10.01 per public share). Prior to exercising redemption rights, stockholders should verify the market price of HEC’s common stock as they may receive higher proceeds from the sale of their HEC’s common stock in the public market than from exercising their redemption rights if the market price per share is higher than the redemption price. HEC cannot assure its stockholders that they will be able to sell their shares of HEC’s common stock in the open market, even if the market price per share is higher than the redemption price stated above, as there may not be sufficient liquidity in its securities when its stockholders wish to sell their shares.</w:t>
      </w:r>
    </w:p>
    <w:p>
      <w:pPr>
        <w:spacing w:after="0" w:line="16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If a public stockholder exercises its redemption rights, then it will be exchanging its shares of HEC’s common stock for cash and will no longer own those shares. You will be entitled to receive cash for these shares only if you affirmatively vote “for” or “against” the business combination proposal and properly demand redemption no later than the close of the vote on the business combination proposal by delivering your stock certificate (either physically or electronically) to HEC’s transfer agent prior to the vote at the special meeting, and the business combination is consummated.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Neither stockholders, unitholders nor warrant holders of HEC have appraisal rights in connection the business combination under the DGCL.</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HEC is soliciting proxies on behalf of the HEC Board. This solicitation is being made by mail. HEC and its directors, officers and employees may also solicit proxies in person, by telephone or by other electronic means. HEC will bear the cost of the solicitation.</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HEC has hired Morrow to assist in the proxy solicitation process. HEC will pay that firm a fee of $32,500 plus disbursements. Such payment will be made from non-trust account funds.</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HEC will ask banks, brokers and other institutions, nominees and fiduciaries to forward the proxy materials to their principals and to obtain their authority to execute proxies and voting instructions. HEC will reimburse them for their reasonable expenses.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1—THE BUSINESS COMBINATION PROPOSAL</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HEC’s stockholders are being asked to approve the business combination described in this proxy statement/prospectus, including (a) adopting the Merger Agreement and (b) approving the other Transactions and related agreements described in this proxy statement/prospectus. The discussion in this proxy statement/prospectus of the business combination and the principal terms of the Merger Agreement is subject to, and is qualified in its entirety by reference to, the Merger Agreement, which is attached as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to this proxy statement/prospectus.</w:t>
      </w:r>
    </w:p>
    <w:p>
      <w:pPr>
        <w:spacing w:after="0" w:line="17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You should read carefully this proxy statement/prospectus in its entirety for more detailed information concerning the Merger Agreement. Please see the subsection entitled “—</w:t>
      </w:r>
      <w:r>
        <w:rPr>
          <w:rFonts w:ascii="Arial" w:cs="Arial" w:eastAsia="Arial" w:hAnsi="Arial"/>
          <w:sz w:val="18"/>
          <w:szCs w:val="18"/>
          <w:i w:val="1"/>
          <w:iCs w:val="1"/>
          <w:color w:val="auto"/>
        </w:rPr>
        <w:t>Certain Agreements Related to the Business Combination—Merger Agreement</w:t>
      </w:r>
      <w:r>
        <w:rPr>
          <w:rFonts w:ascii="Arial" w:cs="Arial" w:eastAsia="Arial" w:hAnsi="Arial"/>
          <w:sz w:val="18"/>
          <w:szCs w:val="18"/>
          <w:color w:val="auto"/>
        </w:rPr>
        <w:t>” below, for additional information and a summary of certain terms of the Merger Agreement.</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may consummate the business combination only if it is approved by the affirmative vote of the holders of a majority of the votes cast by holders of our outstanding shares of HEC’s common stock represented at the special meeting by attendance via the virtual meeting website or by proxy and entitled to vote at the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the Transactions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Pursuant to the Merger Agreement, a business combination between HEC and Talkspace will be effected through the First Merger, whereby First Merger Sub will merge with and into Talkspace with Talkspace surviving such merger as a wholly owned subsidiary of HEC, followed by the Second Merger, whereby, immediately following and as part of the same overall transaction as the First Merger, Talkspace will merge with and into Second Merger Sub, with Second Merger Sub surviving such merger as a wholly owned subsidiary of HEC.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business combination will be effected as described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168910</wp:posOffset>
            </wp:positionV>
            <wp:extent cx="5066030" cy="18688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60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The following diagram illustrates the ownership structure of Talkspace, Inc. immediately following the business combination (percentages shown as basic ownership) and (a) excludes the impact of the shares of HEC’s Class A common stock underlying the warrants and (b) assumes that no public stockholder exercises redemption rights with respect to its shares for a pro rata portion of the funds in HEC’s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120650</wp:posOffset>
            </wp:positionV>
            <wp:extent cx="4920615" cy="3308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2061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Merger Consideration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Subject to the terms of the Merger Agreement, all shares of Talkspace stock and all Vested Talkspace Options will be cancelled or assumed, as applicable, and converted into the right to receive, at the election of the holders thereof, a number of shares of Talkspace, Inc. common stock (or, with respect to holders of Vested Talkspace Options, a number of Vested HEC Options) or a combination of shares of Talkspace, Inc. common stock and cash (or, with respect to holders of Vested Talkspace Options, a combination of Vested HEC Options and cash), in each case, as adjusted pursuant to the terms of the Merger Agreement, which in the aggregate with the Unvested Talkspace Options to be assumed by Talkspace, Inc. and converted into Unvested HEC Options, will equal to the Closing Merger Consideration, reduced by certain deductions for the parties’ transaction expenses and the Sponsor Share Amount. The Closing Cash Consideration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consummation of the PIPE Investment and the transactions contemplated under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The Closing Share Consideration of Talkspace, Inc.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Sponsor Share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by (b) $10.00. At the election of the Company, in certain circumstances the Closing Cash Consideration may be reduced (with a corresponding increase to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Closing Share Consideration) to the extent required to ensure that the business combination qualifies for the Intended Income Tax Treatment.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w:t>
      </w:r>
      <w:r>
        <w:rPr>
          <w:rFonts w:ascii="Arial" w:cs="Arial" w:eastAsia="Arial" w:hAnsi="Arial"/>
          <w:sz w:val="18"/>
          <w:szCs w:val="18"/>
          <w:color w:val="auto"/>
        </w:rPr>
        <w:t>”). Please see the summary of the Merger Agreement in the section entitled “</w:t>
      </w:r>
      <w:r>
        <w:rPr>
          <w:rFonts w:ascii="Arial" w:cs="Arial" w:eastAsia="Arial" w:hAnsi="Arial"/>
          <w:sz w:val="18"/>
          <w:szCs w:val="18"/>
          <w:i w:val="1"/>
          <w:iCs w:val="1"/>
          <w:color w:val="auto"/>
        </w:rPr>
        <w:t xml:space="preserve">—Certain Agreements Related to the Business Combination —Merger Agreement” </w:t>
      </w:r>
      <w:r>
        <w:rPr>
          <w:rFonts w:ascii="Arial" w:cs="Arial" w:eastAsia="Arial" w:hAnsi="Arial"/>
          <w:sz w:val="18"/>
          <w:szCs w:val="18"/>
          <w:color w:val="auto"/>
        </w:rPr>
        <w:t>below.</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Business Combination on HEC’s Public Float</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1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4—The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illustrates varying ownership levels in Talkspace, Inc., assuming no redemptions by HEC’s public stockholders and the maximum redemptions by HEC’s public stockholders: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Assuming</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No</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Redemptions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Sponsor and certain affiliates</w:t>
            </w:r>
          </w:p>
        </w:tc>
        <w:tc>
          <w:tcPr>
            <w:tcW w:w="80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Public Stockholders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25.1%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Former Talkspace Stockholders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50.8%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These levels of ownership interest (i) exclude the impact of the shares of HEC’s Class A common stock underlying the warrants; (ii) assume, in the no redemption scenario, that no public stockholder exercises redemption rights with respect to its shares for a pro rata portion of the funds in HEC’s trust account and (iii) are determined, in the maximum redemption scenario, by assuming 5 million shares of HEC’s Class A common stock will not be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Agreements Related to the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The summary of the material provisions of the Merger Agreement set forth below and elsewhere in this proxy statement/prospectus is qualified in its entirety by reference to the Merger Agreement, a copy of which is attached to this proxy statement/prospectus as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and which is incorporated by reference in this proxy statement/prospectus. All stockholders are encouraged to read the Merger Agreement in its entirety for a more complete description of the terms and conditions of the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Closing Merger Consideration</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As a result of and upon the Closing, among other things, and as more fully described elsewhere in this proxy statement/prospectus, all shares of Talkspace stock and all Vested Talkspace Options will be cancelled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assumed, as applicable, and converted into the right to receive, at the election of the holders thereof (as further described below), a number of shares of Talkspace, Inc. common stock (or, with respect to holders of Vested Talkspace Options, a number of Vested HEC Options) or a combination of shares of Talkspace, Inc. common stock and cash (or, with respect to holders of Vested Talkspace Options, a combination of Vested HEC Options and cash), in each case, as adjusted pursuant to the terms of the Merger Agreement, which in the aggregate with the Unvested Talkspace Options to be assumed by Talkspace, Inc. and converted into Unvested HEC Options, will equal to the Closing Merger Consideration, reduced by certain deductions for the parties’ transaction expenses and the Sponsor Share Amount.</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Closing Cash Consideration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the consummation of the PIPE Investment and the transactions contemplated under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The Closing Share Consideration of Talkspace, Inc.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Sponsor Share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by (b) $10.00. At the election of the Company, in certain circumstances the Closing Cash Consideration may be reduced (with a corresponding increase to the Closing Share Consideration) to the extent required to ensure that the business combination qualifies for the Intended Income Tax Treatment.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6"/>
          <w:szCs w:val="16"/>
          <w:i w:val="1"/>
          <w:iCs w:val="1"/>
          <w:color w:val="auto"/>
        </w:rPr>
        <w:t>Maximum Consideration</w:t>
      </w:r>
      <w:r>
        <w:rPr>
          <w:rFonts w:ascii="Arial" w:cs="Arial" w:eastAsia="Arial" w:hAnsi="Arial"/>
          <w:sz w:val="16"/>
          <w:szCs w:val="16"/>
          <w:color w:val="auto"/>
        </w:rPr>
        <w:t>”).</w:t>
      </w:r>
    </w:p>
    <w:p>
      <w:pPr>
        <w:spacing w:after="0" w:line="17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At the First Effective Time, by virtue of the First Merger and and without any further action on the part of any party to the Merger Agreement or the holders of any securities of HEC, each share of Talkspace stock issued and outstanding immediately prior to the First Effective Time (other than any shares of Talkspace stock (i) that are subject to Talkspace Options (see “—</w:t>
      </w:r>
      <w:r>
        <w:rPr>
          <w:rFonts w:ascii="Arial" w:cs="Arial" w:eastAsia="Arial" w:hAnsi="Arial"/>
          <w:sz w:val="17"/>
          <w:szCs w:val="17"/>
          <w:i w:val="1"/>
          <w:iCs w:val="1"/>
          <w:color w:val="auto"/>
        </w:rPr>
        <w:t>Treatment of Talkspace Options</w:t>
      </w:r>
      <w:r>
        <w:rPr>
          <w:rFonts w:ascii="Arial" w:cs="Arial" w:eastAsia="Arial" w:hAnsi="Arial"/>
          <w:sz w:val="17"/>
          <w:szCs w:val="17"/>
          <w:color w:val="auto"/>
        </w:rPr>
        <w:t>” below), (ii) held in Talkspace’s treasury or owned by HEC, First Merger Sub, Second Merger Sub or Talkspace immediately prior to the First Effective Time and (iii) held by stockholders of Talkspace who have perfected and not withdrawn a demand for appraisal rights pursuant to the applicable provisions of the DGCL (collectively, the “Excluded Shares”)) will be cancelled and automatically deemed for all purposes to represent the right to receive the merger consideration as follows, subject to individual adjustment (as described further below):</w:t>
      </w:r>
    </w:p>
    <w:p>
      <w:pPr>
        <w:spacing w:after="0" w:line="83" w:lineRule="exact"/>
        <w:rPr>
          <w:sz w:val="20"/>
          <w:szCs w:val="20"/>
          <w:color w:val="auto"/>
        </w:rPr>
      </w:pPr>
    </w:p>
    <w:p>
      <w:pPr>
        <w:ind w:left="540" w:hanging="316"/>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each Stock Electing Share, the Stock Election Consideration;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for each Standard Mixed Electing Share (including each Dissenting Share), the Stockholder Standard Mixed Election Consideration; and</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each Cash Weighted Mixed Electing Share, the Stockholder Cash Weighted Mixed Election Consideration.</w:t>
      </w:r>
    </w:p>
    <w:p>
      <w:pPr>
        <w:spacing w:after="0" w:line="22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Depending on the aggregate elections validly made by the individual holders of Talkspace stock, the actual consideration that each such holder will receive will be subject to adjustment in order to preserve the limitations in the Merger Agreement on the aggregate amount of Closing Cash Consideration and Closing Share Consideration to be paid in connection with the business combination, such that the aggregate cash amount to be paid to the holders of Talkspace stock will equal the Closing Cash Consideration (less any cash amounts paid to holders of Vested Talkspace Options). As a result, the Stock Election Consideration and the Cash Weighted Mixed Election Consideration, together with the Assumed Vested Company Option Election Consideration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Optionholder Cash Weighted Mixed Election Consideration, as applicable, will be subject to the following adjustments pursuant to the terms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Agreement:</w:t>
      </w:r>
    </w:p>
    <w:p>
      <w:pPr>
        <w:spacing w:after="0" w:line="116" w:lineRule="exact"/>
        <w:rPr>
          <w:sz w:val="20"/>
          <w:szCs w:val="20"/>
          <w:color w:val="auto"/>
        </w:rPr>
      </w:pPr>
    </w:p>
    <w:p>
      <w:pPr>
        <w:ind w:left="540" w:right="200" w:hanging="316"/>
        <w:spacing w:after="0" w:line="263"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Cash Election Amount exceeds the Closing Cash Consideration, then (i) all Cash Weighted Mixed Electing Shares shall be converted into the right to receive the Adjusted Stockholder Cash Weighted Mixed Election Consideration and (ii) all Cash Weighted Mixed Electing Options shall receive the Adjusted Optionholder Cash Weighted Mixed Election Consideration.</w:t>
      </w:r>
    </w:p>
    <w:p>
      <w:pPr>
        <w:spacing w:after="0" w:line="89"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Closing Cash Consideration exceeds the Cash Election Amount, then (i) all Stock Electing Shares shall be converted into the right to receive the Adjusted Stock Election Consideration and (ii) all Assumed Electing Options shall receive the Adjusted Assumed Vested Company Option Election Consideration.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the Closing Cash Consideration equals the Cash Election Amount, then there shall be no adjustment under the terms of the Merger Agreement.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Treatment of Talkspace Options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Merger Agreement provides that each Unvested Talkspace Option that is outstanding as of immediately prior to the First Effective Time will be assumed by Talkspace, Inc. and converted into a comparable Unvested HEC Option based upon the Exchange Ratio but otherwise subject to the same terms and conditions as set forth under the award prior to the conversion.</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Merger Agreement provides that each holder of a Vested Talkspace Option will have the ability to elect to receive one of the following forms of consideration: (i) the Assumed Vested Company Option Election Consideration, (ii) the Optionholder Standard Mixed Election Consideration or (iii) the Optionholder Cash Weighted Mixed Election Consideration, in each case, subject to the election adjustment mechanics set forth in the Merger Agreement and described above. Certain holders of Vested Talkspace Options will be entitled to receive a minimum amount of cash in consideration for his or her Vested Talkspace Options, as described in more detail in the Merger Agreement. Closing and Effective Time of the Transactions.</w:t>
      </w:r>
    </w:p>
    <w:p>
      <w:pPr>
        <w:spacing w:after="0" w:line="16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closing of the Transactions will take place promptly following the satisfaction or waiver of the conditions described below under the subsection entitled “</w:t>
      </w:r>
      <w:r>
        <w:rPr>
          <w:rFonts w:ascii="Arial" w:cs="Arial" w:eastAsia="Arial" w:hAnsi="Arial"/>
          <w:sz w:val="18"/>
          <w:szCs w:val="18"/>
          <w:i w:val="1"/>
          <w:iCs w:val="1"/>
          <w:color w:val="auto"/>
        </w:rPr>
        <w:t>Conditions to Closing of the Transactions</w:t>
      </w:r>
      <w:r>
        <w:rPr>
          <w:rFonts w:ascii="Arial" w:cs="Arial" w:eastAsia="Arial" w:hAnsi="Arial"/>
          <w:sz w:val="18"/>
          <w:szCs w:val="18"/>
          <w:color w:val="auto"/>
        </w:rPr>
        <w:t>,” unless HEC and Talkspace agree in writing to another time or unless the Merger Agreement is terminated. The Transactions are expected to be consummated promptly after the approval of HEC’s stockholders at special meeting of such stockholders described in this proxy statement/prospectus.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Merger Agreement contains representations and warranties of HEC Parties and Talkspace, certain of which are qualified by materiality and material adverse effect (as defined below) and may be further modified and limited by the disclosure letters. See “—</w:t>
      </w:r>
      <w:r>
        <w:rPr>
          <w:rFonts w:ascii="Arial" w:cs="Arial" w:eastAsia="Arial" w:hAnsi="Arial"/>
          <w:sz w:val="17"/>
          <w:szCs w:val="17"/>
          <w:i w:val="1"/>
          <w:iCs w:val="1"/>
          <w:color w:val="auto"/>
        </w:rPr>
        <w:t>Material Adverse Effect</w:t>
      </w:r>
      <w:r>
        <w:rPr>
          <w:rFonts w:ascii="Arial" w:cs="Arial" w:eastAsia="Arial" w:hAnsi="Arial"/>
          <w:sz w:val="17"/>
          <w:szCs w:val="17"/>
          <w:color w:val="auto"/>
        </w:rPr>
        <w:t>” below. The representations and warranties of HEC are also qualified by information included in HEC’s public filings, filed or submitted to the SEC on or prior to the date of the Merger Agreement (subject to certain exceptions contemplated by the Merger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 of Talkspace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Talkspace has made representations and warranties relating to, among other things, corporate organization, subsidiaries, due authorization, no conflict, governmental authorities and consents, current capitalization of Talkspace and its subsidiaries, financial statements, undisclosed liabilities, litigation and proceedings, compliance with laws, contracts and no defaults, Talkspace benefit plans, labor matters, taxes, insurance, permits, personal property and assets, real property, intellectual property and IT security, environmental matters, absence of changes, brokers’ fees, business relationships, related party transactions, information supplied and regulatory compliance.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 of HEC Parties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HEC Parties have made representations and warranties relating to, among other things, corporate organization, due authorization, no conflict, litigation and proceedings, governmental authorities and consents, financial ability and trust account, brokers’ fees, SEC reports, financial statements and Sarbanes-Oxley Act, undisclosed liabilities, business activities, tax matters, capitalization, Nasdaq listing, PIPE Investment and HEC Forward Purchase, related party transactions, Investment Company Act, interest in competitors, HEC stockholders and this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Adverse Effect</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Under the Merger Agreement, (i) certain representations and warranties of Talkspace are qualified in whole or in part by a material adverse effect standard for purposes of determining whether a breach of such representations and warranties has occurred, and (ii) certain representations and warranties of HEC are qualified in whole or in part by a material adverse effect on the ability of HEC to enter into and perform its obligations under the Merger Agreement standard for purposes of determining whether a breach of such representations and warranties has occurred.</w:t>
      </w:r>
    </w:p>
    <w:p>
      <w:pPr>
        <w:spacing w:after="0" w:line="17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With respect to Talkspace and its subsidiaries, a material adverse effect under the Merger Agreement means any effect, occurrence, development, fact, condition or change (each an “</w:t>
      </w:r>
      <w:r>
        <w:rPr>
          <w:rFonts w:ascii="Arial" w:cs="Arial" w:eastAsia="Arial" w:hAnsi="Arial"/>
          <w:sz w:val="17"/>
          <w:szCs w:val="17"/>
          <w:i w:val="1"/>
          <w:iCs w:val="1"/>
          <w:color w:val="auto"/>
        </w:rPr>
        <w:t>Effect</w:t>
      </w:r>
      <w:r>
        <w:rPr>
          <w:rFonts w:ascii="Arial" w:cs="Arial" w:eastAsia="Arial" w:hAnsi="Arial"/>
          <w:sz w:val="17"/>
          <w:szCs w:val="17"/>
          <w:color w:val="auto"/>
        </w:rPr>
        <w:t>”) that (a) has had, or would reasonably be expected to have, individually or in the aggregate, a material adverse effect on the business, results of operations or financial condition of Talkspace and its subsidiaries, taken as a whole or (b) prevents Talkspace from consummating the business combination. However, in no event would any of the following, alone or in combination, be deemed to constitute, or be taken into account in determining whether there has been or will be, a “Material Adverse Effect”:</w:t>
      </w:r>
    </w:p>
    <w:p>
      <w:pPr>
        <w:spacing w:after="0" w:line="82"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change in applicable laws or GAAP or any interpretation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change in interest rates or economic, political, business, financial, commodity, currency or market conditions generally;</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announcement or the execution of the Merger Agreement, the pendency or consummation of the business combination or the performance of the Merger Agreement, including the impact thereof on relationships, contractual or otherwise, with customers, suppliers, landlords, licensors, distributors, partners, providers and employees;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Effect generally affecting any of the industries or markets in which Talkspace or its subsidiaries operate or the economy as a whole;</w:t>
      </w:r>
    </w:p>
    <w:p>
      <w:pPr>
        <w:spacing w:after="0" w:line="153"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compliance with the terms of the Merger Agreement or the taking of any action required or contemplated by the Merger Agreement or with the prior written consent of HEC or at the request of the HEC Parties;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earthquake, hurricane, epidemic, pandemic, tsunami, tornado, flood, mudslide, wild fire or other natural disaster, act of God or other force majeure event;</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national or international political or social conditions in countries in which, or in the proximate geographic region of which, Talkspace operates, including the engagement by the United States or such other 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w:t>
      </w:r>
    </w:p>
    <w:p>
      <w:pPr>
        <w:spacing w:after="0" w:line="81" w:lineRule="exact"/>
        <w:rPr>
          <w:rFonts w:ascii="Arial" w:cs="Arial" w:eastAsia="Arial" w:hAnsi="Arial"/>
          <w:sz w:val="17"/>
          <w:szCs w:val="17"/>
          <w:color w:val="auto"/>
        </w:rPr>
      </w:pPr>
    </w:p>
    <w:p>
      <w:pPr>
        <w:ind w:left="1080" w:hanging="532"/>
        <w:spacing w:after="0" w:line="31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failure of Talkspace and its subsidiaries, taken as a whole, to meet any projections, forecasts or budgets; provided, that this clause shall not prevent a determination that any Effect not otherwise excluded from this definition of Material Adverse Effect underlying such failure to meet projections or forecasts that have resulted in, or would reasonably be expected to result in, a Material Adverse Effect;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COVID-19 or any COVID-19 Measures, or Talkspace’s or any of its subsidiaries’ compliance therewith;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cyberattack on or involving Talkspace or any of its 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matters set forth on Talkspace’s disclosure letter;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Effect to the extent actually known by certain individuals identified in HEC’s disclosure letter on or prior to the date of the Merger Agreement.</w:t>
      </w:r>
    </w:p>
    <w:p>
      <w:pPr>
        <w:spacing w:after="0" w:line="170"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Any Effect referred to in clauses (a), (b), (f) and (g) above may be taken into account in determining if a Material Adverse Effect has occurred but only to the extent that such changes have had a disproportionate and adverse effect on Talkspace and its subsidiaries, taken as a whole, as compared to other similarly situated competitors or comparable entities operating in the industries and markets in which Talkspace and its subsidiaries operate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and Agreements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Talkspace has made covenants relating to, among other things, conduct of business, inspection, the HSR Act and approvals, no claim against the trust account, FIRPTA, Talkspace Stockholder Approval, and the Pre-Closing Restructuring.</w:t>
      </w:r>
    </w:p>
    <w:p>
      <w:pPr>
        <w:spacing w:after="0" w:line="170"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HEC has made covenants relating to, among other things, the HSR Act and regulatory approvals, indemnification and insurance, HEC’s conduct of business, the PIPE Investment and the HEC Forward Purchase Agreement, inspection, HEC’s Nasdaq listing, HEC’s public filings, Section 16 matters, post-Closing directors, committees and officers, the 2021 Plan and ESPP, qualification as an emerging growth company, and stockholder litigation.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Pre-Closing Restructuring</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Pursuant to the Merger Agreement, prior to the First Effective Time, Talkspace will amend and restate its certificate of incorporation to include the First Merger as a Deemed Liquidation Event (as defined therein), increase the authorized share count to 114,362,838 shares of Talkspace common stock and take all actions necessary to effect such amendment and restatement prior to the Closing. Talkspace may take any and all actions necessary or appropriate to authorize and effect the establishment of professional entities in necessary states, among certain other actions, none of which shall be a condition to HEC’s obligations under the Merger Agreement (the “</w:t>
      </w:r>
      <w:r>
        <w:rPr>
          <w:rFonts w:ascii="Arial" w:cs="Arial" w:eastAsia="Arial" w:hAnsi="Arial"/>
          <w:sz w:val="17"/>
          <w:szCs w:val="17"/>
          <w:i w:val="1"/>
          <w:iCs w:val="1"/>
          <w:color w:val="auto"/>
        </w:rPr>
        <w:t>Pre-Closing Restructuring</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Business by Talkspace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Talkspace has agreed that from the date of the Merger Agreement until the earlier of the Closing or the termination of the Merger Agreement (the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it will, and will cause its subsidiaries to, except as required by the Merger Agreement, as required by applicable law, in connection with the Pre-Closing Restructuring or as consented to in writing by HEC (which consent will not be unreasonably conditioned, withheld, delayed or denied), use its reasonable efforts to operate its business in the ordinary course of business consistent with past practice (including recent past practice in light of COVID-19 Measures; provided that, any action taken, or omitted to be taken, that relates to, or arises out of, COVID-19 Measures will be deemed to be in the ordinary course of business).</w:t>
      </w:r>
    </w:p>
    <w:p>
      <w:pPr>
        <w:spacing w:after="0" w:line="19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During the Interim Period, Talkspace has also agreed not to, and to cause its subsidiaries not to, except as required by the Merger Agreement, in connection with the Pre-Closing Restructuring or as consented to in writing by HEC (which consent will not be unreasonably conditioned, withheld, delayed or denied):</w:t>
      </w:r>
    </w:p>
    <w:p>
      <w:pPr>
        <w:spacing w:after="0" w:line="211" w:lineRule="exact"/>
        <w:rPr>
          <w:sz w:val="20"/>
          <w:szCs w:val="20"/>
          <w:color w:val="auto"/>
        </w:rPr>
      </w:pPr>
    </w:p>
    <w:p>
      <w:pPr>
        <w:ind w:left="5480" w:right="4640" w:hanging="5256"/>
        <w:spacing w:after="0" w:line="535" w:lineRule="auto"/>
        <w:tabs>
          <w:tab w:leader="none" w:pos="53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change or amend the governing documents of Talkspace or any of its subsidiaries; 121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316"/>
        <w:spacing w:after="0" w:line="277"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declare, set aside, establish a record date for or pay any dividend or distribution, other than any dividends or distributions from any wholly owned subsidiary of Talkspace to Talkspace or any other wholly owned subsidiaries of Talkspace;</w:t>
      </w:r>
    </w:p>
    <w:p>
      <w:pPr>
        <w:spacing w:after="0" w:line="197"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issue, deliver, sell, transfer, pledge, dispose of or place any lien (other than a permitted lien) on any shares of capital stock or any other equity or voting securities of Talkspace or any of its subsidiaries;</w:t>
      </w:r>
    </w:p>
    <w:p>
      <w:pPr>
        <w:spacing w:after="0" w:line="197" w:lineRule="exact"/>
        <w:rPr>
          <w:rFonts w:ascii="Arial" w:cs="Arial" w:eastAsia="Arial" w:hAnsi="Arial"/>
          <w:sz w:val="18"/>
          <w:szCs w:val="18"/>
          <w:color w:val="auto"/>
        </w:rPr>
      </w:pPr>
    </w:p>
    <w:p>
      <w:pPr>
        <w:ind w:left="540" w:hanging="316"/>
        <w:spacing w:after="0" w:line="301"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issue, grant or agree to provide any options, warrants or other rights to purchase or obtain any shares of capital stock or any other equity or equity-based or voting securities of Talkspace, except, in each case, for the issuance of shares of capital stock of Talkspace in connection with Talkspace Options that are outstanding as of the date of the Merger Agreement and that are either vested as of the date of the Merger Agreement or are required to vest following the date of the Merger Agreement pursuant to the their terms or the terms of the Merger Agreement;</w:t>
      </w:r>
    </w:p>
    <w:p>
      <w:pPr>
        <w:spacing w:after="0" w:line="184" w:lineRule="exact"/>
        <w:rPr>
          <w:rFonts w:ascii="Arial" w:cs="Arial" w:eastAsia="Arial" w:hAnsi="Arial"/>
          <w:sz w:val="16"/>
          <w:szCs w:val="16"/>
          <w:color w:val="auto"/>
        </w:rPr>
      </w:pPr>
    </w:p>
    <w:p>
      <w:pPr>
        <w:ind w:left="540" w:right="60" w:hanging="316"/>
        <w:spacing w:after="0" w:line="255"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sell, assign, transfer, convey, lease, license, abandon, allow to lapse of expire, subject to or grant any lien (other than permitted liens) on or otherwise dispose of any material assets, or properties of Talkspace and its subsidiaries, taken as a whole, other than (i) the sale of goods and services to customers, or the sale or other disposition of assets or equipment deemed by Talkspace in its good faith reasonable business judgment to be obsolete or no longer be material to the business of Talkspace and its subsidiaries taken as a whole, in each such case, in the ordinary course of business and (ii) transactions between Talkspace and any wholly owned subsidiary of Talkspace or between wholly owned subsidiaries of Talkspace;</w:t>
      </w:r>
    </w:p>
    <w:p>
      <w:pPr>
        <w:spacing w:after="0" w:line="97" w:lineRule="exact"/>
        <w:rPr>
          <w:rFonts w:ascii="Arial" w:cs="Arial" w:eastAsia="Arial" w:hAnsi="Arial"/>
          <w:sz w:val="18"/>
          <w:szCs w:val="18"/>
          <w:color w:val="auto"/>
        </w:rPr>
      </w:pPr>
    </w:p>
    <w:p>
      <w:pPr>
        <w:ind w:left="540" w:hanging="316"/>
        <w:spacing w:after="0"/>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 cancel or compromise any claim or indebtedness owed to Talkspace or any of its subsidiaries, or (ii) settle any pending or threatened Action</w:t>
      </w:r>
    </w:p>
    <w:p>
      <w:pPr>
        <w:spacing w:after="0" w:line="46" w:lineRule="exact"/>
        <w:rPr>
          <w:rFonts w:ascii="Arial" w:cs="Arial" w:eastAsia="Arial" w:hAnsi="Arial"/>
          <w:sz w:val="16"/>
          <w:szCs w:val="16"/>
          <w:color w:val="auto"/>
        </w:rPr>
      </w:pPr>
    </w:p>
    <w:p>
      <w:pPr>
        <w:ind w:left="540" w:right="160" w:firstLine="8"/>
        <w:spacing w:after="0" w:line="302" w:lineRule="auto"/>
        <w:tabs>
          <w:tab w:leader="none" w:pos="78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such settlement would require payment by Talkspace and/or its subsidiaries in an amount greater than $1,000,000, (b) to the extent such settlement includes an agreement by Talkspace and/or its subsidiaries to accept or concede injunctive relief or (c) to the extent such settlement is adverse to Talkspace and/or its subsidiaries and involves an Action brought by a governmental authority or alleged criminal wrongdoing;</w:t>
      </w:r>
    </w:p>
    <w:p>
      <w:pPr>
        <w:spacing w:after="0" w:line="60" w:lineRule="exact"/>
        <w:rPr>
          <w:rFonts w:ascii="Arial" w:cs="Arial" w:eastAsia="Arial" w:hAnsi="Arial"/>
          <w:sz w:val="16"/>
          <w:szCs w:val="16"/>
          <w:color w:val="auto"/>
        </w:rPr>
      </w:pPr>
    </w:p>
    <w:p>
      <w:pPr>
        <w:ind w:left="540" w:hanging="316"/>
        <w:spacing w:after="0" w:line="286"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except as required by applicable law or the terms of any existing Talkspace benefit plans as in effect on the date of the Merger Agreement and set forth on Talkspace’s disclosure letter, (i) materially increase the compensation or benefits of any employee of Talkspace or any of its subsidiaries except for increases in salary or hourly wage rates made in the ordinary course of business to such employees with annual base salary less than $200,000 or for ordinary course annual salary increases for 2021 for all employees that do not exceed, in the aggregate, 4% of the aggregate salary paid by Talkspace and its subsidiaries in calendar year 2020, (ii) make any grant or promise of of any severance, retention, incentive or termination payment to any person, except severance or termination payments in connection with the termination of any employee in the ordinary course of business and consistent with past practice, (iii) make any change in the key management structure of Talkspace or any of its subsidiaries, including the hiring of additional officers or the termination (other than for “cause”) of existing officers, (iv) hire any employee of Talkspace or its subsidiaries or any other individual who is providing or will provide services to Talkspace or its subsidiaries other than any employee with an annual base salary of less than $200,000 in the ordinary course of business that would not otherwise violate subsection (iii) or (v) except in the ordinary course of business and as would not otherwise violate subsections (i)-(iv), establish, adopt, enter into, amend in any material respect or terminate any Talkspace benefit plan or any plan, agreement, program, policy, trust, fund or other arrangement that would be a Talkspace benefit plan if it were in existence as of the date of the Merger Agreement;</w:t>
      </w:r>
    </w:p>
    <w:p>
      <w:pPr>
        <w:spacing w:after="0" w:line="79" w:lineRule="exact"/>
        <w:rPr>
          <w:rFonts w:ascii="Arial" w:cs="Arial" w:eastAsia="Arial" w:hAnsi="Arial"/>
          <w:sz w:val="16"/>
          <w:szCs w:val="16"/>
          <w:color w:val="auto"/>
        </w:rPr>
      </w:pPr>
    </w:p>
    <w:p>
      <w:pPr>
        <w:ind w:left="540" w:right="480" w:hanging="316"/>
        <w:spacing w:after="0" w:line="263"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substantially all or a material portion of the assets of, or by purchasing all of or a substantial equity interest in, any business or any corporation, partnership, limited liability company, joint venture, association or other entity or person or division thereof;</w:t>
      </w:r>
    </w:p>
    <w:p>
      <w:pPr>
        <w:spacing w:after="0" w:line="89"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any loans or advance any money or other property to any person, except for (i) advances in the ordinary course of business to employees or officers of Talkspace, or any of its subsidiaries for expenses not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 exceed $50,000 individually or $500,000 in the aggregate, (ii) prepayments and deposits paid to suppliers of Talkspace and its subsidiaries or</w:t>
      </w:r>
    </w:p>
    <w:p>
      <w:pPr>
        <w:spacing w:after="0" w:line="46" w:lineRule="exact"/>
        <w:rPr>
          <w:sz w:val="20"/>
          <w:szCs w:val="20"/>
          <w:color w:val="auto"/>
        </w:rPr>
      </w:pPr>
    </w:p>
    <w:p>
      <w:pPr>
        <w:ind w:left="860" w:hanging="312"/>
        <w:spacing w:after="0"/>
        <w:tabs>
          <w:tab w:leader="none" w:pos="8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trade credit extended to customers of Talkspace or any of its subsidiaries in the ordinary course of business;</w:t>
      </w:r>
    </w:p>
    <w:p>
      <w:pPr>
        <w:spacing w:after="0" w:line="116" w:lineRule="exact"/>
        <w:rPr>
          <w:rFonts w:ascii="Arial" w:cs="Arial" w:eastAsia="Arial" w:hAnsi="Arial"/>
          <w:sz w:val="18"/>
          <w:szCs w:val="18"/>
          <w:color w:val="auto"/>
        </w:rPr>
      </w:pPr>
    </w:p>
    <w:p>
      <w:pPr>
        <w:ind w:left="540" w:right="500" w:hanging="316"/>
        <w:spacing w:after="0" w:line="287"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redeem, purchase or otherwise acquire, any shares of capital stock (or other equity interests) of Talkspace or any of its subsidiaries or any securities or obligations convertible (whether currently convertible or convertible only after the passage of time or the occurrence of certain events) into or exchangeable for any shares of capital stock (or other equity interests) of Talkspace or any of its subsidiaries, except for</w:t>
      </w:r>
    </w:p>
    <w:p>
      <w:pPr>
        <w:spacing w:after="0" w:line="2" w:lineRule="exact"/>
        <w:rPr>
          <w:rFonts w:ascii="Arial" w:cs="Arial" w:eastAsia="Arial" w:hAnsi="Arial"/>
          <w:sz w:val="16"/>
          <w:szCs w:val="16"/>
          <w:color w:val="auto"/>
        </w:rPr>
      </w:pPr>
    </w:p>
    <w:p>
      <w:pPr>
        <w:ind w:left="540" w:right="140" w:firstLine="8"/>
        <w:spacing w:after="0" w:line="292" w:lineRule="auto"/>
        <w:tabs>
          <w:tab w:leader="none" w:pos="75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acquisitions of shares of capital stock of Talkspace in connection with the exercise of Talkspace Options solely as the result of net settlement for taxes and/or exercise price to the extent the Company is so required by the terms of the Talkspace Option, (ii) the acquisition by Talkspace or any of its subsidiaries of any shares of capital stock, membership interests or other equity interests (other than the Talkspace Options pursuant to subsection (i)) of Talkspace or its subsidiaries in connection with the forfeiture or cancellation of such interests, and (iii) transactions between Talkspace and any wholly owned subsidiary of Talkspace or between wholly owned subsidiaries of Talkspace;</w:t>
      </w:r>
    </w:p>
    <w:p>
      <w:pPr>
        <w:spacing w:after="0" w:line="67" w:lineRule="exact"/>
        <w:rPr>
          <w:rFonts w:ascii="Arial" w:cs="Arial" w:eastAsia="Arial" w:hAnsi="Arial"/>
          <w:sz w:val="16"/>
          <w:szCs w:val="16"/>
          <w:color w:val="auto"/>
        </w:rPr>
      </w:pPr>
    </w:p>
    <w:p>
      <w:pPr>
        <w:ind w:left="540" w:right="300" w:hanging="316"/>
        <w:spacing w:after="0" w:line="277"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adjust, split, combine, subdivide, recapitalize, reclassify or otherwise effect any change in respect of any shares of capital stock or other equity interests or securities of Talkspace;</w:t>
      </w:r>
    </w:p>
    <w:p>
      <w:pPr>
        <w:spacing w:after="0" w:line="75" w:lineRule="exact"/>
        <w:rPr>
          <w:rFonts w:ascii="Arial" w:cs="Arial" w:eastAsia="Arial" w:hAnsi="Arial"/>
          <w:sz w:val="18"/>
          <w:szCs w:val="18"/>
          <w:color w:val="auto"/>
        </w:rPr>
      </w:pPr>
    </w:p>
    <w:p>
      <w:pPr>
        <w:ind w:left="540" w:right="100" w:hanging="316"/>
        <w:spacing w:after="0" w:line="342"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make any change in its customary accounting principles or methods of accounting materially affecting the reported consolidated assets, liabilities or results of operations of Talkspace and its subsidiaries, other than as may be required by applicable law, GAAP or regulatory guidelines;</w:t>
      </w:r>
    </w:p>
    <w:p>
      <w:pPr>
        <w:spacing w:after="0" w:line="29" w:lineRule="exact"/>
        <w:rPr>
          <w:rFonts w:ascii="Arial" w:cs="Arial" w:eastAsia="Arial" w:hAnsi="Arial"/>
          <w:sz w:val="16"/>
          <w:szCs w:val="16"/>
          <w:color w:val="auto"/>
        </w:rPr>
      </w:pPr>
    </w:p>
    <w:p>
      <w:pPr>
        <w:ind w:left="540" w:right="980" w:hanging="316"/>
        <w:spacing w:after="0" w:line="277"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merger, consolidation, restructuring, recapitalization or other reorganization of Talkspace or its subsidiaries;</w:t>
      </w:r>
    </w:p>
    <w:p>
      <w:pPr>
        <w:spacing w:after="0" w:line="75" w:lineRule="exact"/>
        <w:rPr>
          <w:rFonts w:ascii="Arial" w:cs="Arial" w:eastAsia="Arial" w:hAnsi="Arial"/>
          <w:sz w:val="18"/>
          <w:szCs w:val="18"/>
          <w:color w:val="auto"/>
        </w:rPr>
      </w:pPr>
    </w:p>
    <w:p>
      <w:pPr>
        <w:ind w:left="540" w:right="40" w:hanging="316"/>
        <w:spacing w:after="0" w:line="271"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HEC, Talkspace or any of its subsidiaries;</w:t>
      </w:r>
    </w:p>
    <w:p>
      <w:pPr>
        <w:spacing w:after="0" w:line="83" w:lineRule="exact"/>
        <w:rPr>
          <w:rFonts w:ascii="Arial" w:cs="Arial" w:eastAsia="Arial" w:hAnsi="Arial"/>
          <w:sz w:val="17"/>
          <w:szCs w:val="17"/>
          <w:color w:val="auto"/>
        </w:rPr>
      </w:pPr>
    </w:p>
    <w:p>
      <w:pPr>
        <w:ind w:left="540" w:right="100" w:hanging="316"/>
        <w:spacing w:after="0" w:line="342"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issue any debt securities, incur indebtedness for borrowed money in excess of $1,000,000 other than in the ordinary course of business consistent with past practice, or assume, guarantee or endorse, or otherwise become responsible for, the obligations of any person for indebtedness;</w:t>
      </w:r>
    </w:p>
    <w:p>
      <w:pPr>
        <w:spacing w:after="0" w:line="29" w:lineRule="exact"/>
        <w:rPr>
          <w:rFonts w:ascii="Arial" w:cs="Arial" w:eastAsia="Arial" w:hAnsi="Arial"/>
          <w:sz w:val="16"/>
          <w:szCs w:val="16"/>
          <w:color w:val="auto"/>
        </w:rPr>
      </w:pPr>
    </w:p>
    <w:p>
      <w:pPr>
        <w:ind w:left="540" w:right="40" w:hanging="316"/>
        <w:spacing w:after="0" w:line="277"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terminate without replacement or amend in a manner materially detrimental to Talkspace and its subsidiaries, taken as a whole, material insurance policies covering Talkspace and its subsidiaries and their respective properties, assets and businesses;</w:t>
      </w:r>
    </w:p>
    <w:p>
      <w:pPr>
        <w:spacing w:after="0" w:line="75" w:lineRule="exact"/>
        <w:rPr>
          <w:rFonts w:ascii="Arial" w:cs="Arial" w:eastAsia="Arial" w:hAnsi="Arial"/>
          <w:sz w:val="18"/>
          <w:szCs w:val="18"/>
          <w:color w:val="auto"/>
        </w:rPr>
      </w:pPr>
    </w:p>
    <w:p>
      <w:pPr>
        <w:ind w:left="540" w:right="200" w:hanging="316"/>
        <w:spacing w:after="0" w:line="259"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any agreement that materially restricts the ability of Talkspace or its subsidiaries to engage or compete in any line of business or enter into any new line of business, except where such restriction does not, and would not be reasonably likely to, individually or in the aggregate, materially and adversely affect, or materially disrupt, the ordinary course operation of the business of Talkspace and its subsidiaries, taken as a whole;</w:t>
      </w:r>
    </w:p>
    <w:p>
      <w:pPr>
        <w:spacing w:after="0" w:line="92"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assume, assign, partially or completely amend any material term of or terminate (excluding any expiration in accordance with its terms) any collective bargaining or similar agreement, other than as required by applicable law;</w:t>
      </w:r>
    </w:p>
    <w:p>
      <w:pPr>
        <w:spacing w:after="0" w:line="75"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modify in any material respect, waiver any material rights under or terminate certain material contract that constitutes (or would constitute if entered into prior to the date of the Merger Agreement)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“Material Contract” other than in the ordinary course of business consistent with past practice or as required by law;</w:t>
      </w:r>
    </w:p>
    <w:p>
      <w:pPr>
        <w:spacing w:after="0" w:line="131" w:lineRule="exact"/>
        <w:rPr>
          <w:sz w:val="20"/>
          <w:szCs w:val="20"/>
          <w:color w:val="auto"/>
        </w:rPr>
      </w:pPr>
    </w:p>
    <w:p>
      <w:pPr>
        <w:ind w:left="540" w:hanging="31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acquire any ownership interest in any real property;</w:t>
      </w:r>
    </w:p>
    <w:p>
      <w:pPr>
        <w:spacing w:after="0" w:line="130" w:lineRule="exact"/>
        <w:rPr>
          <w:rFonts w:ascii="Arial" w:cs="Arial" w:eastAsia="Arial" w:hAnsi="Arial"/>
          <w:sz w:val="18"/>
          <w:szCs w:val="18"/>
          <w:color w:val="auto"/>
        </w:rPr>
      </w:pPr>
    </w:p>
    <w:p>
      <w:pPr>
        <w:ind w:left="540" w:right="140" w:hanging="316"/>
        <w:spacing w:after="0" w:line="259"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fail to maintain, dedicate to the public, allow to lapse, or abandon, including by failure to pay the required fees in any jurisdiction, any material owned intellectual property, excluding any failures, dedications, or allowances made by Talkspace or its subsidiaries in the ordinary course of business, or for any owned intellectual property that is not used or useful in the business of Talkspace and its subsidiaries or is not in Talkspace’s reasonable business judgment, commercially practical to maintain;</w:t>
      </w:r>
    </w:p>
    <w:p>
      <w:pPr>
        <w:spacing w:after="0" w:line="92" w:lineRule="exact"/>
        <w:rPr>
          <w:rFonts w:ascii="Arial" w:cs="Arial" w:eastAsia="Arial" w:hAnsi="Arial"/>
          <w:sz w:val="18"/>
          <w:szCs w:val="18"/>
          <w:color w:val="auto"/>
        </w:rPr>
      </w:pPr>
    </w:p>
    <w:p>
      <w:pPr>
        <w:ind w:left="540" w:right="140" w:hanging="316"/>
        <w:spacing w:after="0" w:line="311"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make any change in any material respect to the policies or practices of Talkspace and its subsidiaries regarding the payment of accounts payable, the collection of accounts receivable, including accelerating the receipt of amounts due with respect to any accounts receivables, or lengthening the period for payment of accounts payable, except for changes in the ordinary course of business consistent with past practice; or</w:t>
      </w:r>
    </w:p>
    <w:p>
      <w:pPr>
        <w:spacing w:after="0" w:line="54" w:lineRule="exact"/>
        <w:rPr>
          <w:rFonts w:ascii="Arial" w:cs="Arial" w:eastAsia="Arial" w:hAnsi="Arial"/>
          <w:sz w:val="16"/>
          <w:szCs w:val="16"/>
          <w:color w:val="auto"/>
        </w:rPr>
      </w:pPr>
    </w:p>
    <w:p>
      <w:pPr>
        <w:ind w:left="540" w:hanging="31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enter into any agreement, or otherwise become obligated, to do any of the foregoing.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Conduct of HEC During the Interim Period</w:t>
      </w:r>
    </w:p>
    <w:p>
      <w:pPr>
        <w:spacing w:after="0" w:line="117" w:lineRule="exact"/>
        <w:rPr>
          <w:sz w:val="20"/>
          <w:szCs w:val="20"/>
          <w:color w:val="auto"/>
        </w:rPr>
      </w:pPr>
    </w:p>
    <w:p>
      <w:pPr>
        <w:ind w:left="120" w:right="660"/>
        <w:spacing w:after="0" w:line="263" w:lineRule="auto"/>
        <w:rPr>
          <w:sz w:val="20"/>
          <w:szCs w:val="20"/>
          <w:color w:val="auto"/>
        </w:rPr>
      </w:pPr>
      <w:r>
        <w:rPr>
          <w:rFonts w:ascii="Arial" w:cs="Arial" w:eastAsia="Arial" w:hAnsi="Arial"/>
          <w:sz w:val="18"/>
          <w:szCs w:val="18"/>
          <w:color w:val="auto"/>
        </w:rPr>
        <w:t>During the Interim Period, HEC has agreed to, and to cause its subsidiaries to comply with, and continue performing under, as applicable, the organizational documents of HEC, the Trust Agreement, the Transaction Agreements and all other agreements or contracts to which HEC or its subsidiaries may be a party.</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During the Interim Period, HEC has also agreed not to, and to cause each of its subsidiaries not, except as required by the Merger Agreement, as required by applicable law or as consented to by Talkspace in writing (which consent will not be unreasonably conditioned, withheld, delayed or denied, except in certain cases as described in the Merger Agreement as to which Talkspace’s consent may be granted or withheld in its sole discretion):</w:t>
      </w:r>
    </w:p>
    <w:p>
      <w:pPr>
        <w:spacing w:after="0" w:line="54" w:lineRule="exact"/>
        <w:rPr>
          <w:sz w:val="20"/>
          <w:szCs w:val="20"/>
          <w:color w:val="auto"/>
        </w:rPr>
      </w:pPr>
    </w:p>
    <w:p>
      <w:pPr>
        <w:ind w:left="540" w:hanging="316"/>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change, modify, supplement, restate or amend the Trust Agreement or the organizational documents of the HEC Parties;</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 in respect of any outstanding capital stock of, or other equity interests in, HEC;</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split, combine or reclassify any capital stock of, or other equity interests in, HEC; or</w:t>
      </w:r>
    </w:p>
    <w:p>
      <w:pPr>
        <w:spacing w:after="0" w:line="130"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than in connection with redemptions of HEC’s Class A common stock or as otherwise required by HEC’s organizational documents in order to consummate the Transactions, repurchase, redeem or otherwise acquire, or offer to repurchase, redeem or otherwise acquire, any capital stock of, or other equity interests in, HEC;</w:t>
      </w:r>
    </w:p>
    <w:p>
      <w:pPr>
        <w:spacing w:after="0" w:line="89" w:lineRule="exact"/>
        <w:rPr>
          <w:rFonts w:ascii="Arial" w:cs="Arial" w:eastAsia="Arial" w:hAnsi="Arial"/>
          <w:sz w:val="18"/>
          <w:szCs w:val="18"/>
          <w:color w:val="auto"/>
        </w:rPr>
      </w:pPr>
    </w:p>
    <w:p>
      <w:pPr>
        <w:ind w:left="540" w:right="60" w:hanging="316"/>
        <w:spacing w:after="0" w:line="271" w:lineRule="auto"/>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a material amount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HEC, Talkspace or any of its subsidiaries;</w:t>
      </w:r>
    </w:p>
    <w:p>
      <w:pPr>
        <w:spacing w:after="0" w:line="83" w:lineRule="exact"/>
        <w:rPr>
          <w:rFonts w:ascii="Arial" w:cs="Arial" w:eastAsia="Arial" w:hAnsi="Arial"/>
          <w:sz w:val="17"/>
          <w:szCs w:val="17"/>
          <w:color w:val="auto"/>
        </w:rPr>
      </w:pPr>
    </w:p>
    <w:p>
      <w:pPr>
        <w:ind w:left="540" w:right="300" w:hanging="316"/>
        <w:spacing w:after="0" w:line="277"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enter into, renew, modify, supplement or amend any transaction or contract with an affiliate of HEC (including, for the avoidance of doubt, the Sponsor, and, where applicable, (i) anyone related by blood,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spacing w:after="0" w:line="277" w:lineRule="auto"/>
        <w:rPr>
          <w:sz w:val="20"/>
          <w:szCs w:val="20"/>
          <w:color w:val="auto"/>
        </w:rPr>
      </w:pPr>
      <w:r>
        <w:rPr>
          <w:rFonts w:ascii="Arial" w:cs="Arial" w:eastAsia="Arial" w:hAnsi="Arial"/>
          <w:sz w:val="18"/>
          <w:szCs w:val="18"/>
          <w:color w:val="auto"/>
        </w:rPr>
        <w:t>marriage or adoption to the Sponsor or (ii) any person in which the Sponsor has a direct or indirect legal, contractual or beneficial ownership interest of 5% or greater);</w:t>
      </w:r>
    </w:p>
    <w:p>
      <w:pPr>
        <w:spacing w:after="0" w:line="76" w:lineRule="exact"/>
        <w:rPr>
          <w:sz w:val="20"/>
          <w:szCs w:val="20"/>
          <w:color w:val="auto"/>
        </w:rPr>
      </w:pPr>
    </w:p>
    <w:p>
      <w:pPr>
        <w:ind w:left="540" w:hanging="316"/>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waive, release, compromise, settle or satisfy any pending or threatened Action or compromise or settle any liability;</w:t>
      </w:r>
    </w:p>
    <w:p>
      <w:pPr>
        <w:spacing w:after="0" w:line="130" w:lineRule="exact"/>
        <w:rPr>
          <w:rFonts w:ascii="Arial" w:cs="Arial" w:eastAsia="Arial" w:hAnsi="Arial"/>
          <w:sz w:val="18"/>
          <w:szCs w:val="18"/>
          <w:color w:val="auto"/>
        </w:rPr>
      </w:pPr>
    </w:p>
    <w:p>
      <w:pPr>
        <w:ind w:left="540" w:hanging="316"/>
        <w:spacing w:after="0" w:line="270" w:lineRule="auto"/>
        <w:tabs>
          <w:tab w:leader="none" w:pos="5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incur, guarantee or otherwise become liable for (whether directly, contingently or otherwise) any indebtedness; offer, issue, deliver, grant or sell, or authorize or propose to offer, issue, deliver, grant or sell, any capital stock of, other equity interests, equity equivalents, stock appreciation rights, phantom stock ownership interests or similar rights in, HEC or any of its subsidiaries or any securities convertible into, or any rights, warrants or options to acquire, any such capital stock or equity interests, other than the (a) issuance of HEC’s Class A common stock in connection with the exercise of any HEC warrants outstanding on the date of the Merger Agreement or (b) issuance of HEC’s Class A common stock at not less than $10 per share and the issuance of up to 2,500,000 HEC warrants at an exercise price of not less than $11.50 per share, in each case, on the terms set forth in the Subscription Agreements and the HEC Forward Purchase Agreement, as applicable; amend, modify or waive any of the terms or rights set forth in, any warrant or the Warrant Agreement, including any amendment, modification or reduction of the warrant price set forth therein; or</w:t>
      </w:r>
    </w:p>
    <w:p>
      <w:pPr>
        <w:spacing w:after="0" w:line="86" w:lineRule="exact"/>
        <w:rPr>
          <w:rFonts w:ascii="Arial" w:cs="Arial" w:eastAsia="Arial" w:hAnsi="Arial"/>
          <w:sz w:val="17"/>
          <w:szCs w:val="17"/>
          <w:color w:val="auto"/>
        </w:rPr>
      </w:pPr>
    </w:p>
    <w:p>
      <w:pPr>
        <w:ind w:left="540" w:hanging="316"/>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enter into any agreement, or otherwise become obligated, to do any of the foregoing.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HEC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Merger Agreement, HEC has agreed, among other things, to:</w:t>
      </w:r>
    </w:p>
    <w:p>
      <w:pPr>
        <w:spacing w:after="0" w:line="131" w:lineRule="exact"/>
        <w:rPr>
          <w:sz w:val="20"/>
          <w:szCs w:val="20"/>
          <w:color w:val="auto"/>
        </w:rPr>
      </w:pPr>
    </w:p>
    <w:p>
      <w:pPr>
        <w:ind w:left="540" w:hanging="316"/>
        <w:spacing w:after="0" w:line="254"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during the Interim Period, subject to confidentiality obligations that may be applicable to information furnished to HEC or its subsidiaries by third parties and except for any information that is subject to attorney-client privilege or other privilege from disclosure, (i) afford (and cause its subsidiaries to afford) Talkspace and its representatives reasonable access to its and its subsidiaries’ properties, assets, books, contracts, commitments, tax returns, records and appropriate officers and employees and (ii) use (and cause its subsidiaries to use) reasonable efforts to furnish such representatives with all financial and operating data and other information concerning its and its subsidiaries’ business and affairs that are in its or its subsidiaries’ possession, in each case as Talkspace and its representatives may reasonably request solely for purposes of consummating the Transactions;</w:t>
      </w:r>
    </w:p>
    <w:p>
      <w:pPr>
        <w:spacing w:after="0" w:line="100"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comply promptly, but in no event later than ten business days following the date of the Merger Agreement, with the notification and reporting requirements of the HSR Act;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substantially comply with any information or document requests with respect to antitrust matters;</w:t>
      </w:r>
    </w:p>
    <w:p>
      <w:pPr>
        <w:spacing w:after="0" w:line="130"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request early termination of any waiting period(s) under the HSR Act and undertake promptly any and all action required to (i) obtain termination or expiration of the waiting period under the HSR Act, (ii) prevent the entry in any Action brought by an antitrust authority or any other person of any governmental order which would prohibit, make unlawful or delay the consummation of the Transactions and (iii) if any such governmental order is issued in any such Action, cause such governmental order to be lifted;</w:t>
      </w:r>
    </w:p>
    <w:p>
      <w:pPr>
        <w:spacing w:after="0" w:line="92" w:lineRule="exact"/>
        <w:rPr>
          <w:rFonts w:ascii="Arial" w:cs="Arial" w:eastAsia="Arial" w:hAnsi="Arial"/>
          <w:sz w:val="18"/>
          <w:szCs w:val="18"/>
          <w:color w:val="auto"/>
        </w:rPr>
      </w:pPr>
    </w:p>
    <w:p>
      <w:pPr>
        <w:ind w:left="540" w:right="60" w:hanging="316"/>
        <w:spacing w:after="0" w:line="25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cooperate in good faith with the antitrust authorities and undertake promptly any and all action required to complete lawfully the Transactions as soon as practicable (but in any event prior to the Termination Date) and, with the prior written consent of Talkspace, all action necessary or advisable to avoid, prevent, eliminate or remove the actual or threatened commencement of any proceeding in any forum by or on behalf of any antitrust authority or the issuance of any governmental order that would delay, enjoin, prevent, restrain or otherwise prohibit the consummation of the Transactions;</w:t>
      </w:r>
    </w:p>
    <w:p>
      <w:pPr>
        <w:spacing w:after="0" w:line="93"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furnish to Talkspace copies of any material notices or written communications received by it or any of its affiliates from any third party or any governmental authority with respect to the Transactions, and permit counsel to Talkspace an opportunity to review in advance, and consider in good faith the views of such counsel in connection with any proposed written communications by it and/or its affiliates to any governmental authority concerning the Transactions;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79"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after the First Effective Time, indemnify and hold harmless each present and former director, manager and officer of Talkspace and HEC and each of their respective subsidiaries against any costs, expenses, judgments, fines, losses, damages or liabilities incurred in connection with any Action, to the fullest extent that it, Talkspace or their respective subsidiaries would have been permitted under applicable law and their applicable governing documents in effect on the date of the Merger Agreement to indemnify such person;</w:t>
      </w:r>
    </w:p>
    <w:p>
      <w:pPr>
        <w:spacing w:after="0" w:line="76" w:lineRule="exact"/>
        <w:rPr>
          <w:rFonts w:ascii="Arial" w:cs="Arial" w:eastAsia="Arial" w:hAnsi="Arial"/>
          <w:sz w:val="17"/>
          <w:szCs w:val="17"/>
          <w:color w:val="auto"/>
        </w:rPr>
      </w:pPr>
    </w:p>
    <w:p>
      <w:pPr>
        <w:ind w:left="540" w:right="120" w:hanging="316"/>
        <w:spacing w:after="0" w:line="286"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cause Talkspace, Inc. and its subsidiaries to maintain, for a period of not less than six years from the First Effective Time, provisions in its governing documents and those of its subsidiaries concerning the indemnification and exoneration of officers and directors/managers, that are no less favorable to those persons than the provisions of such governing documents as of the date of the Merger Agreement;</w:t>
      </w:r>
    </w:p>
    <w:p>
      <w:pPr>
        <w:spacing w:after="0" w:line="70" w:lineRule="exact"/>
        <w:rPr>
          <w:rFonts w:ascii="Arial" w:cs="Arial" w:eastAsia="Arial" w:hAnsi="Arial"/>
          <w:sz w:val="17"/>
          <w:szCs w:val="17"/>
          <w:color w:val="auto"/>
        </w:rPr>
      </w:pPr>
    </w:p>
    <w:p>
      <w:pPr>
        <w:ind w:left="540" w:right="40" w:hanging="316"/>
        <w:spacing w:after="0" w:line="25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maintain, and cause one or more of its subsidiaries to maintain, a directors’ and officers’ liability insurance policy covering those persons who are currently covered by Talkspace’s or any of its subsidiaries’ directors’ and officers’ liability insurance policies on terms not less favorable than the terms of such current insurance coverage, except that in no event will it be required to pay an annual premium for such insurance in excess of 300% of the last annual payment made by Talkspace or any of its affiliates for such directors’ and officers’ liability insurance policies currently in effect as of the date of the Merger Agreement;</w:t>
      </w:r>
    </w:p>
    <w:p>
      <w:pPr>
        <w:spacing w:after="0" w:line="93" w:lineRule="exact"/>
        <w:rPr>
          <w:rFonts w:ascii="Arial" w:cs="Arial" w:eastAsia="Arial" w:hAnsi="Arial"/>
          <w:sz w:val="18"/>
          <w:szCs w:val="18"/>
          <w:color w:val="auto"/>
        </w:rPr>
      </w:pPr>
    </w:p>
    <w:p>
      <w:pPr>
        <w:ind w:left="540" w:right="40" w:hanging="316"/>
        <w:spacing w:after="0" w:line="272"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take, or to cause to be taken, all actions and do , or cause to be done, all things required, necessary, proper or advisable to consummate the transactions contemplated by the Subscription Agreements and the HEC Forward Purchase Agreement on the terms and conditions described therein, including by enforcing its rights (i) under the Subscription Agreements to cause the PIPE Investors to pay to (or as directed by) it the applicable purchase price under each PIPE Investor’s applicable Subscription Agreement in accordance with its terms and (ii) under the HEC Forward Purchase Agreement to cause HEC Fund to pay to (or as directed by) it the applicable purchase price under the HEC Forward Purchase Agreement in accordance with the terms therein; without permitting any amendment or modification to any of the Subscription Agreements or the HEC Forward Purchase Agreement (unless approved in writing by Talkspace);</w:t>
      </w:r>
    </w:p>
    <w:p>
      <w:pPr>
        <w:spacing w:after="0" w:line="82" w:lineRule="exact"/>
        <w:rPr>
          <w:rFonts w:ascii="Arial" w:cs="Arial" w:eastAsia="Arial" w:hAnsi="Arial"/>
          <w:sz w:val="17"/>
          <w:szCs w:val="17"/>
          <w:color w:val="auto"/>
        </w:rPr>
      </w:pPr>
    </w:p>
    <w:p>
      <w:pPr>
        <w:ind w:left="540" w:right="20" w:hanging="316"/>
        <w:spacing w:after="0" w:line="34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during the Interim Period, use its reasonable efforts to ensure it remains listed as a public company on, and for shares of its Class A common stock and warrants (but, in the case of its warrants, only to the extent issued as of the date of the Merger Agreement) to be listed on, the Nasdaq;</w:t>
      </w:r>
    </w:p>
    <w:p>
      <w:pPr>
        <w:spacing w:after="0" w:line="29" w:lineRule="exact"/>
        <w:rPr>
          <w:rFonts w:ascii="Arial" w:cs="Arial" w:eastAsia="Arial" w:hAnsi="Arial"/>
          <w:sz w:val="16"/>
          <w:szCs w:val="16"/>
          <w:color w:val="auto"/>
        </w:rPr>
      </w:pPr>
    </w:p>
    <w:p>
      <w:pPr>
        <w:ind w:left="540" w:right="500" w:hanging="316"/>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during the Interim Period, keep current and timely file all reports required to be filed or furnished with the SEC and otherwise comply in all material respects with its reporting obligations under applicable securities laws;</w:t>
      </w:r>
    </w:p>
    <w:p>
      <w:pPr>
        <w:spacing w:after="0" w:line="75"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the First Effetive Time, take all reasonable steps as may be required (to the extent permitted under applicable law) to cause any acquisition or disposition of its Class A common stock or any derivative thereof that occurs or is deemed to occur by reason of or pursuant to the Transactions by each Person who is or will be or may be subject to the reporting requirements of Section 16(a) of the Exchange Act with respect to HEC to be exempt under Rule 16b-3 promulgated under the Exchange Act;</w:t>
      </w:r>
    </w:p>
    <w:p>
      <w:pPr>
        <w:spacing w:after="0" w:line="92"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take all actions necessary to ensure the individuals listed on Talkspace’s disclosure letter are elected and appointed as directors and officers, as applicable, of Talkspace, Inc. effective at the Closing;</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the Closing Date, obtain approval for and adopt the 2021 Plan and the ESPP;</w:t>
      </w:r>
    </w:p>
    <w:p>
      <w:pPr>
        <w:spacing w:after="0" w:line="130" w:lineRule="exact"/>
        <w:rPr>
          <w:rFonts w:ascii="Arial" w:cs="Arial" w:eastAsia="Arial" w:hAnsi="Arial"/>
          <w:sz w:val="18"/>
          <w:szCs w:val="18"/>
          <w:color w:val="auto"/>
        </w:rPr>
      </w:pPr>
    </w:p>
    <w:p>
      <w:pPr>
        <w:ind w:left="540" w:right="180" w:hanging="316"/>
        <w:spacing w:after="0" w:line="279"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within two business days following the expiration of the sixty-day period after it has filed current Form 10 information with the SEC, file an effective registration statement on Form S-8 (or other applicable form) with respect to its Talkspace, Inc. common stock issuable under the 2021 Plan and the ESPP and use reasonable efforts to maintain the effectiveness of such registration statement(s) (and the current status of the prospectus or prospectuses contained therein) for so long as awards granted thereunder remain outstanding;</w:t>
      </w:r>
    </w:p>
    <w:p>
      <w:pPr>
        <w:spacing w:after="0" w:line="76" w:lineRule="exact"/>
        <w:rPr>
          <w:rFonts w:ascii="Arial" w:cs="Arial" w:eastAsia="Arial" w:hAnsi="Arial"/>
          <w:sz w:val="17"/>
          <w:szCs w:val="17"/>
          <w:color w:val="auto"/>
        </w:rPr>
      </w:pPr>
    </w:p>
    <w:p>
      <w:pPr>
        <w:ind w:left="540" w:right="100" w:hanging="316"/>
        <w:spacing w:after="0" w:line="34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during the Interim Period, (i) take all actions necessary to continue to qualify as an “emerging growth company” within the meaning of the JOBS Act and (ii) not take any action that would cause it to not qualify as an “emerging growth company” within the meaning of the JOBS Act;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55"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prior to the Closing Date, promptly notify and keep Talkspace reasonably informed of the status of any litigation brought or, to its knowledge, threatened in writing against it or its board of directors by any of its stockholders in connection with the Merger Agreement, the other Transaction Agreements or any of the transactions contemplated therein, and provide Talkspace with the opportunity to participate in (subject to a customary joint defense agreement), but not control, the defense of any such litigation, give due consideration to Talkspace’s advice with respect to such litigation and not settle any such litigation without the prior written consent of Talkspace (such consent not to be unreasonably withheld, conditioned or delayed); and</w:t>
      </w:r>
    </w:p>
    <w:p>
      <w:pPr>
        <w:spacing w:after="0" w:line="97" w:lineRule="exact"/>
        <w:rPr>
          <w:rFonts w:ascii="Arial" w:cs="Arial" w:eastAsia="Arial" w:hAnsi="Arial"/>
          <w:sz w:val="18"/>
          <w:szCs w:val="18"/>
          <w:color w:val="auto"/>
        </w:rPr>
      </w:pPr>
    </w:p>
    <w:p>
      <w:pPr>
        <w:ind w:left="540" w:right="60" w:hanging="316"/>
        <w:spacing w:after="0" w:line="271"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 during the Interim Period, not take, and direct its affiliates and representatives not to take, whether directly or indirectly, any action to solicit, initiate, continue or engage in any discussions or negotiations with, or enter into any agreement with, or encourage, respond to, provide information to or commence due diligence with respect to, any person (other than Talkspace, its stockholders and/or any of their affiliates or representatives) concerning, relating to or which is intended or is reasonably likely to give rise to or result in, any offer, inquiry, proposal or indication of interest, written or oral relating to any business combination (a “</w:t>
      </w:r>
      <w:r>
        <w:rPr>
          <w:rFonts w:ascii="Arial" w:cs="Arial" w:eastAsia="Arial" w:hAnsi="Arial"/>
          <w:sz w:val="17"/>
          <w:szCs w:val="17"/>
          <w:i w:val="1"/>
          <w:iCs w:val="1"/>
          <w:color w:val="auto"/>
        </w:rPr>
        <w:t>Business Combination Proposal</w:t>
      </w:r>
      <w:r>
        <w:rPr>
          <w:rFonts w:ascii="Arial" w:cs="Arial" w:eastAsia="Arial" w:hAnsi="Arial"/>
          <w:sz w:val="17"/>
          <w:szCs w:val="17"/>
          <w:color w:val="auto"/>
        </w:rPr>
        <w:t>”) other than with Talkspace, its shareholders and their respective affiliates and representatives and (ii) immediately cease, and direct its representatives to immediately cease, any and all existing discussions or negotiations with any person conducted prior to the date of the Merger Agreement with respect to, or which is reasonably likely to give rise to or result in, a Business Combination Proposal.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Talkspace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Merger Agreement, Talkspace has agreed, among other things, to:</w:t>
      </w:r>
    </w:p>
    <w:p>
      <w:pPr>
        <w:spacing w:after="0" w:line="131" w:lineRule="exact"/>
        <w:rPr>
          <w:sz w:val="20"/>
          <w:szCs w:val="20"/>
          <w:color w:val="auto"/>
        </w:rPr>
      </w:pPr>
    </w:p>
    <w:p>
      <w:pPr>
        <w:ind w:left="540" w:hanging="316"/>
        <w:spacing w:after="0" w:line="272"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during the Interim Period, subject to confidentiality obligations that may be applicable to information furnished to Talkspace or any of its subsidiaries by third parties and except for any information that is subject to attorney-client privilege or other privilege from disclosure, and to the extent permitted by applicable law, (i) afford (and cause its subsidiaries to afford) HEC and its representatives reasonable access to its and its subsidiaries’ properties, assets, books, contracts, commitments, tax returns, records and appropriate officers and employees and (ii) use (and cause its subsidiaries to use) reasonable efforts to furnish such representatives with all financial and operating data and other information concerning its and its subsidiaries’ business and affairs that are in its or its subsidiaries’ possession, in each case as HEC and its representatives may reasonably request solely for purposes of consummating the Transactions;</w:t>
      </w:r>
    </w:p>
    <w:p>
      <w:pPr>
        <w:spacing w:after="0" w:line="82" w:lineRule="exact"/>
        <w:rPr>
          <w:rFonts w:ascii="Arial" w:cs="Arial" w:eastAsia="Arial" w:hAnsi="Arial"/>
          <w:sz w:val="17"/>
          <w:szCs w:val="17"/>
          <w:color w:val="auto"/>
        </w:rPr>
      </w:pPr>
    </w:p>
    <w:p>
      <w:pPr>
        <w:ind w:left="540" w:right="340" w:hanging="316"/>
        <w:spacing w:after="0" w:line="277"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comply promptly, but in no event later than ten business days following the date of the Merger Agreement, with the notification and reporting requirements of the HSR Act;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use its reasonable best efforts to substantially comply with any information or document requests with respect to antitrust matters;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request eqarly termination of any waiting period(s) under the HSR Act;</w:t>
      </w:r>
    </w:p>
    <w:p>
      <w:pPr>
        <w:spacing w:after="0" w:line="130" w:lineRule="exact"/>
        <w:rPr>
          <w:rFonts w:ascii="Arial" w:cs="Arial" w:eastAsia="Arial" w:hAnsi="Arial"/>
          <w:sz w:val="18"/>
          <w:szCs w:val="18"/>
          <w:color w:val="auto"/>
        </w:rPr>
      </w:pPr>
    </w:p>
    <w:p>
      <w:pPr>
        <w:ind w:left="540" w:right="20" w:hanging="316"/>
        <w:spacing w:after="0" w:line="257"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promptly furnish to HEC copies of any material notices or written communications received by it or any of its subsidiaries from any third party or any governmental authority, and detail any substantive oral communications between it or any of its subsidiaries and any governmental authority, with respect to the approval of the Transactions, and permit counsel to HEC an opportunity to review in advance, and consider in good faith the views of such counsel in connection with, any proposed written communications by it and/or its subsidiaries to any governmental authority concerning the Transactions;</w:t>
      </w:r>
    </w:p>
    <w:p>
      <w:pPr>
        <w:spacing w:after="0" w:line="93"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 behalf of itself and its controlled affiliates, waive any past, present or future claim of any kind against, and any right to access, the Trust Account or to collect from the Trust Account any monies that may be owed to it or its controlled affiliates by HEC or any of its affiliates for any reason whatsoever, and not seek recourse against the Trust Account at any time for any reason whatsoever;</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 the Closing, deliver to HEC the FIRPTA certification and notice;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67"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the extent that any “disqualified individual” (within the meaning of Section 280G(c) of the Code and the regulations thereunder) of Talkspace has the right to receive or retain any payments or benefits that could be deemed to constitute “parachute payments” (within the meaning of Section 280G(b)(2)(A) of the Code and the regulations thereunder), then, Talkspace will: (i) no later than seven days prior to the Closing Date, solicit and use its commercially reasonable best efforts to obtain from each such “disqualified individual” a waiver of such disqualified individual’s rights to some or all of such payments or benefits (the “</w:t>
      </w:r>
      <w:r>
        <w:rPr>
          <w:rFonts w:ascii="Arial" w:cs="Arial" w:eastAsia="Arial" w:hAnsi="Arial"/>
          <w:sz w:val="17"/>
          <w:szCs w:val="17"/>
          <w:i w:val="1"/>
          <w:iCs w:val="1"/>
          <w:color w:val="auto"/>
        </w:rPr>
        <w:t>Waived 280G Benefits</w:t>
      </w:r>
      <w:r>
        <w:rPr>
          <w:rFonts w:ascii="Arial" w:cs="Arial" w:eastAsia="Arial" w:hAnsi="Arial"/>
          <w:sz w:val="17"/>
          <w:szCs w:val="17"/>
          <w:color w:val="auto"/>
        </w:rPr>
        <w:t>”) so that any remaining payments and/or benefits shall not be deemed to be “excess parachute payments” (within the meaning of Section 280G of the Code and the regulations thereunder); and (ii) no later than five days prior to the Closing Date, with respect to each individual who agrees to the waiver described in clause (i), submit to a vote of the stockholders of Talkspace entitled to vote on such matters, in the manner required under Section 280G(b)(5) of the Code and the regulations promulgated thereunder, along with adequate disclosure intended to satisfy such requirements (including Q&amp;A 7 of Section 1.280G-1 of such regulations), the right of any such “disqualified individual” to receive the Waived 280G Benefits (the “</w:t>
      </w:r>
      <w:r>
        <w:rPr>
          <w:rFonts w:ascii="Arial" w:cs="Arial" w:eastAsia="Arial" w:hAnsi="Arial"/>
          <w:sz w:val="17"/>
          <w:szCs w:val="17"/>
          <w:i w:val="1"/>
          <w:iCs w:val="1"/>
          <w:color w:val="auto"/>
        </w:rPr>
        <w:t>280G Stockholder Vote</w:t>
      </w:r>
      <w:r>
        <w:rPr>
          <w:rFonts w:ascii="Arial" w:cs="Arial" w:eastAsia="Arial" w:hAnsi="Arial"/>
          <w:sz w:val="17"/>
          <w:szCs w:val="17"/>
          <w:color w:val="auto"/>
        </w:rPr>
        <w:t>”). Prior to, and in no event later than three days prior to soliciting such waivers and approval, Talkspace shall provide drafts of such waivers and approval materials to HEC for its reasonable review and comment, and Talkspace shall consider in good faith any changes reasonably requested by HEC. No later than five days prior to soliciting the waivers, the Company shall provide Acquiror with the calculations and related documentation to determine whether and to what extent the 280G Stockholder Vote is necessary in order to avoid the imposition of taxes under Section 4999 of the Code. Prior to the Closing Date, the Company shall deliver to Acquiror evidence that the 280G Stockholder Vote and whether the requisite number of votes of the stockholders of Talkspace was obtained with respect to the Waived 280G Benefits or that the vote did not pass and the Waived 280G Benefits will not be paid or retained;</w:t>
      </w:r>
    </w:p>
    <w:p>
      <w:pPr>
        <w:spacing w:after="0" w:line="96" w:lineRule="exact"/>
        <w:rPr>
          <w:rFonts w:ascii="Arial" w:cs="Arial" w:eastAsia="Arial" w:hAnsi="Arial"/>
          <w:sz w:val="17"/>
          <w:szCs w:val="17"/>
          <w:color w:val="auto"/>
        </w:rPr>
      </w:pPr>
    </w:p>
    <w:p>
      <w:pPr>
        <w:ind w:left="540" w:hanging="316"/>
        <w:spacing w:after="0" w:line="272"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 obtain and deliver to HEC Talkspace stockholders’ approval of the Merger Agreement and the Transactions in accordance with the DGCL and Talkspace’s governing documents (the “</w:t>
      </w:r>
      <w:r>
        <w:rPr>
          <w:rFonts w:ascii="Arial" w:cs="Arial" w:eastAsia="Arial" w:hAnsi="Arial"/>
          <w:sz w:val="17"/>
          <w:szCs w:val="17"/>
          <w:i w:val="1"/>
          <w:iCs w:val="1"/>
          <w:color w:val="auto"/>
        </w:rPr>
        <w:t>Talkspace Stockholder Approval</w:t>
      </w:r>
      <w:r>
        <w:rPr>
          <w:rFonts w:ascii="Arial" w:cs="Arial" w:eastAsia="Arial" w:hAnsi="Arial"/>
          <w:sz w:val="17"/>
          <w:szCs w:val="17"/>
          <w:color w:val="auto"/>
        </w:rPr>
        <w:t>”), (a) in the form of a written consent executed by certain stockholders of Talkspace as soon as reasonably practicable after the Registration Statement is declared effective under the Securities Act and delivered or otherwise made available to stockholders, and in any event within forty-eight (48) hours after the Registration Statement is declared effective and delivered or otherwise made available to stockholders and (b) in accordance with the terms and subject to the conditions of Talkspace’s governing documents; and (ii) take all other action necessary or advisable to secure Talkspace Stockholder Approval and, if applicable, any additional consents or approvals of its stockholders related thereto;</w:t>
      </w:r>
    </w:p>
    <w:p>
      <w:pPr>
        <w:spacing w:after="0" w:line="82" w:lineRule="exact"/>
        <w:rPr>
          <w:rFonts w:ascii="Arial" w:cs="Arial" w:eastAsia="Arial" w:hAnsi="Arial"/>
          <w:sz w:val="17"/>
          <w:szCs w:val="17"/>
          <w:color w:val="auto"/>
        </w:rPr>
      </w:pPr>
    </w:p>
    <w:p>
      <w:pPr>
        <w:ind w:left="540" w:right="120" w:hanging="316"/>
        <w:spacing w:after="0" w:line="277"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take certain actions in connection with the Pre-Closing Restructuring prior to the First Effective Time (see “—</w:t>
      </w:r>
      <w:r>
        <w:rPr>
          <w:rFonts w:ascii="Arial" w:cs="Arial" w:eastAsia="Arial" w:hAnsi="Arial"/>
          <w:sz w:val="18"/>
          <w:szCs w:val="18"/>
          <w:i w:val="1"/>
          <w:iCs w:val="1"/>
          <w:color w:val="auto"/>
        </w:rPr>
        <w:t>Certain Agreements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Combination—Merger Agreement</w:t>
      </w:r>
      <w:r>
        <w:rPr>
          <w:rFonts w:ascii="Arial" w:cs="Arial" w:eastAsia="Arial" w:hAnsi="Arial"/>
          <w:sz w:val="18"/>
          <w:szCs w:val="18"/>
          <w:color w:val="auto"/>
        </w:rPr>
        <w:t>—</w:t>
      </w:r>
      <w:r>
        <w:rPr>
          <w:rFonts w:ascii="Arial" w:cs="Arial" w:eastAsia="Arial" w:hAnsi="Arial"/>
          <w:sz w:val="18"/>
          <w:szCs w:val="18"/>
          <w:i w:val="1"/>
          <w:iCs w:val="1"/>
          <w:color w:val="auto"/>
        </w:rPr>
        <w:t>Pre-Closing Restructuring</w:t>
      </w:r>
      <w:r>
        <w:rPr>
          <w:rFonts w:ascii="Arial" w:cs="Arial" w:eastAsia="Arial" w:hAnsi="Arial"/>
          <w:sz w:val="18"/>
          <w:szCs w:val="18"/>
          <w:color w:val="auto"/>
        </w:rPr>
        <w:t>” above);</w:t>
      </w:r>
    </w:p>
    <w:p>
      <w:pPr>
        <w:spacing w:after="0" w:line="75" w:lineRule="exact"/>
        <w:rPr>
          <w:rFonts w:ascii="Arial" w:cs="Arial" w:eastAsia="Arial" w:hAnsi="Arial"/>
          <w:sz w:val="18"/>
          <w:szCs w:val="18"/>
          <w:color w:val="auto"/>
        </w:rPr>
      </w:pPr>
    </w:p>
    <w:p>
      <w:pPr>
        <w:ind w:left="540" w:hanging="316"/>
        <w:spacing w:after="0" w:line="342"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prior to the Closing, terminate, or cause to be terminated, without liability to HEC, Talkspace or any of its subsidiaries, all affiliate agreements and obtain evidence reasonably satisfactory to HEC that such affiliate agreements have been terminated effective prior to the Closing;</w:t>
      </w:r>
    </w:p>
    <w:p>
      <w:pPr>
        <w:spacing w:after="0" w:line="29" w:lineRule="exact"/>
        <w:rPr>
          <w:rFonts w:ascii="Arial" w:cs="Arial" w:eastAsia="Arial" w:hAnsi="Arial"/>
          <w:sz w:val="16"/>
          <w:szCs w:val="16"/>
          <w:color w:val="auto"/>
        </w:rPr>
      </w:pPr>
    </w:p>
    <w:p>
      <w:pPr>
        <w:ind w:left="540" w:right="100" w:hanging="316"/>
        <w:spacing w:after="0" w:line="289"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during the Interim Period, not, and direct its affiliates and representatives not to take, whether directly or indirectly, any action to (a) solicit, initiate, continue or engage in discussions or negotiations with, or enter into any agreement with, or knowingly encourage, respond to, or provide information to, any person (other than HEC and/or any of its affiliates or representatives) concerning any merger, recapitalization or similar business combination transaction, or any sale of substantially all of the assets involving it and its subsidiaries, taken as a whole (each such acquisition transaction, but excluding the Transactions, an “</w:t>
      </w:r>
      <w:r>
        <w:rPr>
          <w:rFonts w:ascii="Arial" w:cs="Arial" w:eastAsia="Arial" w:hAnsi="Arial"/>
          <w:sz w:val="16"/>
          <w:szCs w:val="16"/>
          <w:i w:val="1"/>
          <w:iCs w:val="1"/>
          <w:color w:val="auto"/>
        </w:rPr>
        <w:t>Acquisition Transaction</w:t>
      </w:r>
      <w:r>
        <w:rPr>
          <w:rFonts w:ascii="Arial" w:cs="Arial" w:eastAsia="Arial" w:hAnsi="Arial"/>
          <w:sz w:val="16"/>
          <w:szCs w:val="16"/>
          <w:color w:val="auto"/>
        </w:rPr>
        <w:t>”), or (b) commence, continue or renew any due diligence investigation regarding, or that is reasonably likely to give rise to or result in, any offer, inquiry, proposal or indication of interest, written or oral, with respect to, or which is reasonably likely to give rise to or result in, an Acquisition Transaction, and (ii) immediately cease, and direct its affiliates and representatives to immediately cease, any and all discussions or negotiations with any person conducted prior to the date of the Merger Agreement with respect to, or which is reasonably likely to give rise to or result in, an Acquisition Transaction.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Joint Covenants of HEC and Talkspace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each of HEC and Talkspace has agreed, among other things, to take certain actions set forth below:</w:t>
      </w:r>
    </w:p>
    <w:p>
      <w:pPr>
        <w:spacing w:after="0" w:line="131" w:lineRule="exact"/>
        <w:rPr>
          <w:sz w:val="20"/>
          <w:szCs w:val="20"/>
          <w:color w:val="auto"/>
        </w:rPr>
      </w:pPr>
    </w:p>
    <w:p>
      <w:pPr>
        <w:ind w:left="540" w:right="60" w:hanging="316"/>
        <w:spacing w:after="0" w:line="296" w:lineRule="auto"/>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of HEC and Talkspace will, and will cause its respective subsidiaries to (i) use reasonable efforts to assemble, prepare and file any information as may be reasonably necessary to obtain as promptly as practicable all governmental and regulatory consents required to be obtained in connection with the Transactions, (ii) use reasonable efforts to obtain all material consents and approvals of third parties that any of HEC, Talkspace, or their respective affiliates are required to obtain in order to consummate the Transactions, and (iii) take other actions as reasonably necessary or reasonably requested by the other party to satisfy the closing conditions and consummate the Merger Agreement;</w:t>
      </w:r>
    </w:p>
    <w:p>
      <w:pPr>
        <w:spacing w:after="0" w:line="66" w:lineRule="exact"/>
        <w:rPr>
          <w:rFonts w:ascii="Arial" w:cs="Arial" w:eastAsia="Arial" w:hAnsi="Arial"/>
          <w:sz w:val="16"/>
          <w:szCs w:val="16"/>
          <w:color w:val="auto"/>
        </w:rPr>
      </w:pPr>
    </w:p>
    <w:p>
      <w:pPr>
        <w:ind w:left="540" w:right="120" w:hanging="316"/>
        <w:spacing w:after="0" w:line="263"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HEC and Talkspace will jointly prepare and HEC will file with the SEC the proxy statement / registration statement in connection with the registration under the Securities Act of (i) the shares of Talkspace, Inc. common stock that constitute the Closing Share Consideration and (ii) the shares of Talkspace, Inc. common stock that are subject to HEC Options;</w:t>
      </w:r>
    </w:p>
    <w:p>
      <w:pPr>
        <w:spacing w:after="0" w:line="89" w:lineRule="exact"/>
        <w:rPr>
          <w:rFonts w:ascii="Arial" w:cs="Arial" w:eastAsia="Arial" w:hAnsi="Arial"/>
          <w:sz w:val="18"/>
          <w:szCs w:val="18"/>
          <w:color w:val="auto"/>
        </w:rPr>
      </w:pPr>
    </w:p>
    <w:p>
      <w:pPr>
        <w:ind w:left="540" w:right="20" w:hanging="316"/>
        <w:spacing w:after="0" w:line="279"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of HEC and Talkspace will use its reasonable efforts to cause the proxy statement / 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and otherwise ensure that the information contained therein contains no untrue statement of material fact or material omission;</w:t>
      </w:r>
    </w:p>
    <w:p>
      <w:pPr>
        <w:spacing w:after="0" w:line="76" w:lineRule="exact"/>
        <w:rPr>
          <w:rFonts w:ascii="Arial" w:cs="Arial" w:eastAsia="Arial" w:hAnsi="Arial"/>
          <w:sz w:val="17"/>
          <w:szCs w:val="17"/>
          <w:color w:val="auto"/>
        </w:rPr>
      </w:pPr>
    </w:p>
    <w:p>
      <w:pPr>
        <w:ind w:left="540" w:right="120" w:hanging="316"/>
        <w:spacing w:after="0" w:line="275"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HEC will, prior to or as promptly as practicable after the Registration Statement is declared effective under the Securities Act, (i) establish a record date (which date will mutually be agreed with Talkspace, acting reasonably) for, give notice of and duly call a meeting of the stockholders of HEC to vote on the proposals for a date no later than 30 days following the date on which the Registration Statement is declared effective, (ii) provide its stockholders with the opportunity to elect to redeem their shares of HEC’s Class A common stock, and (iii) solicit proxies from holders of HEC’s Class A common stock to vote in favor of each of the proposals;</w:t>
      </w:r>
    </w:p>
    <w:p>
      <w:pPr>
        <w:spacing w:after="0" w:line="81" w:lineRule="exact"/>
        <w:rPr>
          <w:rFonts w:ascii="Arial" w:cs="Arial" w:eastAsia="Arial" w:hAnsi="Arial"/>
          <w:sz w:val="17"/>
          <w:szCs w:val="17"/>
          <w:color w:val="auto"/>
        </w:rPr>
      </w:pPr>
    </w:p>
    <w:p>
      <w:pPr>
        <w:ind w:left="540" w:right="540" w:hanging="316"/>
        <w:spacing w:after="0" w:line="277"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HEC and Talkspace will reasonably cooperate to create and implement a communications plan regarding the Transactions promptly following the date of the Merger Agreement;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HEC and Talkspace will take certain actions to effect the intended tax treatment of the Transactions; and</w:t>
      </w:r>
    </w:p>
    <w:p>
      <w:pPr>
        <w:spacing w:after="0" w:line="130"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HEC and Talkspace will, at the request of the other party, following the Closing, execute such further documents, and perform such further acts, as may be reasonably necessary or appropriate to give full effect to the allocation of rights, benefits, obligations and liabilities contemplated by the Merger Agreement and the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Closing of the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Each Party</w:t>
      </w:r>
    </w:p>
    <w:p>
      <w:pPr>
        <w:spacing w:after="0" w:line="117"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obligations of each party to the Merger Agreement to consummate, or cause to be consummated, the Transactions are subject to the satisfaction of the following conditions, any one or more of which may be waived (if legally permitted) in writing by Talkspace and HEC:</w:t>
      </w:r>
    </w:p>
    <w:p>
      <w:pPr>
        <w:spacing w:after="0" w:line="52" w:lineRule="exact"/>
        <w:rPr>
          <w:sz w:val="20"/>
          <w:szCs w:val="20"/>
          <w:color w:val="auto"/>
        </w:rPr>
      </w:pPr>
    </w:p>
    <w:p>
      <w:pPr>
        <w:ind w:left="540" w:hanging="316"/>
        <w:spacing w:after="0" w:line="263"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waiting period(s) under the HSR Act in respect of the Transactions (and any extension thereof, or any timing agreements, understandings or commitments obtained by request or other action of the U.S. Federal Trade Commission and/or the U.S. Department of Justice, as applicable) shall have expired or been terminated;</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will not be in force any governmental order enjoining or prohibiting the consummation of the Transactions;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00" w:hanging="316"/>
        <w:spacing w:after="0" w:line="277"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HEC will have at least $5,000,001 of net tangible assets (as determined in accordance with Rule 3a51-1(g)(1) of the Exchange Act) remaining after redemptions by HEC stockholders;</w:t>
      </w:r>
    </w:p>
    <w:p>
      <w:pPr>
        <w:spacing w:after="0" w:line="75" w:lineRule="exact"/>
        <w:rPr>
          <w:rFonts w:ascii="Arial" w:cs="Arial" w:eastAsia="Arial" w:hAnsi="Arial"/>
          <w:sz w:val="18"/>
          <w:szCs w:val="18"/>
          <w:color w:val="auto"/>
        </w:rPr>
      </w:pPr>
    </w:p>
    <w:p>
      <w:pPr>
        <w:ind w:left="540" w:right="280" w:hanging="316"/>
        <w:spacing w:after="0" w:line="342"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HEC stockholders’ approval of the Condition Precedent Proposals, as described in this proxy statement/prospectus, will have been obtained in accordance with the DGCL, HEC’s governing documents and the rules and regulations of the Nasdaq (“</w:t>
      </w:r>
      <w:r>
        <w:rPr>
          <w:rFonts w:ascii="Arial" w:cs="Arial" w:eastAsia="Arial" w:hAnsi="Arial"/>
          <w:sz w:val="16"/>
          <w:szCs w:val="16"/>
          <w:i w:val="1"/>
          <w:iCs w:val="1"/>
          <w:color w:val="auto"/>
        </w:rPr>
        <w:t>HEC Stockholder Approval</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Talkspace Stockholder Approval will have been obtained;</w:t>
      </w:r>
    </w:p>
    <w:p>
      <w:pPr>
        <w:spacing w:after="0" w:line="130" w:lineRule="exact"/>
        <w:rPr>
          <w:rFonts w:ascii="Arial" w:cs="Arial" w:eastAsia="Arial" w:hAnsi="Arial"/>
          <w:sz w:val="18"/>
          <w:szCs w:val="18"/>
          <w:color w:val="auto"/>
        </w:rPr>
      </w:pPr>
    </w:p>
    <w:p>
      <w:pPr>
        <w:ind w:left="540" w:right="40" w:hanging="316"/>
        <w:spacing w:after="0" w:line="263"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forms a part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will have become effective under the Securities Act and no stop order suspending the effectiveness of the Registration Statement shall have been issued and no proceedings for that purpose shall have been initiated or threatened by the SEC and not withdrawn; and</w:t>
      </w:r>
    </w:p>
    <w:p>
      <w:pPr>
        <w:spacing w:after="0" w:line="89"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shares of Talkspace, Inc. common stock to be issued in connection with the business combination and the other Transactions shall have been approved for listing on the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the HEC Parties</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obligations of the HEC Parties to consummate, or cause to be consummated the Transactions are subject to the satisfaction of the following additional conditions, any one or more of which may be waived in writing by HEC:</w:t>
      </w:r>
    </w:p>
    <w:p>
      <w:pPr>
        <w:spacing w:after="0" w:line="76" w:lineRule="exact"/>
        <w:rPr>
          <w:sz w:val="20"/>
          <w:szCs w:val="20"/>
          <w:color w:val="auto"/>
        </w:rPr>
      </w:pPr>
    </w:p>
    <w:p>
      <w:pPr>
        <w:ind w:left="540" w:right="240" w:hanging="316"/>
        <w:spacing w:after="0" w:line="296" w:lineRule="auto"/>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certain of the representations and warranties of Talkspace pertaining to its corporate organization and due authorization will be true and correct (without giving any effect to any limitation as to “materiality” or “Material Adverse Effect” or any similar limitation set forth therein) in all material respects as of the Closing Date and certain representations and warranties of Talkspace pertaining to its capitalization will be true and correct in all respects other than de minimis inaccuracies as of the Closing Date as though then made, except, in each case, to the extent such representations and warranties expressly relate to an earlier date, and in such case, will be true and correct on and as of such earlier date;</w:t>
      </w:r>
    </w:p>
    <w:p>
      <w:pPr>
        <w:spacing w:after="0" w:line="66" w:lineRule="exact"/>
        <w:rPr>
          <w:rFonts w:ascii="Arial" w:cs="Arial" w:eastAsia="Arial" w:hAnsi="Arial"/>
          <w:sz w:val="16"/>
          <w:szCs w:val="16"/>
          <w:color w:val="auto"/>
        </w:rPr>
      </w:pPr>
    </w:p>
    <w:p>
      <w:pPr>
        <w:ind w:left="540" w:hanging="316"/>
        <w:spacing w:after="0"/>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representations and warranties of Talkspace pertaining to absence of changes will be true and correct in all respects as of the Closing Date;</w:t>
      </w:r>
    </w:p>
    <w:p>
      <w:pPr>
        <w:spacing w:after="0" w:line="153" w:lineRule="exact"/>
        <w:rPr>
          <w:rFonts w:ascii="Arial" w:cs="Arial" w:eastAsia="Arial" w:hAnsi="Arial"/>
          <w:sz w:val="16"/>
          <w:szCs w:val="16"/>
          <w:color w:val="auto"/>
        </w:rPr>
      </w:pPr>
    </w:p>
    <w:p>
      <w:pPr>
        <w:ind w:left="540" w:right="80" w:hanging="316"/>
        <w:spacing w:after="0" w:line="25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the remaining representations and warranties of Talkspace will be true and correct (without giving any effect to any limitation as to “materiality” or “Material Adverse Effect” or any similar limitation set forth therein) as of the Closing Date (except to the extent such representations and warranties expressly relate to an earlier date, and in such case, will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93"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Talkspace will have delivered to HEC a certificate signed by an officer of Talkspace,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each of the covenants and agreements of Talkspace to be performed as of or prior to the Closing will have been performed in all material respects (subject to a 20-day cure period and except for certain actions to be taken in connection with the Pre-Closing Restructuring); and</w:t>
      </w:r>
    </w:p>
    <w:p>
      <w:pPr>
        <w:spacing w:after="0" w:line="51" w:lineRule="exact"/>
        <w:rPr>
          <w:rFonts w:ascii="Arial" w:cs="Arial" w:eastAsia="Arial" w:hAnsi="Arial"/>
          <w:sz w:val="17"/>
          <w:szCs w:val="17"/>
          <w:color w:val="auto"/>
        </w:rPr>
      </w:pPr>
    </w:p>
    <w:p>
      <w:pPr>
        <w:ind w:left="540" w:right="20" w:hanging="316"/>
        <w:spacing w:after="0" w:line="259"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 or prior to the Closing, Talkspace will have delivered, or caused to be delivered, to HEC (i) certified copies of the amended (or amended and restated) governing documents of Talkspace, duly approved and adopted by the board of directors of Talkspace and the stockholders of Talkspace in connection with the Pre-Closing Restructuring and (ii) a copy of the Registration Rights Agreement, duly executed by each holder of Talkspace stock party thereto.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Talkspace</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obligations of Talkspace to consummate, or cause to be consummated, the Transactions are subject to the satisfaction of the following additional conditions, any one or more of which may be waived in writing by Talkspace:</w:t>
      </w:r>
    </w:p>
    <w:p>
      <w:pPr>
        <w:spacing w:after="0" w:line="76" w:lineRule="exact"/>
        <w:rPr>
          <w:sz w:val="20"/>
          <w:szCs w:val="20"/>
          <w:color w:val="auto"/>
        </w:rPr>
      </w:pPr>
    </w:p>
    <w:p>
      <w:pPr>
        <w:ind w:left="540" w:right="180" w:hanging="316"/>
        <w:spacing w:after="0" w:line="277"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the HEC Parties regarding its capitalization, as provided for in the Merger Agreement, will be true and correct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the Closing Date, as though then made;</w:t>
      </w:r>
    </w:p>
    <w:p>
      <w:pPr>
        <w:spacing w:after="0" w:line="75" w:lineRule="exact"/>
        <w:rPr>
          <w:rFonts w:ascii="Arial" w:cs="Arial" w:eastAsia="Arial" w:hAnsi="Arial"/>
          <w:sz w:val="18"/>
          <w:szCs w:val="18"/>
          <w:color w:val="auto"/>
        </w:rPr>
      </w:pPr>
    </w:p>
    <w:p>
      <w:pPr>
        <w:ind w:left="540" w:right="60" w:hanging="316"/>
        <w:spacing w:after="0" w:line="259"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remaining representations and warranties of the HEC Parties will be true and correct (without giving any effect to any limitation as to “materiality” or “Material Adverse Effect” or any similar limitation set forth therein) in all material respects as of the Closing Date (except to the extent such representations and warranties expressly relate to an earlier date, and in such case, will be true and correct on and as of such earlier date);</w:t>
      </w:r>
    </w:p>
    <w:p>
      <w:pPr>
        <w:spacing w:after="0" w:line="92"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HEC will have delivered to Talkspace a certificate signed by an officer of HEC,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covenants of the HEC parties to be performed as of or prior to the Closing will have been performed in all material respects(subject to a 20-day cure period or if earlier, the Termination Date);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Available Closing HEC Cash will not be less than $400,000,000; and</w:t>
      </w:r>
    </w:p>
    <w:p>
      <w:pPr>
        <w:spacing w:after="0" w:line="130"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at or prior to the Closing, HEC will have delivered, or caused to be delivered, to Talkspace a copy of the Registration Rights Agreement, duly executed by the Sponsor.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party to the Merger Agreement may, at any time prior to the closing of the Transactions, by action taken by its board of directors or equivalent governing body, or officers thereunto duly authorized, waive in writing any of its rights or conditions in its favor under the Merger Agreement. Notwithstanding the foregoing, pursuant to HEC’s current certificate of incorporation, HEC cannot consummate the proposed business combination if it has less than $5,000,001 of net tangible assets remaining after the closing.</w:t>
      </w:r>
    </w:p>
    <w:p>
      <w:pPr>
        <w:spacing w:after="0" w:line="18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existence of the financial and personal interests of the directors may result in a conflict of interest on the part of one or more of them between what he may believe is best for HEC and what he may believe is best for himself in determining whether or not to grant a waiver in a specific situation.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Agreement may be terminated and the Transactions abandoned, at any time prior to the Closing:</w:t>
      </w:r>
    </w:p>
    <w:p>
      <w:pPr>
        <w:spacing w:after="0" w:line="131" w:lineRule="exact"/>
        <w:rPr>
          <w:sz w:val="20"/>
          <w:szCs w:val="20"/>
          <w:color w:val="auto"/>
        </w:rPr>
      </w:pPr>
    </w:p>
    <w:p>
      <w:pPr>
        <w:ind w:left="540" w:hanging="316"/>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mutual written consent of Talkspace and HEC;</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by Talkspace or HEC if the Closing is permanently enjoined, prohibited or prevented by the terms of a final, non-appealable government order;</w:t>
      </w:r>
    </w:p>
    <w:p>
      <w:pPr>
        <w:spacing w:after="0" w:line="153" w:lineRule="exact"/>
        <w:rPr>
          <w:rFonts w:ascii="Arial" w:cs="Arial" w:eastAsia="Arial" w:hAnsi="Arial"/>
          <w:sz w:val="16"/>
          <w:szCs w:val="16"/>
          <w:color w:val="auto"/>
        </w:rPr>
      </w:pPr>
    </w:p>
    <w:p>
      <w:pPr>
        <w:ind w:left="540" w:right="60" w:hanging="316"/>
        <w:spacing w:after="0" w:line="263"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Talkspace or HEC if the Closing has not occurred on or before July 30, 2021(the “</w:t>
      </w:r>
      <w:r>
        <w:rPr>
          <w:rFonts w:ascii="Arial" w:cs="Arial" w:eastAsia="Arial" w:hAnsi="Arial"/>
          <w:sz w:val="18"/>
          <w:szCs w:val="18"/>
          <w:i w:val="1"/>
          <w:iCs w:val="1"/>
          <w:color w:val="auto"/>
        </w:rPr>
        <w:t>Termination Date</w:t>
      </w:r>
      <w:r>
        <w:rPr>
          <w:rFonts w:ascii="Arial" w:cs="Arial" w:eastAsia="Arial" w:hAnsi="Arial"/>
          <w:sz w:val="18"/>
          <w:szCs w:val="18"/>
          <w:color w:val="auto"/>
        </w:rPr>
        <w:t>”), except if the terminating party’s failure to fulfill any obligation under the Merger Agreement is the primary cause of, or primarily resulted in, the failure of the Closing to occur on or before the Termination Date;</w:t>
      </w:r>
    </w:p>
    <w:p>
      <w:pPr>
        <w:spacing w:after="0" w:line="89" w:lineRule="exact"/>
        <w:rPr>
          <w:rFonts w:ascii="Arial" w:cs="Arial" w:eastAsia="Arial" w:hAnsi="Arial"/>
          <w:sz w:val="18"/>
          <w:szCs w:val="18"/>
          <w:color w:val="auto"/>
        </w:rPr>
      </w:pPr>
    </w:p>
    <w:p>
      <w:pPr>
        <w:ind w:left="540" w:right="100" w:hanging="316"/>
        <w:spacing w:after="0" w:line="279" w:lineRule="auto"/>
        <w:tabs>
          <w:tab w:leader="none" w:pos="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by Talkspace or HEC if the other party has breached any of its covenants, agreements, representations or warranties such that the conditions to closing of the Transactions would not to be satisfied and has not cured its breach, if curable through reasonable efforts, within thirty (30) days of receipt of written notice of such breach, except if the terminating party’s failure to fulfill any obligation under the Merger Agreement is the primary cause of, or primarily resulted in, the failure of the Closing to occur on or before the Termination Date;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Talkspace if the Talkspace Stockholder Approval is not obtained and delivered to HEC within forty-eight (48) hours after the Registration Statement is declared effective and delivered or otherwise made available to stockholders; or</w:t>
      </w:r>
    </w:p>
    <w:p>
      <w:pPr>
        <w:spacing w:after="0" w:line="75" w:lineRule="exact"/>
        <w:rPr>
          <w:rFonts w:ascii="Arial" w:cs="Arial" w:eastAsia="Arial" w:hAnsi="Arial"/>
          <w:sz w:val="18"/>
          <w:szCs w:val="18"/>
          <w:color w:val="auto"/>
        </w:rPr>
      </w:pPr>
    </w:p>
    <w:p>
      <w:pPr>
        <w:ind w:left="540" w:right="78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Talkspace if HEC Stockholder Approval is not obtained following the special meeting and vote of HEC stockholders, subject to any adjournment, postponement or recess of the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 of Termination</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the event of the termination of the Merger Agreement will become void and have no effect, without any liability on the part of any party thereto or its respective affiliates, officers, directors, employees or stockholders, other than liability of Talkspace or the HEC Parties, as the case may be, for any intentional and willful breach of the Merger Agreement occurring prior to such termination, other than with respect to certain exceptions contemplated by the Merger Agreement (including the terms of the Confidentiality Agreement) that will survive any termination of the Merger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Fes and Expenses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the Closing does not occur, each party to the Merger Agreement will bear its own costs and expenses incurred in connection with the Merger Agreement, the other Transaction Agreements and the transactions contemplated therein, including all fees of its legal counsel, financial advisers and accountants (and with respect to HEC, any and all antitrust fees). If the Closing occurs, Talkspace, Inc. will, upon the Closing and release of proceeds from the Trust Account, pay or cause to be paid all accrued and unpaid transaction expenses of Talkspace and pay or cause to be paid all accrued transaction expenses of HEC and its affiliates. HEC and Talkspace will exchange written statements listing all accrued and unpaid transaction expenses not less than three business days prior to the Closing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Merger Agreement may be amended or modified in whole or in part, only by a duly authorized agreement in writing that is executed in the same manner as the Merger Agreement and which makes reference to the Merger Agreement. The approval of the Merger Agreement by the stockholders of any of the parties thereto will not restrict the ability of the board of directors (or other body performing similar functions) of any party to terminate the Merger Agreement or to cause such party to enter into an amendment to the Merger Agreement, in each case, in accordance with its terms and conditions.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Governing Law; Consent to Jurisdiction</w:t>
      </w:r>
    </w:p>
    <w:p>
      <w:pPr>
        <w:spacing w:after="0" w:line="117"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Merger Agreement, and all claims or causes of action based upon, arising out of, or related to the Merger Agreement and/or the Transactions, will be governed by, and construed in accordance with, the laws of the State of Delaware, without giving effect to its principles or rules of conflict of laws. The parties to the Merger Agreement have irrevocably submitted to the exclusive jurisdiction of federal and state courts in the State of Delaware.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Merger Agreement contemplates that, at the Closing, Talkspace, Inc., the Sponsor and certain former stockholders of Talkspace (the “</w:t>
      </w:r>
      <w:r>
        <w:rPr>
          <w:rFonts w:ascii="Arial" w:cs="Arial" w:eastAsia="Arial" w:hAnsi="Arial"/>
          <w:sz w:val="18"/>
          <w:szCs w:val="18"/>
          <w:i w:val="1"/>
          <w:iCs w:val="1"/>
          <w:color w:val="auto"/>
        </w:rPr>
        <w:t>Talkspace</w:t>
      </w:r>
      <w:r>
        <w:rPr>
          <w:rFonts w:ascii="Arial" w:cs="Arial" w:eastAsia="Arial" w:hAnsi="Arial"/>
          <w:sz w:val="18"/>
          <w:szCs w:val="18"/>
          <w:color w:val="auto"/>
        </w:rPr>
        <w:t xml:space="preserve"> </w:t>
      </w:r>
      <w:r>
        <w:rPr>
          <w:rFonts w:ascii="Arial" w:cs="Arial" w:eastAsia="Arial" w:hAnsi="Arial"/>
          <w:sz w:val="18"/>
          <w:szCs w:val="18"/>
          <w:i w:val="1"/>
          <w:iCs w:val="1"/>
          <w:color w:val="auto"/>
        </w:rPr>
        <w:t>Holders</w:t>
      </w:r>
      <w:r>
        <w:rPr>
          <w:rFonts w:ascii="Arial" w:cs="Arial" w:eastAsia="Arial" w:hAnsi="Arial"/>
          <w:sz w:val="18"/>
          <w:szCs w:val="18"/>
          <w:color w:val="auto"/>
        </w:rPr>
        <w:t>”) will enter into an Amended and Restated Registration Rights Agreement, a copy of which is attached to the accompanying proxy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statement/prospectus as </w:t>
      </w:r>
      <w:r>
        <w:rPr>
          <w:rFonts w:ascii="Arial" w:cs="Arial" w:eastAsia="Arial" w:hAnsi="Arial"/>
          <w:sz w:val="18"/>
          <w:szCs w:val="18"/>
          <w:i w:val="1"/>
          <w:iCs w:val="1"/>
          <w:color w:val="auto"/>
        </w:rPr>
        <w:t>Annex D</w:t>
      </w:r>
      <w:r>
        <w:rPr>
          <w:rFonts w:ascii="Arial" w:cs="Arial" w:eastAsia="Arial" w:hAnsi="Arial"/>
          <w:sz w:val="18"/>
          <w:szCs w:val="18"/>
          <w:color w:val="auto"/>
        </w:rPr>
        <w:t xml:space="preserve">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pursuant to which Talkspace, Inc. will agree to register for resale, pursuant to Rule 415 under the Securities Act, certain shares of Talkspace, Inc. common stock and other equity securities of Talkspace, Inc. that are held by the parties thereto from time to time.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Registration Rights Agreement amends and restates the registration rights agreement that was entered into by HEC, the Sponsor and the other parties thereto in connection with the HEC IPO. The Registration Rights Agreement will terminate on the earlier of (i) the five year anniversary of the date of the Registration Rights Agreement or (ii) with respect to any Holder (as defined therein), on the date that such Holder no longer holds any Registrable Securities (as defined therein).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Talkspace Holders Support Agreement</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connection with the execution of the Merger Agreement, HEC, Talkspace and certain stockholders of Talkspace (the “</w:t>
      </w:r>
      <w:r>
        <w:rPr>
          <w:rFonts w:ascii="Arial" w:cs="Arial" w:eastAsia="Arial" w:hAnsi="Arial"/>
          <w:sz w:val="17"/>
          <w:szCs w:val="17"/>
          <w:i w:val="1"/>
          <w:iCs w:val="1"/>
          <w:color w:val="auto"/>
        </w:rPr>
        <w:t>Requisite Talkspace</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w:t>
      </w:r>
      <w:r>
        <w:rPr>
          <w:rFonts w:ascii="Arial" w:cs="Arial" w:eastAsia="Arial" w:hAnsi="Arial"/>
          <w:sz w:val="17"/>
          <w:szCs w:val="17"/>
          <w:color w:val="auto"/>
        </w:rPr>
        <w:t>”) entered into the Talkspace Holders Support Agreement , a copy ofwhich is attached as</w:t>
      </w:r>
      <w:r>
        <w:rPr>
          <w:rFonts w:ascii="Arial" w:cs="Arial" w:eastAsia="Arial" w:hAnsi="Arial"/>
          <w:sz w:val="17"/>
          <w:szCs w:val="17"/>
          <w:i w:val="1"/>
          <w:iCs w:val="1"/>
          <w:color w:val="auto"/>
        </w:rPr>
        <w:t xml:space="preserve"> Annex E </w:t>
      </w:r>
      <w:r>
        <w:rPr>
          <w:rFonts w:ascii="Arial" w:cs="Arial" w:eastAsia="Arial" w:hAnsi="Arial"/>
          <w:sz w:val="17"/>
          <w:szCs w:val="17"/>
          <w:color w:val="auto"/>
        </w:rPr>
        <w:t>to this proxy statement/prospectus .</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terms of the Talkspace Holders Support Agreement, the Requisite Talkspace Stockholders agreed to, among other things, (i) vote to adopt and approve, as soon as reasonably practicable after the registration statement which this proxy statement/prospectus forms a part of is declared effective and delivered or otherwise made available to the stockholders of HEC and Talkspace, and in any event within forty-eight hours after the registration statement which this proxy statement/prospectus forms a part of is declared effective and delivered or otherwise made available to the stockholders of HEC and Talkspace, the Merger Agreement and the Transactions, in each case, subject to the terms and conditions of the Talkspace Holders Support Agreement, and (ii) take, or cause to be taken, all actions, and cooperate with other parties, to exercise the drag-along rights pursuant to and in accordance with that certain Sixth Amended and Restated Voting Agreement, dated as of May 15, 2019, by and among Talkspace, the Investors and the Key Holders (as such terms are defined therein). Each of the Requisite Talkspace Stockholders acknowledged and agreed to be bound by the transfers restrictions on its lock-up shares during the period of 180 days after the Closing Date, in each case, subject to limited exceptions as set forth in the Proposed Bylaws.</w:t>
      </w:r>
    </w:p>
    <w:p>
      <w:pPr>
        <w:spacing w:after="0" w:line="17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Talkspace Holders Support Agreement will terminate in its entirety, and be of no further force or effect, upon the earliest to occur of (i) the First Effective Time, (ii) the termination of the Merger Agreement in accordance with its terms and (iii) as to each Requisite Talkspace Stockholder, the mutual written agreement of HEC, Talkspace and such Requisite Talkspace Stockholder.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In connection with the execution of the Merger Agreement, HEC, the HEC Insiders and Talkspace entered into the Sponsor Support Agreement, a copy of which is attached as </w:t>
      </w:r>
      <w:r>
        <w:rPr>
          <w:rFonts w:ascii="Arial" w:cs="Arial" w:eastAsia="Arial" w:hAnsi="Arial"/>
          <w:sz w:val="17"/>
          <w:szCs w:val="17"/>
          <w:i w:val="1"/>
          <w:iCs w:val="1"/>
          <w:color w:val="auto"/>
        </w:rPr>
        <w:t>Annex I</w:t>
      </w:r>
      <w:r>
        <w:rPr>
          <w:rFonts w:ascii="Arial" w:cs="Arial" w:eastAsia="Arial" w:hAnsi="Arial"/>
          <w:sz w:val="17"/>
          <w:szCs w:val="17"/>
          <w:color w:val="auto"/>
        </w:rPr>
        <w:t xml:space="preserve"> to this proxy statement/prospectus. Pursuant to the terms of the Sponsor Support Agreement, the HEC Insiders agreed to, among other things, vote to adopt and approve the Merger Agreement and the Transactions, in each case, subject to the terms and conditions of the Sponsor Support Agreement. Each officer and director of HEC has entered into a letter agreement with HEC in connection with the HEC IPO, pursuant to which they agreed to vote any founder shares held by them and any public shares purchased during or after the HEC IPO (including in open market and privately-negotiated transactions) in favor of the Transactions. Each of the HEC Insiders also agreed to not transfer any lock-up shares during the period of 180 days after the Closing Date, in each case, subject to limited exceptions as contemplated thereby. Such restrictions apply to the shares of HEC’s common stock, including shares of Talkspace, Inc. common stock issuable upon conversion of HEC’s private placement warrants held by the Sponsor immediately following the Closing.</w:t>
      </w:r>
    </w:p>
    <w:p>
      <w:pPr>
        <w:spacing w:after="0" w:line="181"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Additionally, pursuant to the Sponsor Support Agreement, all of HEC Insiders’ shares of HEC’s Class B common stock (including shares of Talkspace, Inc. common stock issued upon conversion of HEC’s Class B common stock) shall be unvested and shall be subject to certain time and performance-based vesting provisions as described below. Pursuant to the Sponsor Support Agreement, (i) 70% of the unvested founder shares shall vest at Closing,</w:t>
      </w:r>
    </w:p>
    <w:p>
      <w:pPr>
        <w:spacing w:after="0" w:line="2" w:lineRule="exact"/>
        <w:rPr>
          <w:sz w:val="20"/>
          <w:szCs w:val="20"/>
          <w:color w:val="auto"/>
        </w:rPr>
      </w:pPr>
    </w:p>
    <w:p>
      <w:pPr>
        <w:ind w:left="120" w:right="20" w:hanging="4"/>
        <w:spacing w:after="0" w:line="277" w:lineRule="auto"/>
        <w:tabs>
          <w:tab w:leader="none" w:pos="38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15% of the unvested founder shares (the </w:t>
      </w:r>
      <w:r>
        <w:rPr>
          <w:rFonts w:ascii="Arial" w:cs="Arial" w:eastAsia="Arial" w:hAnsi="Arial"/>
          <w:sz w:val="17"/>
          <w:szCs w:val="17"/>
          <w:i w:val="1"/>
          <w:iCs w:val="1"/>
          <w:color w:val="auto"/>
        </w:rPr>
        <w:t>“$12 Founder Shares</w:t>
      </w:r>
      <w:r>
        <w:rPr>
          <w:rFonts w:ascii="Arial" w:cs="Arial" w:eastAsia="Arial" w:hAnsi="Arial"/>
          <w:sz w:val="17"/>
          <w:szCs w:val="17"/>
          <w:color w:val="auto"/>
        </w:rPr>
        <w:t>”) shall vest at such time as, during the 5-year period starting on the Closing Date (the “</w:t>
      </w:r>
      <w:r>
        <w:rPr>
          <w:rFonts w:ascii="Arial" w:cs="Arial" w:eastAsia="Arial" w:hAnsi="Arial"/>
          <w:sz w:val="17"/>
          <w:szCs w:val="17"/>
          <w:i w:val="1"/>
          <w:iCs w:val="1"/>
          <w:color w:val="auto"/>
        </w:rPr>
        <w:t>Vesting Period</w:t>
      </w:r>
      <w:r>
        <w:rPr>
          <w:rFonts w:ascii="Arial" w:cs="Arial" w:eastAsia="Arial" w:hAnsi="Arial"/>
          <w:sz w:val="17"/>
          <w:szCs w:val="17"/>
          <w:color w:val="auto"/>
        </w:rPr>
        <w:t>”), the price of Talkspace, Inc. common stock is equal to or greater than $12.00, (iii) 15% of the unvested founder (the “</w:t>
      </w:r>
      <w:r>
        <w:rPr>
          <w:rFonts w:ascii="Arial" w:cs="Arial" w:eastAsia="Arial" w:hAnsi="Arial"/>
          <w:sz w:val="17"/>
          <w:szCs w:val="17"/>
          <w:i w:val="1"/>
          <w:iCs w:val="1"/>
          <w:color w:val="auto"/>
        </w:rPr>
        <w:t>$15 Founder</w:t>
      </w:r>
      <w:r>
        <w:rPr>
          <w:rFonts w:ascii="Arial" w:cs="Arial" w:eastAsia="Arial" w:hAnsi="Arial"/>
          <w:sz w:val="17"/>
          <w:szCs w:val="17"/>
          <w:color w:val="auto"/>
        </w:rPr>
        <w:t xml:space="preserve"> </w:t>
      </w:r>
      <w:r>
        <w:rPr>
          <w:rFonts w:ascii="Arial" w:cs="Arial" w:eastAsia="Arial" w:hAnsi="Arial"/>
          <w:sz w:val="17"/>
          <w:szCs w:val="17"/>
          <w:i w:val="1"/>
          <w:iCs w:val="1"/>
          <w:color w:val="auto"/>
        </w:rPr>
        <w:t>Shares</w:t>
      </w:r>
      <w:r>
        <w:rPr>
          <w:rFonts w:ascii="Arial" w:cs="Arial" w:eastAsia="Arial" w:hAnsi="Arial"/>
          <w:sz w:val="17"/>
          <w:szCs w:val="17"/>
          <w:color w:val="auto"/>
        </w:rPr>
        <w:t>”) shall vest at such time as, during the Vesting Period, the price of Talkspace, Inc. common stock is equal to or</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greater than $15.00 and (iv) in the event that there is sale of HEC (a “</w:t>
      </w:r>
      <w:r>
        <w:rPr>
          <w:rFonts w:ascii="Arial" w:cs="Arial" w:eastAsia="Arial" w:hAnsi="Arial"/>
          <w:sz w:val="16"/>
          <w:szCs w:val="16"/>
          <w:i w:val="1"/>
          <w:iCs w:val="1"/>
          <w:color w:val="auto"/>
        </w:rPr>
        <w:t>HEC Sale</w:t>
      </w:r>
      <w:r>
        <w:rPr>
          <w:rFonts w:ascii="Arial" w:cs="Arial" w:eastAsia="Arial" w:hAnsi="Arial"/>
          <w:sz w:val="16"/>
          <w:szCs w:val="16"/>
          <w:color w:val="auto"/>
        </w:rPr>
        <w:t>”) prior to the fifth anniversary of the Closing Date that will result in the holders of Talkspace, Inc. common stock receiving a price per share equal to, or in excess of, the applicable vesting price per share for the $12 Founder Shares and/or the $15 Founder Shares, then immediately prior to the consummation of the HEC Sale the applicable unvested founder shares will vest.</w:t>
      </w:r>
    </w:p>
    <w:p>
      <w:pPr>
        <w:spacing w:after="0" w:line="149"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The Sponsor Support Agreement will terminate in its entirety, and be of no further force or effect, upon the earliest to occur of (a) the First Effective Time, (b) such date and time as the Merger Agreement shall be terminated in accordance with Section 11.01 thereof, (c) the liquidation of HEC and</w:t>
      </w:r>
    </w:p>
    <w:p>
      <w:pPr>
        <w:ind w:left="120" w:right="100" w:hanging="4"/>
        <w:spacing w:after="0" w:line="252" w:lineRule="auto"/>
        <w:tabs>
          <w:tab w:leader="none" w:pos="3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written agreement of HEC, the Sponsor and Talkspace. Upon such termination of the Sponsor Support Agreement, all obligations of the parties under the Sponsor Support Agreement will terminate, without any liability or other obligation on the part of any party thereto to any person in respect thereof or the transactions contemplated hereby, and no party thereto will have any claim against another (and no person will have any rights against such party), whether under contract, tort or otherwise, with respect to the subject matter thereof;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termination of the Sponsor Support Agreement will not relieve any party thereto from liability arising in respect of any breach of the Sponsor Support Agreement prior to such termination.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execution of the Merger Agreement, HEC entered into Subscription Agreements with the PIPE Investors, a copy of which 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attached as </w:t>
      </w:r>
      <w:r>
        <w:rPr>
          <w:rFonts w:ascii="Arial" w:cs="Arial" w:eastAsia="Arial" w:hAnsi="Arial"/>
          <w:sz w:val="16"/>
          <w:szCs w:val="16"/>
          <w:i w:val="1"/>
          <w:iCs w:val="1"/>
          <w:color w:val="auto"/>
        </w:rPr>
        <w:t>Annex F</w:t>
      </w:r>
      <w:r>
        <w:rPr>
          <w:rFonts w:ascii="Arial" w:cs="Arial" w:eastAsia="Arial" w:hAnsi="Arial"/>
          <w:sz w:val="16"/>
          <w:szCs w:val="16"/>
          <w:color w:val="auto"/>
        </w:rPr>
        <w:t xml:space="preserve"> to this proxy statement/prospectus. Pursuant to the terms of the Subscription Agreements, the PIPE Investors agreed to purchase,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30,000,000 shares of Talkspace, Inc. common stock at a purchase price of $10.00 per share for an aggregate commitment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$300,000,000. The closings under the Subscription Agreements will occur substantially concurrently with the Closing, subject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satisfaction of each condition precedent to the Closing set forth in the Merger Agreement, all representations and warranties of HEC contained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Subscription Agreements being true and correct in all material respects at and as of the Closing Date, satisfaction, performance and compliance by HEC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each PIPE Investor in all material respects with the covenants, agreements and conditions contained therein, and no amendment or modification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waiver with respect to HEC’s obligation to effect the Closing that would reasonably be expected to materially, adversely and disproportionately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compared to other PIPE Investors affect the economic benefits of each PIPE Investor without having received such PIPE Investor’s prior written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w:t>
      </w:r>
    </w:p>
    <w:p>
      <w:pPr>
        <w:spacing w:after="0" w:line="21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Subscription Agreements provide that HEC is required to file with the SEC as soon as practicable, but in no event later than fifteen days after the consummation of the Transactions, a registration statement registering the resale of the shares of Talkspace, Inc. common stock to be issued to any such PIPE Investor and to use its commercially reasonable efforts to have such registration statement declared effective as soon as practicable after the filing thereof, but no later than the earlier of (i) the 45</w:t>
      </w:r>
      <w:r>
        <w:rPr>
          <w:rFonts w:ascii="Arial" w:cs="Arial" w:eastAsia="Arial" w:hAnsi="Arial"/>
          <w:sz w:val="15"/>
          <w:szCs w:val="15"/>
          <w:color w:val="auto"/>
        </w:rPr>
        <w:t>th</w:t>
      </w:r>
      <w:r>
        <w:rPr>
          <w:rFonts w:ascii="Arial" w:cs="Arial" w:eastAsia="Arial" w:hAnsi="Arial"/>
          <w:sz w:val="18"/>
          <w:szCs w:val="18"/>
          <w:color w:val="auto"/>
        </w:rPr>
        <w:t xml:space="preserve"> calendar day (or 75</w:t>
      </w:r>
      <w:r>
        <w:rPr>
          <w:rFonts w:ascii="Arial" w:cs="Arial" w:eastAsia="Arial" w:hAnsi="Arial"/>
          <w:sz w:val="15"/>
          <w:szCs w:val="15"/>
          <w:color w:val="auto"/>
        </w:rPr>
        <w:t>th</w:t>
      </w:r>
      <w:r>
        <w:rPr>
          <w:rFonts w:ascii="Arial" w:cs="Arial" w:eastAsia="Arial" w:hAnsi="Arial"/>
          <w:sz w:val="18"/>
          <w:szCs w:val="18"/>
          <w:color w:val="auto"/>
        </w:rPr>
        <w:t xml:space="preserve"> calendar day if the SEC notifies HEC that it will “review” the registration statement) following the Closing and (ii) the 10</w:t>
      </w:r>
      <w:r>
        <w:rPr>
          <w:rFonts w:ascii="Arial" w:cs="Arial" w:eastAsia="Arial" w:hAnsi="Arial"/>
          <w:sz w:val="15"/>
          <w:szCs w:val="15"/>
          <w:color w:val="auto"/>
        </w:rPr>
        <w:t>th</w:t>
      </w:r>
      <w:r>
        <w:rPr>
          <w:rFonts w:ascii="Arial" w:cs="Arial" w:eastAsia="Arial" w:hAnsi="Arial"/>
          <w:sz w:val="18"/>
          <w:szCs w:val="18"/>
          <w:color w:val="auto"/>
        </w:rPr>
        <w:t xml:space="preserve"> business day after the date HEC is notified by the SEC that the registration statement will not be reviewed or will not be subject to further review. Additionally, pursuant to the Subscription Agreements, the PIPE Investors agreed to waive any claims that they may have at the Closing or in the future as a result of, or arising out of, the Subscription Agreements against HEC with respect to the trust account.</w:t>
      </w:r>
    </w:p>
    <w:p>
      <w:pPr>
        <w:spacing w:after="0" w:line="19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 xml:space="preserve">The Subscription Agreements will terminate, and be of no further force and effect, upon the earlier to occur of (i) such date the Merger Agreement is validly terminated in accordance with its terms, (ii) upon the mutual written agreement of HEC and the applicable PIPE Investor, (iii) if any of the conditions to closing set forth therein are not satisfied prior to the Closing Date, and as a result thereof, the transactions contemplated by the Subscription Agreements are not consummated at the Closing, or (iv) on or after September 12, 2021 if the Closing has not occurred on or prior to such date; </w:t>
      </w:r>
      <w:r>
        <w:rPr>
          <w:rFonts w:ascii="Arial" w:cs="Arial" w:eastAsia="Arial" w:hAnsi="Arial"/>
          <w:sz w:val="18"/>
          <w:szCs w:val="18"/>
          <w:i w:val="1"/>
          <w:iCs w:val="1"/>
          <w:color w:val="auto"/>
        </w:rPr>
        <w:t>provided</w:t>
      </w:r>
      <w:r>
        <w:rPr>
          <w:rFonts w:ascii="Arial" w:cs="Arial" w:eastAsia="Arial" w:hAnsi="Arial"/>
          <w:sz w:val="18"/>
          <w:szCs w:val="18"/>
          <w:color w:val="auto"/>
        </w:rPr>
        <w:t>, that nothing contained in the Subscription Agreements will relieve any party thereto from liability for any willful breach hereof prior to the time of termination, and each party thereto will be entitled to any remedies at law or in equity to recover losses, liabilities, or damages arising from such breach.</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HEC Forward Purchase Agreement</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Each Forward Purchase Unit consists of one share of Talkspace, Inc. common stock (the “</w:t>
      </w:r>
      <w:r>
        <w:rPr>
          <w:rFonts w:ascii="Arial" w:cs="Arial" w:eastAsia="Arial" w:hAnsi="Arial"/>
          <w:sz w:val="17"/>
          <w:szCs w:val="17"/>
          <w:i w:val="1"/>
          <w:iCs w:val="1"/>
          <w:color w:val="auto"/>
        </w:rPr>
        <w:t>Forward Purchase Shares</w:t>
      </w:r>
      <w:r>
        <w:rPr>
          <w:rFonts w:ascii="Arial" w:cs="Arial" w:eastAsia="Arial" w:hAnsi="Arial"/>
          <w:sz w:val="17"/>
          <w:szCs w:val="17"/>
          <w:color w:val="auto"/>
        </w:rPr>
        <w:t>”) and one-half of one warrant to purchase one share of Talkspace, Inc. common stock (the “</w:t>
      </w:r>
      <w:r>
        <w:rPr>
          <w:rFonts w:ascii="Arial" w:cs="Arial" w:eastAsia="Arial" w:hAnsi="Arial"/>
          <w:sz w:val="17"/>
          <w:szCs w:val="17"/>
          <w:i w:val="1"/>
          <w:iCs w:val="1"/>
          <w:color w:val="auto"/>
        </w:rPr>
        <w:t>Forward Purchase Warrants</w:t>
      </w:r>
      <w:r>
        <w:rPr>
          <w:rFonts w:ascii="Arial" w:cs="Arial" w:eastAsia="Arial" w:hAnsi="Arial"/>
          <w:sz w:val="17"/>
          <w:szCs w:val="17"/>
          <w:color w:val="auto"/>
        </w:rPr>
        <w:t>”). The Forward Purchase Shares will be identical to the shares of HEC’s Class A common stock included in the units sold in the HEC IPO, except that they will be subject to certain transfer restrictions and registration rights. The Forward Purchase Warrants will have the same terms as the HEC warrants issued to the Sponsor in a private placement simultaneously with the closing of the HEC IPO so long as they are held by HEC Fund or its permitted assignees and transferees.</w:t>
      </w:r>
    </w:p>
    <w:p>
      <w:pPr>
        <w:spacing w:after="0" w:line="7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The HEC Forward Purchase Agreement may be terminated at any time prior to the Forward Closing (as defined therein) (a) by mutual written consent of HEC and HEC Fund or (b) automatically if the business combination is not consummated within 24 months from the closing of the HEC IPO, or such later date as may be approved by HEC’s stockholders. Upon such termination of the HEC Forward Purchase Agreement, the Forward Purchase Price (and interest thereon, if any) (as defined therein), if previously paid, and all HEC Fund’s funds paid in connection with the HEC Forward Purchase Agreement shall be promptly returned to HEC Fund, and thereafter the HEC Forward Purchase Agreement will become null and void and have no effect, without any liability on the part of HEC or HEC Fund and their respective directors, officers, employees, partners, managers, members, or stockholders and all rights and obligations of each party shall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termination of the HEC Forward Purchase Agreement will not relieve either party from liabilities or damages arising out of any fraud or willful breach by such party of any of its representations, warranties, covenants or agreements contained in HEC Forward Purchase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 Headquarters; Stock Symbols</w:t>
      </w:r>
    </w:p>
    <w:p>
      <w:pPr>
        <w:spacing w:after="0" w:line="121"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The name of Talkspace after the consummation of the Transactions will be Talkspace, Inc. Talkspace has currently transitioned to a remote-first company and Talkspace, Inc. is not expected to have a headquarters at the time of Closing. We intend to apply for listing, effective at the time of the Closing, of Talkspace, Inc. common stock and Talkspace, Inc. warrants on the Nasdaq under the symbols “TALK” and “TALKW”, respectively. Our publicly traded units will separate into the component securities upon the Closing and will no longer trade as a separate security.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Transactions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HEC is a blank check company formed as a corporation in Delaware on February 6, 2020 for the purpose of effecting a merger, capital stock exchange, asset acquisition, stock purchase, reorganization or similar business combination with one or more businesses. The business combination with Talkspace is the result of an extensive search for a potential transaction, whereby HEC evaluated several dozen potential targets utilizing HEC’s global network and the investing, operating and transaction experience of the Sponsor, HEC’s management team, advisory partners and the HEC Board. The terms of the Transactions are the result of arm’s-length negotiations between representatives of HEC and representatives of Talkspace over the course of two and one-half months. The following is a brief discussion of the background of these negotiations, the Merger Agreement and Transactions.</w:t>
      </w:r>
    </w:p>
    <w:p>
      <w:pPr>
        <w:spacing w:after="0" w:line="164"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On June 11, 2020, HEC completed its initial public offering. Prior to the consummation of the HEC IPO, neither HEC, nor anyone on its behalf, contacted any prospective target business or had any substantive discussions, formal or otherwise, with respect to a transaction with HEC.</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the HEC IPO, HEC commenced an active search for prospective businesses and assets to acquire.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 evaluating potential businesses and assets to acquire, HEC, together with its advisory partners and the Sponsor, generally surveys the landscape of potential acquisition opportunities based on its knowledge of, and familiarity with, the M&amp;A marketplace. In general, HEC looks for acquisition targets that are (i) of a size relevant to the public marketplace, and (ii) positioned, operationally and financially, to be successful as a public company. HEC further looks for those transactions that it believes that, if entered into, would be well-received by the public markets. In particular, HEC generally seeks to identify companies that (a) have an existing strong management team, (b) have a competitive advantage, (c) have significant streams of recurring revenue, (d) have a significant total addressable market and growth expansion opportunities and (e) provide an opportunity for operational improvement,</w:t>
      </w:r>
    </w:p>
    <w:p>
      <w:pPr>
        <w:spacing w:after="0" w:line="4" w:lineRule="exact"/>
        <w:rPr>
          <w:sz w:val="20"/>
          <w:szCs w:val="20"/>
          <w:color w:val="auto"/>
        </w:rPr>
      </w:pPr>
    </w:p>
    <w:p>
      <w:pPr>
        <w:ind w:left="120" w:right="20" w:hanging="4"/>
        <w:spacing w:after="0" w:line="255" w:lineRule="auto"/>
        <w:tabs>
          <w:tab w:leader="none" w:pos="3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have attractive steady-state margins and high incremental margins. HEC also seeks to identify companies that it believes would benefit from the expertise of HEC’s operating partners and from being a publicly-held entity, particularly with respect to access to capital for both organic growth and for use in acquisitions. HEC generally applies these criteria when evaluating potential targets.</w:t>
      </w:r>
    </w:p>
    <w:p>
      <w:pPr>
        <w:spacing w:after="0" w:line="190"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Since the completion of its initial public offering, HEC considered more than 50 potential target businesses with the objective of consummating its initial business combination. HEC considered businesses from a variety of sources that it believed had attractive long-term growth potential, were well-positioned within their industry and would benefit from the substantial intellectual capital, operational experience, and network of HEC’s management team and executive network. In the process that led to identifying Talkspace as an attractive investment opportunity, HEC entered into several non-disclosure agreements and, for many potential business combination targets, HEC performed deep financial and industry due diligence and held multiple management meetings. HEC entered into more than 20 mutual non-disclosure agreements with potential business combination targets, none of which contained a standstill provision.</w:t>
      </w:r>
    </w:p>
    <w:p>
      <w:pPr>
        <w:spacing w:after="0" w:line="19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evaluating such businesses, HEC entered into a mutual non-disclosure agreement on June 18, 2020 with a potential combination target (“</w:t>
      </w:r>
      <w:r>
        <w:rPr>
          <w:rFonts w:ascii="Arial" w:cs="Arial" w:eastAsia="Arial" w:hAnsi="Arial"/>
          <w:sz w:val="18"/>
          <w:szCs w:val="18"/>
          <w:i w:val="1"/>
          <w:iCs w:val="1"/>
          <w:color w:val="auto"/>
        </w:rPr>
        <w:t>Company A</w:t>
      </w:r>
      <w:r>
        <w:rPr>
          <w:rFonts w:ascii="Arial" w:cs="Arial" w:eastAsia="Arial" w:hAnsi="Arial"/>
          <w:sz w:val="18"/>
          <w:szCs w:val="18"/>
          <w:color w:val="auto"/>
        </w:rPr>
        <w:t>”). HEC and Company A executed a letter of intent on August 19, 2020. However, during the exclusivity period, HEC and Company A were unable to agree on final transaction terms, including a valuation for Company A, and HEC and Company A mutually agreed to discontinue such discussions.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July 6, 2020, a teleconference organized by J.P. Morgan’s M&amp;A Advisory group was held among members of HEC’s management team (including Douglas L. Braunstein, President and Chairman of the HEC Board and Jonathan Dobres, Chief Financial Officer of HEC) and members of Talkspace’s management team (including Oren Frank, Chief Executive Officer of Talkspace, and Mark Hirschhorn, President, Chief Operating Officer and Chief Financial Officer of Talkspace), at which time the members of Talkspace’s management team presented an overview of Talkspace and its business operations, including summary financial information, views on competitive positioning, market opportunity, drivers of growth for Talkspace, and background on the Talkspace management team, together with a general overview of the behavioral telehealth industry. In addition, members of HEC’s management team discussed the various considerations to take into account when assessing a transaction involving a special purpose acquisition company. At the time of the teleconference, Talkspace determined that it needed time to develop its plans for future growth, and accordingly, HEC and Talkspace did not enter into a non-disclosure agreement at that time. The parties agreed to resume the conversation at a later date as Talkspace continued to execute on its 2020 business plan.</w:t>
      </w:r>
    </w:p>
    <w:p>
      <w:pPr>
        <w:spacing w:after="0" w:line="18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From June 11, 2020 through July 30, 2020, members of HEC’s management team discussed matters relating to HEC’s initial business combination, which often included general discussions regarding the telehealth and behavioral health industry sectors. During such period, HEC’s management viewed Talkspace as a compelling candidate for a potential business combination once Talkspace was ready to entertain such discussions. At the next meeting of the full HEC Board, which occurred on July 30, 2020, directors of the HEC Board further discussed such interest and, following additional discussion regarding the matters relating to a potential business combination with Talkspace and determined that it was an attractive opportunity for the HEC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July 31, 2020, J.P. Morgan’s M&amp;A Advisory group entered into an engagement letter with Talkspace, pursuant to which, J.P. Morgan’s M&amp;A Advisory group agreed, among other things to familiarize itself with the financial condition of Talkspace and to assist Talkspace in its negotiation of the financial aspects of a business combination.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October 20, 2020, HEC entered into a mutual non-disclosure agreement with Talkspace.</w:t>
      </w:r>
    </w:p>
    <w:p>
      <w:pPr>
        <w:spacing w:after="0" w:line="22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On October 22, 2020, Mr. Braunstein, Mr. Frank and Mr. Hirschhorn held a meeting in-person to discuss certain matters relating to Talkspace’s recent financial results, growth projections and strategic direction, as part of HEC’s initial due diligence review of Talkspace.</w:t>
      </w:r>
    </w:p>
    <w:p>
      <w:pPr>
        <w:spacing w:after="0" w:line="146" w:lineRule="exact"/>
        <w:rPr>
          <w:sz w:val="20"/>
          <w:szCs w:val="20"/>
          <w:color w:val="auto"/>
        </w:rPr>
      </w:pPr>
    </w:p>
    <w:p>
      <w:pPr>
        <w:jc w:val="both"/>
        <w:ind w:left="120" w:right="540"/>
        <w:spacing w:after="0" w:line="259" w:lineRule="auto"/>
        <w:rPr>
          <w:sz w:val="20"/>
          <w:szCs w:val="20"/>
          <w:color w:val="auto"/>
        </w:rPr>
      </w:pPr>
      <w:r>
        <w:rPr>
          <w:rFonts w:ascii="Arial" w:cs="Arial" w:eastAsia="Arial" w:hAnsi="Arial"/>
          <w:sz w:val="18"/>
          <w:szCs w:val="18"/>
          <w:color w:val="auto"/>
        </w:rPr>
        <w:t>On October 23, 2020, members of HEC’s informal investment committee (the “</w:t>
      </w:r>
      <w:r>
        <w:rPr>
          <w:rFonts w:ascii="Arial" w:cs="Arial" w:eastAsia="Arial" w:hAnsi="Arial"/>
          <w:sz w:val="18"/>
          <w:szCs w:val="18"/>
          <w:i w:val="1"/>
          <w:iCs w:val="1"/>
          <w:color w:val="auto"/>
        </w:rPr>
        <w:t>Investment Committee</w:t>
      </w:r>
      <w:r>
        <w:rPr>
          <w:rFonts w:ascii="Arial" w:cs="Arial" w:eastAsia="Arial" w:hAnsi="Arial"/>
          <w:sz w:val="18"/>
          <w:szCs w:val="18"/>
          <w:color w:val="auto"/>
        </w:rPr>
        <w:t>”) of HEC, which is comprised of all of the officers of HEC, held a meeting via teleconference to discuss initial process matters relating to ongoing due diligence review of Talkspace and its business operations, the drafting of definitive transaction documentation, and expected timelines to signing a potential business combination with Talkspace.</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October 30, 2020, representatives of Talkspace (including Mr. Frank, Mr. Hirschhorn, Nisim Cohen, the Vice President of Finance and Operations of Talkspace, and Gil Margolin, the Chief Technology Officer of Talkspace) and representatives of the HEC management team conducted an extensive business due diligence call via teleconference.</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On November 5, 2020, members of Talkspace’s management team (including Mr. Hirschhorn and Mr. Cohen) and members of HEC’s management team (including Mr. Braunstein, Mr. Bergeron and Mr. Dobres) held a meeting via teleconference, at which time the parties engaged in a detailed discussion and review of the financial models prepared by HEC’s management team, Talkspace’s business operations and its prospective customer pipeline.</w:t>
      </w:r>
    </w:p>
    <w:p>
      <w:pPr>
        <w:spacing w:after="0" w:line="14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On November 5, 2020 and November 6, 2020, HEC contacted representatives of J.P. Morgan’s M&amp;A Advisory group to discuss the potential business combination, general process matters relating to the potential business combination transaction, additional questions relating to Talkspace’s historical and projected financial information and other related matters.</w:t>
      </w:r>
    </w:p>
    <w:p>
      <w:pPr>
        <w:spacing w:after="0" w:line="184"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On November 6, 2020 and November 9, 2020, HEC and Citigroup Global Markets Inc. (“</w:t>
      </w:r>
      <w:r>
        <w:rPr>
          <w:rFonts w:ascii="Arial" w:cs="Arial" w:eastAsia="Arial" w:hAnsi="Arial"/>
          <w:sz w:val="17"/>
          <w:szCs w:val="17"/>
          <w:i w:val="1"/>
          <w:iCs w:val="1"/>
          <w:color w:val="auto"/>
        </w:rPr>
        <w:t>Citigroup</w:t>
      </w:r>
      <w:r>
        <w:rPr>
          <w:rFonts w:ascii="Arial" w:cs="Arial" w:eastAsia="Arial" w:hAnsi="Arial"/>
          <w:sz w:val="17"/>
          <w:szCs w:val="17"/>
          <w:color w:val="auto"/>
        </w:rPr>
        <w:t>”), in its capacity as placement agent and capital markets advisor to HEC, provided its perspectives on the proposed valuation of Talkspace and an analysis of comparable companies and business segments in analogous markets, which included inputs relevant to determining the valuation and other relevant data points.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November 9, 2020, representatives of HEC e-mailed to representatives of Talkspace an initial bid. On November 10, 2020, representatives of HEC e-mailed to representatives of Talkspace an indication of interest (the “</w:t>
      </w:r>
      <w:r>
        <w:rPr>
          <w:rFonts w:ascii="Arial" w:cs="Arial" w:eastAsia="Arial" w:hAnsi="Arial"/>
          <w:sz w:val="17"/>
          <w:szCs w:val="17"/>
          <w:i w:val="1"/>
          <w:iCs w:val="1"/>
          <w:color w:val="auto"/>
        </w:rPr>
        <w:t>IOI</w:t>
      </w:r>
      <w:r>
        <w:rPr>
          <w:rFonts w:ascii="Arial" w:cs="Arial" w:eastAsia="Arial" w:hAnsi="Arial"/>
          <w:sz w:val="17"/>
          <w:szCs w:val="17"/>
          <w:color w:val="auto"/>
        </w:rPr>
        <w:t>”) reflecting the initial bid (addressed to J.P. Morgan’s M&amp;A Advisory group) in respect of a potential business combination transaction involving Talkspace and HEC. The preliminary term sheet attached to the IOI provided for a total enterprise valuation of Talkspace of $1.3 to $1.5 billion, and certain other terms and considerations with respect to a potential business combination transaction involving HEC and Talkspace, such as HEC’s ability to raise sufficient funds through the PIPE Investment, the composition of the board of directors following a business combination and HEC’s philosophy on management equity incentives. In determining the total enterprise valuation, HEC considered the valuation of Talkspace relative to comparable public companies, future growth prospects, revenue and gross margin, among other considerations. For more information about the factors that HEC considered, please see the section entitled “</w:t>
      </w:r>
      <w:r>
        <w:rPr>
          <w:rFonts w:ascii="Arial" w:cs="Arial" w:eastAsia="Arial" w:hAnsi="Arial"/>
          <w:sz w:val="17"/>
          <w:szCs w:val="17"/>
          <w:i w:val="1"/>
          <w:iCs w:val="1"/>
          <w:color w:val="auto"/>
        </w:rPr>
        <w:t>Proposal No. 1—The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Proposal—HEC’s Board of Directors’ Reasons for Approval of the Transactions</w:t>
      </w:r>
      <w:r>
        <w:rPr>
          <w:rFonts w:ascii="Arial" w:cs="Arial" w:eastAsia="Arial" w:hAnsi="Arial"/>
          <w:sz w:val="17"/>
          <w:szCs w:val="17"/>
          <w:color w:val="auto"/>
        </w:rPr>
        <w:t>.”</w:t>
      </w:r>
    </w:p>
    <w:p>
      <w:pPr>
        <w:spacing w:after="0" w:line="18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Commencing in November and continuing throughout the process, representatives of HEC and Talkspace discussed post-combination slates of directors and officers. Given the experience of the current officers of Talkspace, HEC and Talkspace agreed that each of the current Talkspace officers would remain in their respective capacities following a business combination. In discussing the composition of a board following a business combination, representatives of HEC and Talkspace discussed that the Talkspace founders, representatives of Talkspace’s original investors, and Doug Braunstein, given his expertise in advising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investing in healthcare businesses, would serve on the board following a business combination. Further, they discussed that a diverse group of independent board members who could help the post-combination company in its public transition and drive strategy should be selected. For more information, see “</w:t>
      </w:r>
      <w:r>
        <w:rPr>
          <w:rFonts w:ascii="Arial" w:cs="Arial" w:eastAsia="Arial" w:hAnsi="Arial"/>
          <w:sz w:val="18"/>
          <w:szCs w:val="18"/>
          <w:i w:val="1"/>
          <w:iCs w:val="1"/>
          <w:color w:val="auto"/>
        </w:rPr>
        <w:t>Management of Talkspace, Inc. Following the Business Combination</w:t>
      </w:r>
      <w:r>
        <w:rPr>
          <w:rFonts w:ascii="Arial" w:cs="Arial" w:eastAsia="Arial" w:hAnsi="Arial"/>
          <w:sz w:val="18"/>
          <w:szCs w:val="18"/>
          <w:color w:val="auto"/>
        </w:rPr>
        <w:t>.”</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each of November 4, 9, 10 and 13, 2020, members of the Investment Committee held meetings via teleconference to review the findings of the HEC management team’s due diligence review of Talkspace and its business operations.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16, 2020, representatives of HEC met with representatives of Citigroup to discuss valuation.</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November 17, 2020, representatives of HEC met with representatives of J.P. Morgan’s M&amp;A Advisory group to discuss process matters relating to the proposed business combination.</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November 16, 2020, Mr. Dobres and representatives of HEC’s legal counsel, Milbank LLP (“</w:t>
      </w:r>
      <w:r>
        <w:rPr>
          <w:rFonts w:ascii="Arial" w:cs="Arial" w:eastAsia="Arial" w:hAnsi="Arial"/>
          <w:sz w:val="18"/>
          <w:szCs w:val="18"/>
          <w:i w:val="1"/>
          <w:iCs w:val="1"/>
          <w:color w:val="auto"/>
        </w:rPr>
        <w:t>Milbank</w:t>
      </w:r>
      <w:r>
        <w:rPr>
          <w:rFonts w:ascii="Arial" w:cs="Arial" w:eastAsia="Arial" w:hAnsi="Arial"/>
          <w:sz w:val="18"/>
          <w:szCs w:val="18"/>
          <w:color w:val="auto"/>
        </w:rPr>
        <w:t>”), discussed the terms of the proposed business combination and a draft non-binding letter of intent. On November 18, 2020, Mr. Dobres e-mailed to representatives of Milbank an initial draft of the letter of intent.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November 17, 2020, representatives of HEC held a due diligence meeting via teleconference with Mr. Margolin in respect of Talkspace’s technology.</w:t>
      </w:r>
    </w:p>
    <w:p>
      <w:pPr>
        <w:spacing w:after="0" w:line="24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November 18, 2020, representatives of HEC e-mailed to Mr. Rapkin, Mr. Byhovsky and Mr. Rabinowitz a non-binding letter of intent in respect of a potential business combination transaction involving the parties.</w:t>
      </w:r>
    </w:p>
    <w:p>
      <w:pPr>
        <w:spacing w:after="0" w:line="170"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This initial draft of the non-binding letter of intent included, subject to further due diligence, an estimated pre-transaction enterprise valuation of Talkspace of $1.4 billion (determined by taking into account (i) 30% of the transaction value as rollover equity, (ii) cash consideration to Talkspace stockholders, (iii) cash and cash equivalents held by Talkspace, and (iv) pro-forma cash and cash equivalents to the combined company in connection with the proposed transaction, including the application of (x) up to $414 million of gross proceeds from HEC’s trust account (net of amounts required to satisfy stockholder redemptions and payment of transaction expenses), (y) $250 million in proceeds from the PIPE Investment, to be consummated substantially concurrently with the consummation of the proposed business combination) and (z) $50 million in proceeds from the HEC Forward Purchase to be used as a backstop for redemptions or to the extent that the PIPE Investment was less than $250 million. The initial enterprise valuation with respect to the Talkspace business reflected in this initial draft of the non-binding letter of intent was consistent with HEC’s management’s evaluation of the business.</w:t>
      </w:r>
    </w:p>
    <w:p>
      <w:pPr>
        <w:spacing w:after="0" w:line="181"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On November 19, 2020, representatives of HEC e-mailed to J.P. Morgan’s M&amp;A Advisory group a revised non-binding letter of intent in respect of the potential business combination transaction involving the parties. The non-binding letter of intent included the same terms as those included in the letter of intent dated November 18, 2020 but reflected an increase from $250 million to $275 million in proceeds from the PIPE Investment.</w:t>
      </w:r>
    </w:p>
    <w:p>
      <w:pPr>
        <w:spacing w:after="0" w:line="14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From November 18, 2020 through November 25, 2020, representatives of Talkspace, J.P. Morgan’s M&amp;A Advisory group, Citigroup and HEC discussed various matters relating to the structure of the potential transaction, including board composition of the combined company, the amount of HEC units held by the Sponsor that would be deferred and subject to vesting following the Closing, the ratio of stock and cash consideration and other related matters.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23, 2020, the Investment Committee met to discuss the terms of the non-binding letter of intent.</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Effective as of November 25, 2020, Mr. Braunstein, on behalf of HEC, and Mr. Frank, on behalf of Talkspace, executed a non-binding letter of intent (the “</w:t>
      </w:r>
      <w:r>
        <w:rPr>
          <w:rFonts w:ascii="Arial" w:cs="Arial" w:eastAsia="Arial" w:hAnsi="Arial"/>
          <w:sz w:val="18"/>
          <w:szCs w:val="18"/>
          <w:i w:val="1"/>
          <w:iCs w:val="1"/>
          <w:color w:val="auto"/>
        </w:rPr>
        <w:t>LOI</w:t>
      </w:r>
      <w:r>
        <w:rPr>
          <w:rFonts w:ascii="Arial" w:cs="Arial" w:eastAsia="Arial" w:hAnsi="Arial"/>
          <w:sz w:val="18"/>
          <w:szCs w:val="18"/>
          <w:color w:val="auto"/>
        </w:rPr>
        <w:t>”) regarding a potential business combination transaction involving HEC and Talkspace, which reflected a pre-transaction total enterprise value for Talkspace at $1.4 billion.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LOI contemplated that the Closing would be conditioned on (i) the concurrent consummation of the PIPE Investment with proceeds of</w:t>
      </w:r>
    </w:p>
    <w:p>
      <w:pPr>
        <w:spacing w:after="0" w:line="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$275 million, (ii) the satisfaction of a unilateral closing condition in favor of Talkspace, that HEC hold cash at least equal to $400 million at the Closing, and (iii) other customary closing conditions (including receipt of required consents and approvals from relevant regulatory and/or government authorities for the proposed transaction and the receipt of requisite stockholder approvals). The LOI also provided that the HEC Forward Purchase would act as a backstop of up to $50 million to (a) the PIPE Investment, to the extent that the PIPE Investment was less than $275 million and (b) redemptions by stockholders of HEC.</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LOI, each of Talkspace and HEC agreed to be subject to an exclusivity period from the date of the LOI until January 9, 2021 (the</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Exclusivity Period</w:t>
      </w:r>
      <w:r>
        <w:rPr>
          <w:rFonts w:ascii="Arial" w:cs="Arial" w:eastAsia="Arial" w:hAnsi="Arial"/>
          <w:sz w:val="18"/>
          <w:szCs w:val="18"/>
          <w:color w:val="auto"/>
        </w:rPr>
        <w:t>”). The terms of the Exclusivity Period provided for customary restrictions on HEC and Talkspace prohibiting them from soliciting, initiating, knowingly encouraging or entering into any agreement with third parties in connection with an alternative transaction or business combination during the Exclusivity Period.</w:t>
      </w:r>
    </w:p>
    <w:p>
      <w:pPr>
        <w:spacing w:after="0" w:line="19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November 25 and November 30, 2020, Mr. Dobres and Amy Schulman, a member of the HEC Board, discussed the status of due diligence and next steps for the proposed business combination.</w:t>
      </w:r>
    </w:p>
    <w:p>
      <w:pPr>
        <w:spacing w:after="0" w:line="170"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On November 27, 2020, Mr. Braunstein, Mr. Bergeron, Mr. Dobres and representatives of Milbank discussed the terms of the proposed business combination and transaction timeline.</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On November 27, 2020, representatives of HEC, J.P. Morgan’s M&amp;A Advisory group, J.P. Morgan’s Equity Capital Markets group, Citigroup and Milbank held a “kick-off” call for the PIPE Investment.</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December 1, 2020, representatives of Milbank, on behalf of HEC, and representatives of Latham, on behalf of Talkspace, held a telephone conference call to discuss certain process matters regarding legal due diligence, the preparation of definitive transaction documents, the PIPE Investment and related work streams.</w:t>
      </w:r>
    </w:p>
    <w:p>
      <w:pPr>
        <w:spacing w:after="0" w:line="18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Also on December 1, 2020, representatives of Milbank were provided with access to a virtual data room of Talkspace and began conducting legal due diligence review of certain of the materials contained therein, including information and documents relating to: governance matters, recent acquisition transactions, third party arrangements with customers and suppliers, intellectual property owned or used by Talkspace, real property, litigation employee compensation and benefits, labor and employment matters, environmental matters and other regulatory and compliance matters. Representatives of KPMG LLP (“</w:t>
      </w:r>
      <w:r>
        <w:rPr>
          <w:rFonts w:ascii="Arial" w:cs="Arial" w:eastAsia="Arial" w:hAnsi="Arial"/>
          <w:sz w:val="17"/>
          <w:szCs w:val="17"/>
          <w:i w:val="1"/>
          <w:iCs w:val="1"/>
          <w:color w:val="auto"/>
        </w:rPr>
        <w:t>KPMG</w:t>
      </w:r>
      <w:r>
        <w:rPr>
          <w:rFonts w:ascii="Arial" w:cs="Arial" w:eastAsia="Arial" w:hAnsi="Arial"/>
          <w:sz w:val="17"/>
          <w:szCs w:val="17"/>
          <w:color w:val="auto"/>
        </w:rPr>
        <w:t>”) were subsequently engaged by HEC to perform financial due diligence review of Talkspace and its business operations and to conduct a quality of earnings of Talkspace (the “</w:t>
      </w:r>
      <w:r>
        <w:rPr>
          <w:rFonts w:ascii="Arial" w:cs="Arial" w:eastAsia="Arial" w:hAnsi="Arial"/>
          <w:sz w:val="17"/>
          <w:szCs w:val="17"/>
          <w:i w:val="1"/>
          <w:iCs w:val="1"/>
          <w:color w:val="auto"/>
        </w:rPr>
        <w:t>QofE</w:t>
      </w:r>
      <w:r>
        <w:rPr>
          <w:rFonts w:ascii="Arial" w:cs="Arial" w:eastAsia="Arial" w:hAnsi="Arial"/>
          <w:sz w:val="17"/>
          <w:szCs w:val="17"/>
          <w:color w:val="auto"/>
        </w:rPr>
        <w:t>”).</w:t>
      </w:r>
    </w:p>
    <w:p>
      <w:pPr>
        <w:spacing w:after="0" w:line="1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Also on December 1, 2020, Mr. Braunstein and Mr. Frank held a meeting to discuss process and strategic considerations with respect to the upcoming PIPE Investment.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From December 7, 2020, through January 8, 2021, representatives of HEC conducted daily status calls regarding the PIPE Investment. Representatives of Talkspace and its legal counsel, Latham &amp; Watkins LLP (“</w:t>
      </w:r>
      <w:r>
        <w:rPr>
          <w:rFonts w:ascii="Arial" w:cs="Arial" w:eastAsia="Arial" w:hAnsi="Arial"/>
          <w:sz w:val="18"/>
          <w:szCs w:val="18"/>
          <w:i w:val="1"/>
          <w:iCs w:val="1"/>
          <w:color w:val="auto"/>
        </w:rPr>
        <w:t>Latham</w:t>
      </w:r>
      <w:r>
        <w:rPr>
          <w:rFonts w:ascii="Arial" w:cs="Arial" w:eastAsia="Arial" w:hAnsi="Arial"/>
          <w:sz w:val="18"/>
          <w:szCs w:val="18"/>
          <w:color w:val="auto"/>
        </w:rPr>
        <w:t>”), participated in these daily status calls.</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On December 7, 2020, representatives of Latham, on behalf of Talkspace, e-mailed to representatives of Milbank, on behalf of HEC, initial drafts of the Sponsor Support Agreement. Pursuant to the draft Sponsor Support Agreement to be entered into by Talkspace, HEC, and the HEC Insiders, the HEC Insiders each would agree to (i) vote in favor their shares in favor of the Merger Agreement and the Transactions and the other Condition Precedent Proposals included in the accompanying proxy statement/prospectus, (ii) not transfer their shares of HEC’s common stock and warrants (including the shares of HEC’s common stock issuable upon exercise thereof) held by each HEC Insider immediately following the Closing for a period of 180 days following the Closing Date, subject to certain exceptions and (iii) certain provisions of their shares of HEC’s common stock. Over the course of the following several weeks, the parties continued to negotiate the terms of the Sponsor Support Agreement, exchanging multiple drafts before an agreed final version of the Sponsor Support Agreement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was executed by the parties thereto on January 12, 2021. See the section entitled “</w:t>
      </w:r>
      <w:r>
        <w:rPr>
          <w:rFonts w:ascii="Arial" w:cs="Arial" w:eastAsia="Arial" w:hAnsi="Arial"/>
          <w:sz w:val="18"/>
          <w:szCs w:val="18"/>
          <w:i w:val="1"/>
          <w:iCs w:val="1"/>
          <w:color w:val="auto"/>
        </w:rPr>
        <w:t>Proposal No. 1 - The 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Agreements—Sponsor Support Agreement</w:t>
      </w:r>
      <w:r>
        <w:rPr>
          <w:rFonts w:ascii="Arial" w:cs="Arial" w:eastAsia="Arial" w:hAnsi="Arial"/>
          <w:sz w:val="18"/>
          <w:szCs w:val="18"/>
          <w:color w:val="auto"/>
        </w:rPr>
        <w:t>” for additional information.</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December 7, 2020, representatives of Latham, on behalf of Talkspace, e-mailed to representatives of Milbank, on behalf of HEC, initial drafts of the forms of certificate of incorporation and bylaws for the combined company to be adopted by HEC in connection with the consummation of the proposed business combination, the terms of which the parties continued to negotiate, exchanging multiple drafts prior to the execution of the Merger Agreement on January 12, 2021, to which the agreed forms of certificate of incorporation and Proposed Bylaws were attached as exhibits. See the section entitled “</w:t>
      </w:r>
      <w:r>
        <w:rPr>
          <w:rFonts w:ascii="Arial" w:cs="Arial" w:eastAsia="Arial" w:hAnsi="Arial"/>
          <w:sz w:val="18"/>
          <w:szCs w:val="18"/>
          <w:i w:val="1"/>
          <w:iCs w:val="1"/>
          <w:color w:val="auto"/>
        </w:rPr>
        <w:t>Organizational Documents Proposals</w:t>
      </w:r>
      <w:r>
        <w:rPr>
          <w:rFonts w:ascii="Arial" w:cs="Arial" w:eastAsia="Arial" w:hAnsi="Arial"/>
          <w:sz w:val="18"/>
          <w:szCs w:val="18"/>
          <w:color w:val="auto"/>
        </w:rPr>
        <w:t>” for additional information.</w:t>
      </w:r>
    </w:p>
    <w:p>
      <w:pPr>
        <w:spacing w:after="0" w:line="188"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During the following six weeks, representatives of Milbank and KPMG, on behalf of HEC, and representatives of Latham and Talkspace management, as applicable, on behalf of Talkspace, had additional conversations and e-mail exchanges regarding follow-up questions and requests arising from matters discussed. As part of HEC’s extensive due diligence review, members of HEC’s management team, representatives of Milbank, on behalf of HEC, representatives of Latham, on behalf of Talkspace, representatives of Husch Blackwell LLP, in their capacity as healthcare regulatory counsel to Talkspace, and members of Talkspace’s management team, held a conference call on January 6, 2021, to discuss matters relating to regulatory considerations and corporate structuring.</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Beginning on December 1, 2020, representatives of Citigroup and J.P. Morgan’s Equity Capital Markets group, on behalf of HEC, began contacting a limited number of potential PIPE Investors, each of whom agreed to maintain the confidentiality of the information received pursuant to customary non-disclosure agreements, to discuss Talkspace, the proposed business combination and the PIPE Investment and to determine such investors’ potential interest in participating in the PIPE Investment.</w:t>
      </w:r>
    </w:p>
    <w:p>
      <w:pPr>
        <w:spacing w:after="0" w:line="18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Beginning on December 7, 2020 and until January 5, 2021 (other than the period from December 24, 2020 through January 3, 2021), representatives of HEC, Talkspace, J.P. Morgan’s Equity Capital Markets group and Citigroup participated in various virtual meetings with prospective participants in the PIPE Investment. During this period of time, after a draft form of the Subscription Agreement had been provided to the prospective PIPE Investors, the terms of the form of Subscription Agreement, including with respect to conditions to closing and registration rights, were further negotiated between representatives of Latham and Milbank, on behalf of their respective clients, and representatives of the PIPE Investors by their respective advisors, and multiple drafts of the Subscription Agreements were exchanged prior to the execution of the agreed form of Subscription Agreement by the parties thereto on January 12, 2021. See the section entitled “</w:t>
      </w:r>
      <w:r>
        <w:rPr>
          <w:rFonts w:ascii="Arial" w:cs="Arial" w:eastAsia="Arial" w:hAnsi="Arial"/>
          <w:sz w:val="17"/>
          <w:szCs w:val="17"/>
          <w:i w:val="1"/>
          <w:iCs w:val="1"/>
          <w:color w:val="auto"/>
        </w:rPr>
        <w:t>Proposal No. 1—The Business Combination Proposal—Related Agreements—Subscription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for additional information.</w:t>
      </w:r>
    </w:p>
    <w:p>
      <w:pPr>
        <w:spacing w:after="0" w:line="178"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On December 13, 2020, KPMG conducted an initial meeting via teleconference with certain members of Talkspace’s management team. During the period between December 13, 2020, and January 9, 2020, KPMG conducted several other meetings with certain members of Talkspace’s management team and Talkspace’s auditors, Kost Forer Gabbay &amp; Kasierer, a member of Ernst &amp; Young Global.</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December 14, 2020, representatives of Milbank, on behalf of HEC, e-mailed to representatives of Latham, on behalf of Talkspace, an initial draft of the Merger Agreement based on the terms of the LOI, as updated by subsequent discussions. Certain matters, including with respect to transaction structure, mechanics relating to the treatment in connection with the Mergers of certain of Talkspace’s outstanding securities (such as the Talkspace Options and the shares of Talkspace common stock underlying such Talkspace Options), restrictions on the conduct of Talkspace’s business between signing and closing, obligations of the parties with respect to required approvals and preparation and submission of required filings, certain conditions to closing and termination rights of the parties, and certain other terms and conditions, the details of which were not fully addressed in the LOI, required additional negotiation by the parties through exchange of subsequent drafts of the Merger Agreement.</w:t>
      </w:r>
    </w:p>
    <w:p>
      <w:pPr>
        <w:spacing w:after="0" w:line="17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December 18, 2020, representatives of Latham, on behalf of Talkspace, e-mailed to representatives of Milbank, on behalf of HEC, a revised draft of the Merger Agreement and from December 28, 2020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January 8, 2021, representatives of Milbank and Latham continued to negotiate the terms of the Merger Agreement, exchanging multiple drafts thereof. The principal terms being negotiated during such time related to, among other things, (i) the calculation of the Closing Share Consideration and the Closing Share Consideration, (ii) the treatment of outstanding options of Talkspace, (iii) appointment of directors and officers of the combined company,</w:t>
      </w:r>
    </w:p>
    <w:p>
      <w:pPr>
        <w:spacing w:after="0" w:line="2" w:lineRule="exact"/>
        <w:rPr>
          <w:sz w:val="20"/>
          <w:szCs w:val="20"/>
          <w:color w:val="auto"/>
        </w:rPr>
      </w:pPr>
    </w:p>
    <w:p>
      <w:pPr>
        <w:ind w:left="120" w:right="40" w:hanging="4"/>
        <w:spacing w:after="0" w:line="260" w:lineRule="auto"/>
        <w:tabs>
          <w:tab w:leader="none" w:pos="42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treatment of transaction expenses of the parties, (v) covenants related to obtaining the requisite stockholder approval, and (vi) the outside date of the Transactions.</w:t>
      </w:r>
    </w:p>
    <w:p>
      <w:pPr>
        <w:spacing w:after="0" w:line="18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December 22, 2020, representatives of Latham, on behalf of Talkspace, e-mailed to representatives of Milbank, on behalf of HEC, an initial draft of the Talkspace Holders Support Agreement, pursuant to which, among other things, certain stockholders of Talkspace (collectively representing at least a majority of the outstanding voting power of Talkspace common stock and each series of Talkspace preferred stock on an as converted basis) would agree to, among other things, execute and deliver a written consent to adopt the Merger Agreement and related agreements and to approve the business combination, pursuant to the terms and subject to the conditions set forth therein. During the following three weeks, the parties continued to negotiate the terms of the Talkspace Holders Support Agreement, exchanging multiple drafts before an agreed final version of the Talkspace Holders Support Agreement was executed by the parties thereto on January 12, 2021.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Agreements—Subscription Agreements</w:t>
      </w:r>
      <w:r>
        <w:rPr>
          <w:rFonts w:ascii="Arial" w:cs="Arial" w:eastAsia="Arial" w:hAnsi="Arial"/>
          <w:sz w:val="17"/>
          <w:szCs w:val="17"/>
          <w:color w:val="auto"/>
        </w:rPr>
        <w:t>” for additional information.</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December 26, 2020, Douglas Bergeron, Chief Executive Officer of HEC, Mr. Dobres and Mr. Hirschhorn held a meeting in person in White Plains, New York to discuss the status of the PIPE Investment and other matters relating to the potential business combination.</w:t>
      </w:r>
    </w:p>
    <w:p>
      <w:pPr>
        <w:spacing w:after="0" w:line="170"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On January 10, 2021, HEC, J.P. Morgan’s Equity Capital Markets group, and Citigroup executed an engagement letter (the “</w:t>
      </w:r>
      <w:r>
        <w:rPr>
          <w:rFonts w:ascii="Arial" w:cs="Arial" w:eastAsia="Arial" w:hAnsi="Arial"/>
          <w:sz w:val="18"/>
          <w:szCs w:val="18"/>
          <w:i w:val="1"/>
          <w:iCs w:val="1"/>
          <w:color w:val="auto"/>
        </w:rPr>
        <w:t>Engagement Letter</w:t>
      </w:r>
      <w:r>
        <w:rPr>
          <w:rFonts w:ascii="Arial" w:cs="Arial" w:eastAsia="Arial" w:hAnsi="Arial"/>
          <w:sz w:val="18"/>
          <w:szCs w:val="18"/>
          <w:color w:val="auto"/>
        </w:rPr>
        <w:t>”), effective as of November 27, 2020, pursuant to which J.P. Morgan’s Equity Capital Markets group and Citigroup formally agreed to serve as HEC’s placement agents and capital markets advisors.</w:t>
      </w:r>
    </w:p>
    <w:p>
      <w:pPr>
        <w:spacing w:after="0" w:line="18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On January 10, 2021, as a result of an oversubscription to the PIPE Investment, HEC and Talkspace agreed to increase the amount of the PIPE Investment from $275 million to $300 million. In connection with such increase, HEC and Talkspace agreed to amend the HEC Forward Purchase Agreement to provide (i) for the purchase by HEC Fund of 2,500,000 HEC units, consisting of one share of HEC’s Class A common stock and one-half of one warrant to purchase one share of HEC’s Class A common stock, for $10.00 per unit, or an aggregate amount of $25,000,000, in a private placement that will close concurrently with the Closing, and (ii) for the purchase by HEC Fund of up to 2,500,000 HEC units to backstop up to $25,000,000 of redemptions by stockholders of HEC.</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January 10, 2021, representatives of Milbank, on behalf of HEC, e-mailed to representatives of Latham, on behalf of Talkspace, an initial draft of an amendment to the HEC Forward Purchase Agreement. Over the course of the following days, the parties continued to negotiate the terms of the HEC Forward Purchase Agreement, exchanging multiple drafts before an agreed final version of the HEC Forward Purchase Agreement was executed by the parties thereto on January 12, 2021. See the section entitled “</w:t>
      </w:r>
      <w:r>
        <w:rPr>
          <w:rFonts w:ascii="Arial" w:cs="Arial" w:eastAsia="Arial" w:hAnsi="Arial"/>
          <w:sz w:val="18"/>
          <w:szCs w:val="18"/>
          <w:i w:val="1"/>
          <w:iCs w:val="1"/>
          <w:color w:val="auto"/>
        </w:rPr>
        <w:t>Proposal No. 1—The Business Combination Proposal—Related Agreements—HEC</w:t>
      </w:r>
      <w:r>
        <w:rPr>
          <w:rFonts w:ascii="Arial" w:cs="Arial" w:eastAsia="Arial" w:hAnsi="Arial"/>
          <w:sz w:val="18"/>
          <w:szCs w:val="18"/>
          <w:color w:val="auto"/>
        </w:rPr>
        <w:t xml:space="preserve"> </w:t>
      </w:r>
      <w:r>
        <w:rPr>
          <w:rFonts w:ascii="Arial" w:cs="Arial" w:eastAsia="Arial" w:hAnsi="Arial"/>
          <w:sz w:val="18"/>
          <w:szCs w:val="18"/>
          <w:i w:val="1"/>
          <w:iCs w:val="1"/>
          <w:color w:val="auto"/>
        </w:rPr>
        <w:t>Forward Purchase Agreement</w:t>
      </w:r>
      <w:r>
        <w:rPr>
          <w:rFonts w:ascii="Arial" w:cs="Arial" w:eastAsia="Arial" w:hAnsi="Arial"/>
          <w:sz w:val="18"/>
          <w:szCs w:val="18"/>
          <w:color w:val="auto"/>
        </w:rPr>
        <w:t>” for additional information.</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January 9, 2021, representatives of Milbank, on behalf of HEC, and representatives of Latham, on behalf of Talkspace, held a conference call to discuss, among other things, the outstanding issues in the Merger Agreement, including the ability to provide each holder of Talkspace stock and Vested Talkspace Options the right to elect to receive a number of shares of HEC’s common stock or a combination of shares of HEC’s common stock and cash. See the section entitled “</w:t>
      </w:r>
      <w:r>
        <w:rPr>
          <w:rFonts w:ascii="Arial" w:cs="Arial" w:eastAsia="Arial" w:hAnsi="Arial"/>
          <w:sz w:val="17"/>
          <w:szCs w:val="17"/>
          <w:i w:val="1"/>
          <w:iCs w:val="1"/>
          <w:color w:val="auto"/>
        </w:rPr>
        <w:t>Proposal No. 1—The Business Combination Proposal—Certain Agreements Related to the Business Combination—Merger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 Election</w:t>
      </w:r>
      <w:r>
        <w:rPr>
          <w:rFonts w:ascii="Arial" w:cs="Arial" w:eastAsia="Arial" w:hAnsi="Arial"/>
          <w:sz w:val="17"/>
          <w:szCs w:val="17"/>
          <w:color w:val="auto"/>
        </w:rPr>
        <w:t>” for additional information.</w:t>
      </w:r>
    </w:p>
    <w:p>
      <w:pPr>
        <w:spacing w:after="0" w:line="1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January 9, 2020, members of HEC’s management team held a meeting via teleconference with representatives of KPMG to review and discuss the results of the QofE prepared by KPMG.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On January 11, 2021, the HEC Board held a meeting via videoconference and representatives of Milbank joined the meeting. At the meeting, members of HEC’s management team provided an overview of the proposed business combination with Talkspace as the proposed business combination target and updated the HEC Board regarding the final negotiations of the terms of the proposed business combination. Members of the HEC Board, with the assistance of Milbank, discussed and reviewed the proposed business combination, including Talkspace as the proposed business combination target, the terms and conditions of the Merger Agreement and the key ancillary agreements, the potential benefits of, and risks relating to the proposed business combination and the reasons for entering into the Merger Agreement and the proposed timeline for finalizing the definitive transaction agreements and announcing the proposed business combination. See the section entitled “</w:t>
      </w:r>
      <w:r>
        <w:rPr>
          <w:rFonts w:ascii="Arial" w:cs="Arial" w:eastAsia="Arial" w:hAnsi="Arial"/>
          <w:sz w:val="16"/>
          <w:szCs w:val="16"/>
          <w:i w:val="1"/>
          <w:iCs w:val="1"/>
          <w:color w:val="auto"/>
        </w:rPr>
        <w:t>Proposal No. 1—The Business Combination Proposal—The HEC Board’s</w:t>
      </w:r>
      <w:r>
        <w:rPr>
          <w:rFonts w:ascii="Arial" w:cs="Arial" w:eastAsia="Arial" w:hAnsi="Arial"/>
          <w:sz w:val="16"/>
          <w:szCs w:val="16"/>
          <w:color w:val="auto"/>
        </w:rPr>
        <w:t xml:space="preserve"> </w:t>
      </w:r>
      <w:r>
        <w:rPr>
          <w:rFonts w:ascii="Arial" w:cs="Arial" w:eastAsia="Arial" w:hAnsi="Arial"/>
          <w:sz w:val="16"/>
          <w:szCs w:val="16"/>
          <w:i w:val="1"/>
          <w:iCs w:val="1"/>
          <w:color w:val="auto"/>
        </w:rPr>
        <w:t>Reasons for the Approval of the Transactions</w:t>
      </w:r>
      <w:r>
        <w:rPr>
          <w:rFonts w:ascii="Arial" w:cs="Arial" w:eastAsia="Arial" w:hAnsi="Arial"/>
          <w:sz w:val="16"/>
          <w:szCs w:val="16"/>
          <w:color w:val="auto"/>
        </w:rPr>
        <w:t>” for additional information related to the factors considered by the HEC Board in approving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additional discussion on these and related matters, the HEC Board unanimously determined, among other things, that the business combination proposal is in the best interests of HEC and its stockholders and recommended that its shareholders vote “FOR” the proposal.</w:t>
      </w:r>
    </w:p>
    <w:p>
      <w:pPr>
        <w:spacing w:after="0" w:line="16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On January 11, 2021, a news article was posted on the Bloomberg.com website stating that Talkspace and HEC were in the advanced stages of negotiating a potential business combination transaction.</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On January 12, 2021, the board of directors of Talkspace (the “</w:t>
      </w:r>
      <w:r>
        <w:rPr>
          <w:rFonts w:ascii="Arial" w:cs="Arial" w:eastAsia="Arial" w:hAnsi="Arial"/>
          <w:sz w:val="17"/>
          <w:szCs w:val="17"/>
          <w:i w:val="1"/>
          <w:iCs w:val="1"/>
          <w:color w:val="auto"/>
        </w:rPr>
        <w:t>Talkspace Board</w:t>
      </w:r>
      <w:r>
        <w:rPr>
          <w:rFonts w:ascii="Arial" w:cs="Arial" w:eastAsia="Arial" w:hAnsi="Arial"/>
          <w:sz w:val="17"/>
          <w:szCs w:val="17"/>
          <w:color w:val="auto"/>
        </w:rPr>
        <w:t>”), with representatives of Latham and J.P. Morgan’s M&amp;A Advisory group present, met telephonically to discuss the business combination, including a detailed discussion of the forms of the transaction documents. The Talkspace Board reviewed the proposed terms of the transaction agreements that had been negotiated with HEC and its representatives. Following presentations by Latham and J.P. Morgan’s M&amp;A Advisory group to the Talkspace Board and additional discussion on related matters concerning the proposed business combination, the Talkspace Board unanimously approved the transaction documents, subject to final negotiations and modifications, and determined to recommend the approval of the transaction documents to its stockholders.</w:t>
      </w:r>
    </w:p>
    <w:p>
      <w:pPr>
        <w:spacing w:after="0" w:line="178"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On January 12, 2021, the parties finalized the transaction documents (or forms thereof) with respect to the proposed business combination based on the terms agreed upon by the parties and approved by their respective boards of directors, including the Talkspace Holders Support Agreement, the Sponsor Support Agreement, the Subscription Agreements with each of the PIPE Investors, and the Merger Agreement and the exhibits thereto.</w:t>
      </w:r>
    </w:p>
    <w:p>
      <w:pPr>
        <w:spacing w:after="0" w:line="14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January 12, 2021, HEC, Talkspace, Merger Sub I and Merger Sub II executed the Merger Agreement. Concurrent with the execution of the Merger Agreement, HEC also entered into the Talkspace Holders Support Agreement, the Sponsor Support Agreement and the Subscription Agreements, in each case, with the applicable other parties thereto. See “</w:t>
      </w:r>
      <w:r>
        <w:rPr>
          <w:rFonts w:ascii="Arial" w:cs="Arial" w:eastAsia="Arial" w:hAnsi="Arial"/>
          <w:sz w:val="18"/>
          <w:szCs w:val="18"/>
          <w:i w:val="1"/>
          <w:iCs w:val="1"/>
          <w:color w:val="auto"/>
        </w:rPr>
        <w:t>Proposal No. 1—The Business Combination Proposal—Related Agreements</w:t>
      </w:r>
      <w:r>
        <w:rPr>
          <w:rFonts w:ascii="Arial" w:cs="Arial" w:eastAsia="Arial" w:hAnsi="Arial"/>
          <w:sz w:val="18"/>
          <w:szCs w:val="18"/>
          <w:color w:val="auto"/>
        </w:rPr>
        <w:t>” for additional information.</w:t>
      </w:r>
    </w:p>
    <w:p>
      <w:pPr>
        <w:spacing w:after="0" w:line="18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On January 13, 2021, HEC and Talkspace issued a joint press release announcing the execution of the Merger Agreement, which HEC filed with a Current Report on Form 8-K along with two investor presentations prepared by members of HEC’s and Talkspace’s management teams and used in connection with meetings with existing HEC stockholders and other persons regarding Talkspace and the business combination. HEC also filed with the Current Report on Form 8-K the executed Merger Agreement, the executed Talkspace Holders Support Agreement, the executed Sponsor Support Agreement and the form of Subscription Agreement that was executed by the PIPE Investors.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HEC’s Board of Directors’ Reasons for Approval of the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HEC Board, in evaluating the Transactions, consulted with HEC’s management and leading consulting, legal and financial advisors. In unanimously</w:t>
      </w:r>
    </w:p>
    <w:p>
      <w:pPr>
        <w:spacing w:after="0" w:line="46" w:lineRule="exact"/>
        <w:rPr>
          <w:sz w:val="20"/>
          <w:szCs w:val="20"/>
          <w:color w:val="auto"/>
        </w:rPr>
      </w:pPr>
    </w:p>
    <w:p>
      <w:pPr>
        <w:ind w:left="120" w:right="120" w:hanging="4"/>
        <w:spacing w:after="0" w:line="281" w:lineRule="auto"/>
        <w:tabs>
          <w:tab w:leader="none" w:pos="33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resolving that it is in the best interests of HEC and its stockholders, and declared it advisable, to enter into the Merger Agreement, (ii) approving the Merger Agreement and the Transactions, including the business combination, on the terms and subject to the conditions of the Merger Agreement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adopting a resolution recommending the business combination be adopted by HEC’s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stockholders, the HEC Board considered and evaluated a number of factors, including the factors discussed below. The HEC Board did not consider it practicable to, and did not attempt to, quantify or otherwise assign relative weights to the specific factors it considered in reaching its determination. The HEC Board viewed its decision as being based on all of the information available and the factors presented to and considered by it. In addition, individual directors may have given different weight to different factors. This explanation of HEC’s reasons for the Transactions and all other information presented in this section is forward-looking in nature and, therefore, should be read in light of the factors discussed under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w:t>
      </w:r>
    </w:p>
    <w:p>
      <w:pPr>
        <w:spacing w:after="0" w:line="192"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HEC Board considered a number of factors pertaining to the Transactions as generally supporting its decision to enter into the Merger Agreement and the related agreements and the transactions contemplated thereby, including but not limited to, the following material factors:</w:t>
      </w:r>
    </w:p>
    <w:p>
      <w:pPr>
        <w:spacing w:after="0" w:line="52" w:lineRule="exact"/>
        <w:rPr>
          <w:sz w:val="20"/>
          <w:szCs w:val="20"/>
          <w:color w:val="auto"/>
        </w:rPr>
      </w:pPr>
    </w:p>
    <w:p>
      <w:pPr>
        <w:ind w:left="540" w:right="240" w:hanging="316"/>
        <w:spacing w:after="0" w:line="31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Valuation. </w:t>
      </w:r>
      <w:r>
        <w:rPr>
          <w:rFonts w:ascii="Arial" w:cs="Arial" w:eastAsia="Arial" w:hAnsi="Arial"/>
          <w:sz w:val="16"/>
          <w:szCs w:val="16"/>
          <w:color w:val="auto"/>
        </w:rPr>
        <w:t>As more fully described under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Comparable Company Analysis</w:t>
      </w:r>
      <w:r>
        <w:rPr>
          <w:rFonts w:ascii="Arial" w:cs="Arial" w:eastAsia="Arial" w:hAnsi="Arial"/>
          <w:sz w:val="16"/>
          <w:szCs w:val="16"/>
          <w:color w:val="auto"/>
        </w:rPr>
        <w:t>”, the purchase price values Talkspace at a discount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comparable companies with respect to Talkspace’s pro forma implied estimated revenue (for 2021E and 2022E), estimated gross profit (for 2021E and 2022E), actual revenue and estimated revenue compound annual growth rate (from 2019A through 2023E).</w:t>
      </w:r>
    </w:p>
    <w:p>
      <w:pPr>
        <w:spacing w:after="0" w:line="54" w:lineRule="exact"/>
        <w:rPr>
          <w:rFonts w:ascii="Arial" w:cs="Arial" w:eastAsia="Arial" w:hAnsi="Arial"/>
          <w:sz w:val="16"/>
          <w:szCs w:val="16"/>
          <w:color w:val="auto"/>
        </w:rPr>
      </w:pPr>
    </w:p>
    <w:p>
      <w:pPr>
        <w:ind w:left="540" w:hanging="316"/>
        <w:spacing w:after="0" w:line="259"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Reasonableness of Aggregate Consideration. </w:t>
      </w:r>
      <w:r>
        <w:rPr>
          <w:rFonts w:ascii="Arial" w:cs="Arial" w:eastAsia="Arial" w:hAnsi="Arial"/>
          <w:sz w:val="18"/>
          <w:szCs w:val="18"/>
          <w:color w:val="auto"/>
        </w:rPr>
        <w:t>Following a review of the financial data provided to HEC, including Talkspace’s historical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and certain unaudited prospective financial information, as well as HEC’s due diligence review of the Talkspace business and the views of HEC’s financial and other advisors, the HEC Board considered the aggregate consideration to be paid and determined that the aggregate consideration was reasonable in light of such data and financial information.</w:t>
      </w:r>
    </w:p>
    <w:p>
      <w:pPr>
        <w:spacing w:after="0" w:line="92" w:lineRule="exact"/>
        <w:rPr>
          <w:rFonts w:ascii="Arial" w:cs="Arial" w:eastAsia="Arial" w:hAnsi="Arial"/>
          <w:sz w:val="18"/>
          <w:szCs w:val="18"/>
          <w:color w:val="auto"/>
        </w:rPr>
      </w:pPr>
    </w:p>
    <w:p>
      <w:pPr>
        <w:ind w:left="540" w:right="40" w:hanging="316"/>
        <w:spacing w:after="0" w:line="293"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Business and Financial Condition and Prospects</w:t>
      </w:r>
      <w:r>
        <w:rPr>
          <w:rFonts w:ascii="Arial" w:cs="Arial" w:eastAsia="Arial" w:hAnsi="Arial"/>
          <w:sz w:val="16"/>
          <w:szCs w:val="16"/>
          <w:color w:val="auto"/>
        </w:rPr>
        <w:t>. After conducting extensive due diligence, along with their familiarity with Talkspace’s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from prior commercial experiences, the HEC Board and HEC management had knowledge of, and were familiar with, Talkspace’s business, financial condition, results of operations and future growth prospects. The HEC Board considered the results of the due diligence review of Talkspace’s business, including its comprehensive and diverse data, intellectual property and network assets, its payor customers, its ability to enhance, extend and expand its platform, the potential impact of COVID-19 on its business, as well as the legal due diligence performed by Milbank LLP, the quality of earnings prepared by KPMG LLP and the financial due diligence conducted by HEC’s management.</w:t>
      </w:r>
    </w:p>
    <w:p>
      <w:pPr>
        <w:spacing w:after="0" w:line="65" w:lineRule="exact"/>
        <w:rPr>
          <w:rFonts w:ascii="Arial" w:cs="Arial" w:eastAsia="Arial" w:hAnsi="Arial"/>
          <w:sz w:val="16"/>
          <w:szCs w:val="16"/>
          <w:color w:val="auto"/>
        </w:rPr>
      </w:pPr>
    </w:p>
    <w:p>
      <w:pPr>
        <w:ind w:left="540" w:right="160" w:hanging="316"/>
        <w:spacing w:after="0" w:line="298"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Talkspace’s Large and Growing Addressable Market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total addressable market for behavioral health is large. More than 70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Americans suffer from mental illness, spread across all ethnic, socio-economic and age ranges. 17 million adults in the United States have had at least one major depressive episode in the past year. The annual suicide rate in the United States has increased by 30% since 2001. $4.6 billion is spent annually in the United States on uncessary emergency room visits for mental illness. HEC’s management believes the true global total addressable market will increase from approximately $480 billion in 2019 to approximately $588 billion in 2025.</w:t>
      </w:r>
    </w:p>
    <w:p>
      <w:pPr>
        <w:spacing w:after="0" w:line="63" w:lineRule="exact"/>
        <w:rPr>
          <w:rFonts w:ascii="Arial" w:cs="Arial" w:eastAsia="Arial" w:hAnsi="Arial"/>
          <w:sz w:val="16"/>
          <w:szCs w:val="16"/>
          <w:color w:val="auto"/>
        </w:rPr>
      </w:pPr>
    </w:p>
    <w:p>
      <w:pPr>
        <w:ind w:left="540" w:right="80" w:hanging="316"/>
        <w:spacing w:after="0" w:line="259"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Talkspace’s Growing Customer Base</w:t>
      </w:r>
      <w:r>
        <w:rPr>
          <w:rFonts w:ascii="Arial" w:cs="Arial" w:eastAsia="Arial" w:hAnsi="Arial"/>
          <w:sz w:val="18"/>
          <w:szCs w:val="18"/>
          <w:color w:val="auto"/>
        </w:rPr>
        <w:t>. HEC and Talkspace forecasted that the number of total business to customer subscribers will increase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19,851 in 2019, to 31, 214 in 2020, 46,259 in 2021, 71,001 in 2022 and 85,829 in 2023. HEC and Talkspace additionally forecasted that the number of total business to business eligible lives will increase from 6,725,000 in 2019, to 39,285,000 in 2020, 65,341,000 in 2021, 129,093,000 in 2022 and 174,218,000 in 2023.</w:t>
      </w:r>
    </w:p>
    <w:p>
      <w:pPr>
        <w:spacing w:after="0" w:line="92"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Post-Combination Board of Directors</w:t>
      </w:r>
      <w:r>
        <w:rPr>
          <w:rFonts w:ascii="Arial" w:cs="Arial" w:eastAsia="Arial" w:hAnsi="Arial"/>
          <w:sz w:val="18"/>
          <w:szCs w:val="18"/>
          <w:color w:val="auto"/>
        </w:rPr>
        <w:t>. The HEC Board considered the fact that the board of directors of Talkspace, Inc. would be a balanced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board of directors (rather than one controlled by the former stockholders of Talkspace).</w:t>
      </w:r>
    </w:p>
    <w:p>
      <w:pPr>
        <w:spacing w:after="0" w:line="75" w:lineRule="exact"/>
        <w:rPr>
          <w:rFonts w:ascii="Arial" w:cs="Arial" w:eastAsia="Arial" w:hAnsi="Arial"/>
          <w:sz w:val="18"/>
          <w:szCs w:val="18"/>
          <w:color w:val="auto"/>
        </w:rPr>
      </w:pPr>
    </w:p>
    <w:p>
      <w:pPr>
        <w:ind w:left="540" w:right="20" w:hanging="316"/>
        <w:spacing w:after="0" w:line="31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Liquidity Needs</w:t>
      </w:r>
      <w:r>
        <w:rPr>
          <w:rFonts w:ascii="Arial" w:cs="Arial" w:eastAsia="Arial" w:hAnsi="Arial"/>
          <w:sz w:val="16"/>
          <w:szCs w:val="16"/>
          <w:color w:val="auto"/>
        </w:rPr>
        <w:t>. The HEC Board considered the risk that the current public stockholders of HEC would convert their public shares for cash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Transactions, thereby reducing the amount of cash available to HEC following the Transactions. The HEC Board determined that the PIPE Investment and the other Transactions would ensure the funds to complete the Transactions would be readily available.</w:t>
      </w:r>
    </w:p>
    <w:p>
      <w:pPr>
        <w:spacing w:after="0" w:line="54"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Proven and Committed Management Team has Generated Consistent High Returns for Investors</w:t>
      </w:r>
      <w:r>
        <w:rPr>
          <w:rFonts w:ascii="Arial" w:cs="Arial" w:eastAsia="Arial" w:hAnsi="Arial"/>
          <w:sz w:val="18"/>
          <w:szCs w:val="18"/>
          <w:color w:val="auto"/>
        </w:rPr>
        <w:t>. The HEC Board considered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 that Talkspace, Inc. will be led by the senior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5" w:lineRule="auto"/>
        <w:rPr>
          <w:sz w:val="20"/>
          <w:szCs w:val="20"/>
          <w:color w:val="auto"/>
        </w:rPr>
      </w:pPr>
      <w:r>
        <w:rPr>
          <w:rFonts w:ascii="Arial" w:cs="Arial" w:eastAsia="Arial" w:hAnsi="Arial"/>
          <w:sz w:val="17"/>
          <w:szCs w:val="17"/>
          <w:color w:val="auto"/>
        </w:rPr>
        <w:t>team of Talkspace, which has a proven track record of operational excellence, financial performance, growth and ongoing capabilities for innovation. The HEC Board also believed that the willingness of Talkspace’s management team to both rollover a significant portion of their equity stake, as well as to agree to prohibitions on the transfer of those shares for a period of time following the consummation of the Transactions, reflected management’s belief in and commitment to Talkspace’s continued growth following the consummation of the Transactions. For additional information, see “</w:t>
      </w:r>
      <w:r>
        <w:rPr>
          <w:rFonts w:ascii="Arial" w:cs="Arial" w:eastAsia="Arial" w:hAnsi="Arial"/>
          <w:sz w:val="17"/>
          <w:szCs w:val="17"/>
          <w:i w:val="1"/>
          <w:iCs w:val="1"/>
          <w:color w:val="auto"/>
        </w:rPr>
        <w:t>Management of Talkspace, Inc. Following the Business Combination</w:t>
      </w:r>
      <w:r>
        <w:rPr>
          <w:rFonts w:ascii="Arial" w:cs="Arial" w:eastAsia="Arial" w:hAnsi="Arial"/>
          <w:sz w:val="17"/>
          <w:szCs w:val="17"/>
          <w:color w:val="auto"/>
        </w:rPr>
        <w:t>.”</w:t>
      </w:r>
    </w:p>
    <w:p>
      <w:pPr>
        <w:spacing w:after="0" w:line="82" w:lineRule="exact"/>
        <w:rPr>
          <w:sz w:val="20"/>
          <w:szCs w:val="20"/>
          <w:color w:val="auto"/>
        </w:rPr>
      </w:pPr>
    </w:p>
    <w:p>
      <w:pPr>
        <w:ind w:left="540" w:right="240" w:hanging="316"/>
        <w:spacing w:after="0" w:line="301"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b w:val="1"/>
          <w:bCs w:val="1"/>
          <w:i w:val="1"/>
          <w:iCs w:val="1"/>
          <w:color w:val="auto"/>
        </w:rPr>
        <w:t>Talkspace Being an Attractive Target</w:t>
      </w:r>
      <w:r>
        <w:rPr>
          <w:rFonts w:ascii="Arial" w:cs="Arial" w:eastAsia="Arial" w:hAnsi="Arial"/>
          <w:sz w:val="16"/>
          <w:szCs w:val="16"/>
          <w:color w:val="auto"/>
        </w:rPr>
        <w:t>. The HEC Board considered the fact that Talkspace (i) is of a size relevant to the public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(ii) has a strong existing management team, (iii) has a significant total addressable market and growth expansion opportunities, (iv) provides an opportunity for operational improvement and (v) would benefit from the consummation of the Transactions as a result of becoming a public company and de-leveraging, which the HEC Board believed would improve Talkspace’s ability to grow, including through acquisitions.</w:t>
      </w:r>
    </w:p>
    <w:p>
      <w:pPr>
        <w:spacing w:after="0" w:line="62" w:lineRule="exact"/>
        <w:rPr>
          <w:rFonts w:ascii="Arial" w:cs="Arial" w:eastAsia="Arial" w:hAnsi="Arial"/>
          <w:sz w:val="16"/>
          <w:szCs w:val="16"/>
          <w:color w:val="auto"/>
        </w:rPr>
      </w:pPr>
    </w:p>
    <w:p>
      <w:pPr>
        <w:ind w:left="540" w:right="160" w:hanging="316"/>
        <w:spacing w:after="0" w:line="301"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b w:val="1"/>
          <w:bCs w:val="1"/>
          <w:i w:val="1"/>
          <w:iCs w:val="1"/>
          <w:color w:val="auto"/>
        </w:rPr>
        <w:t>Other Alternatives</w:t>
      </w:r>
      <w:r>
        <w:rPr>
          <w:rFonts w:ascii="Arial" w:cs="Arial" w:eastAsia="Arial" w:hAnsi="Arial"/>
          <w:sz w:val="16"/>
          <w:szCs w:val="16"/>
          <w:color w:val="auto"/>
        </w:rPr>
        <w:t>. HEC raised $414,000,000 in June 2020 with the objective of consummating an attractive business combination. Since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as more fully described in “</w:t>
      </w:r>
      <w:r>
        <w:rPr>
          <w:rFonts w:ascii="Arial" w:cs="Arial" w:eastAsia="Arial" w:hAnsi="Arial"/>
          <w:sz w:val="16"/>
          <w:szCs w:val="16"/>
          <w:i w:val="1"/>
          <w:iCs w:val="1"/>
          <w:color w:val="auto"/>
        </w:rPr>
        <w:t>Proposal No. 1—The Business Combination Proposal—Background of the Transactions</w:t>
      </w:r>
      <w:r>
        <w:rPr>
          <w:rFonts w:ascii="Arial" w:cs="Arial" w:eastAsia="Arial" w:hAnsi="Arial"/>
          <w:sz w:val="16"/>
          <w:szCs w:val="16"/>
          <w:color w:val="auto"/>
        </w:rPr>
        <w:t>”, HEC has evaluated a number of businesses but has been most impressed by the Talkspace business. The HEC Board believed, that based upon the Transaction terms and the financial analysis, that the Transactions create the best available opportunity to maximize value for HEC stockholders.</w:t>
      </w:r>
    </w:p>
    <w:p>
      <w:pPr>
        <w:spacing w:after="0" w:line="62" w:lineRule="exact"/>
        <w:rPr>
          <w:rFonts w:ascii="Arial" w:cs="Arial" w:eastAsia="Arial" w:hAnsi="Arial"/>
          <w:sz w:val="16"/>
          <w:szCs w:val="16"/>
          <w:color w:val="auto"/>
        </w:rPr>
      </w:pPr>
    </w:p>
    <w:p>
      <w:pPr>
        <w:ind w:left="540" w:hanging="316"/>
        <w:spacing w:after="0" w:line="259"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Terms of the Merger Agreement and the Related Agreements</w:t>
      </w:r>
      <w:r>
        <w:rPr>
          <w:rFonts w:ascii="Arial" w:cs="Arial" w:eastAsia="Arial" w:hAnsi="Arial"/>
          <w:sz w:val="18"/>
          <w:szCs w:val="18"/>
          <w:color w:val="auto"/>
        </w:rPr>
        <w:t>. The HEC Board considered the terms and conditions of the Merger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related agreements and the transactions contemplated thereby, including the business combination, including each party’s representations, warranties and covenants, the conditions to each party’s obligation and the termination provisions as well as the strong commitment by both Talkspace and HEC to complete the Transactions.</w:t>
      </w:r>
    </w:p>
    <w:p>
      <w:pPr>
        <w:spacing w:after="0" w:line="92" w:lineRule="exact"/>
        <w:rPr>
          <w:rFonts w:ascii="Arial" w:cs="Arial" w:eastAsia="Arial" w:hAnsi="Arial"/>
          <w:sz w:val="18"/>
          <w:szCs w:val="18"/>
          <w:color w:val="auto"/>
        </w:rPr>
      </w:pPr>
    </w:p>
    <w:p>
      <w:pPr>
        <w:ind w:left="540" w:right="80" w:hanging="316"/>
        <w:spacing w:after="0" w:line="255"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Director Role</w:t>
      </w:r>
      <w:r>
        <w:rPr>
          <w:rFonts w:ascii="Arial" w:cs="Arial" w:eastAsia="Arial" w:hAnsi="Arial"/>
          <w:sz w:val="18"/>
          <w:szCs w:val="18"/>
          <w:color w:val="auto"/>
        </w:rPr>
        <w:t>. The HEC Board is comprised of a majority of independent directors who are not affiliated with the Sponsor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In connection with the Transaction, our independent directors, Thelma Duggin, Robert Greifeld and Amy Schulman, took an active role in evaluating the proposed terms of the Transactions, including the Merger Agreement, the related agreements and the amendments to HEC’s certificate of incorporation to take effect upon the completion of the Transactions. HEC’s independent directors evaluated and unanimously approved, as members of the HEC Board, the Merger Agreement and the related agreements and the transactions contemplated thereby, including the Transactions.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HEC Board also considered a variety of uncertainties and risks and other potentially negative factors concerning the Transactions, including, but not limited to, the following:</w:t>
      </w:r>
    </w:p>
    <w:p>
      <w:pPr>
        <w:spacing w:after="0" w:line="76" w:lineRule="exact"/>
        <w:rPr>
          <w:sz w:val="20"/>
          <w:szCs w:val="20"/>
          <w:color w:val="auto"/>
        </w:rPr>
      </w:pPr>
    </w:p>
    <w:p>
      <w:pPr>
        <w:ind w:left="540" w:right="20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Macroeconomic Risks</w:t>
      </w:r>
      <w:r>
        <w:rPr>
          <w:rFonts w:ascii="Arial" w:cs="Arial" w:eastAsia="Arial" w:hAnsi="Arial"/>
          <w:sz w:val="18"/>
          <w:szCs w:val="18"/>
          <w:color w:val="auto"/>
        </w:rPr>
        <w:t>. Macroeconomic uncertainty, including the potential impact of the COVID-19 pandemic, and the effects they could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combined company’s revenues.</w:t>
      </w:r>
    </w:p>
    <w:p>
      <w:pPr>
        <w:spacing w:after="0" w:line="75" w:lineRule="exact"/>
        <w:rPr>
          <w:rFonts w:ascii="Arial" w:cs="Arial" w:eastAsia="Arial" w:hAnsi="Arial"/>
          <w:sz w:val="18"/>
          <w:szCs w:val="18"/>
          <w:color w:val="auto"/>
        </w:rPr>
      </w:pPr>
    </w:p>
    <w:p>
      <w:pPr>
        <w:ind w:left="540" w:right="20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Benefits May Not Be Achieved</w:t>
      </w:r>
      <w:r>
        <w:rPr>
          <w:rFonts w:ascii="Arial" w:cs="Arial" w:eastAsia="Arial" w:hAnsi="Arial"/>
          <w:sz w:val="18"/>
          <w:szCs w:val="18"/>
          <w:color w:val="auto"/>
        </w:rPr>
        <w:t>. The risk that the potential benefits of the Transactions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75" w:lineRule="exact"/>
        <w:rPr>
          <w:rFonts w:ascii="Arial" w:cs="Arial" w:eastAsia="Arial" w:hAnsi="Arial"/>
          <w:sz w:val="18"/>
          <w:szCs w:val="18"/>
          <w:color w:val="auto"/>
        </w:rPr>
      </w:pPr>
    </w:p>
    <w:p>
      <w:pPr>
        <w:ind w:left="540" w:right="62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Growth Initiatives May Not be Achieved</w:t>
      </w:r>
      <w:r>
        <w:rPr>
          <w:rFonts w:ascii="Arial" w:cs="Arial" w:eastAsia="Arial" w:hAnsi="Arial"/>
          <w:sz w:val="18"/>
          <w:szCs w:val="18"/>
          <w:color w:val="auto"/>
        </w:rPr>
        <w:t>. The risk that the growth initiatives may not be fully achieved or may not be achieved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timeframe.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b w:val="1"/>
          <w:bCs w:val="1"/>
          <w:i w:val="1"/>
          <w:iCs w:val="1"/>
          <w:color w:val="auto"/>
        </w:rPr>
        <w:t>No Third-Party Valuation</w:t>
      </w:r>
      <w:r>
        <w:rPr>
          <w:rFonts w:ascii="Arial" w:cs="Arial" w:eastAsia="Arial" w:hAnsi="Arial"/>
          <w:sz w:val="17"/>
          <w:szCs w:val="17"/>
          <w:color w:val="auto"/>
        </w:rPr>
        <w:t>. The risk that HEC did not obtain a third-party valuation or fairness opinion in connection with the Transactions.</w:t>
      </w:r>
    </w:p>
    <w:p>
      <w:pPr>
        <w:spacing w:after="0" w:line="142" w:lineRule="exact"/>
        <w:rPr>
          <w:rFonts w:ascii="Arial" w:cs="Arial" w:eastAsia="Arial" w:hAnsi="Arial"/>
          <w:sz w:val="17"/>
          <w:szCs w:val="17"/>
          <w:color w:val="auto"/>
        </w:rPr>
      </w:pPr>
    </w:p>
    <w:p>
      <w:pPr>
        <w:ind w:left="540" w:hanging="316"/>
        <w:spacing w:after="0" w:line="279"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Risks</w:t>
      </w:r>
      <w:r>
        <w:rPr>
          <w:rFonts w:ascii="Arial" w:cs="Arial" w:eastAsia="Arial" w:hAnsi="Arial"/>
          <w:sz w:val="17"/>
          <w:szCs w:val="17"/>
          <w:color w:val="auto"/>
        </w:rPr>
        <w:t>. The risks of changes in Talkspace’s regulatory environment, including federal or state privacy, consumer protection, telehealth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teletherapy-related laws, regulations, industry self-regulatory principles, industry standards or codes of conduct, regulatory guidance, orders to which Talkspace may be subject or other legal obligations relating to privacy, consumer protection, telehealth or teletherapy would adversely affect our reputation, brand and business, and may result in claims, proceedings or actions against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Talkspace by governmental entities, clients, members, other consumers, suppliers or others or other liabilities or may require us to change our operations and/or cease using certain data sets.</w:t>
      </w:r>
    </w:p>
    <w:p>
      <w:pPr>
        <w:spacing w:after="0" w:line="76" w:lineRule="exact"/>
        <w:rPr>
          <w:sz w:val="20"/>
          <w:szCs w:val="20"/>
          <w:color w:val="auto"/>
        </w:rPr>
      </w:pPr>
    </w:p>
    <w:p>
      <w:pPr>
        <w:ind w:left="540" w:right="220" w:hanging="316"/>
        <w:spacing w:after="0" w:line="263"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 The risks and costs to HEC if the business combination is not completed, including the risk of diverting management focus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from other businesses combination opportunities, which could result in HEC being unable to effect a business combination within the completion window and force HEC to liquidate.</w:t>
      </w:r>
    </w:p>
    <w:p>
      <w:pPr>
        <w:spacing w:after="0" w:line="89" w:lineRule="exact"/>
        <w:rPr>
          <w:rFonts w:ascii="Arial" w:cs="Arial" w:eastAsia="Arial" w:hAnsi="Arial"/>
          <w:sz w:val="18"/>
          <w:szCs w:val="18"/>
          <w:color w:val="auto"/>
        </w:rPr>
      </w:pPr>
    </w:p>
    <w:p>
      <w:pPr>
        <w:ind w:left="540" w:right="260" w:hanging="316"/>
        <w:spacing w:after="0" w:line="308" w:lineRule="auto"/>
        <w:tabs>
          <w:tab w:leader="none" w:pos="540" w:val="left"/>
        </w:tabs>
        <w:numPr>
          <w:ilvl w:val="0"/>
          <w:numId w:val="165"/>
        </w:numPr>
        <w:rPr>
          <w:rFonts w:ascii="Arial" w:cs="Arial" w:eastAsia="Arial" w:hAnsi="Arial"/>
          <w:sz w:val="17"/>
          <w:szCs w:val="17"/>
          <w:color w:val="auto"/>
        </w:rPr>
      </w:pPr>
      <w:r>
        <w:rPr>
          <w:rFonts w:ascii="Arial" w:cs="Arial" w:eastAsia="Arial" w:hAnsi="Arial"/>
          <w:sz w:val="17"/>
          <w:szCs w:val="17"/>
          <w:b w:val="1"/>
          <w:bCs w:val="1"/>
          <w:i w:val="1"/>
          <w:iCs w:val="1"/>
          <w:color w:val="auto"/>
        </w:rPr>
        <w:t>Stockholder Vote</w:t>
      </w:r>
      <w:r>
        <w:rPr>
          <w:rFonts w:ascii="Arial" w:cs="Arial" w:eastAsia="Arial" w:hAnsi="Arial"/>
          <w:sz w:val="17"/>
          <w:szCs w:val="17"/>
          <w:color w:val="auto"/>
        </w:rPr>
        <w:t>. The risk that HEC’s stockholders may object to and challenge the Transactions and take action that may prevent or delay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the Transactions, including to vote down the proposals at the special meeting or redeem their shares.</w:t>
      </w:r>
    </w:p>
    <w:p>
      <w:pPr>
        <w:spacing w:after="0" w:line="51"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Transactions is conditioned on the satisfaction of certain closing conditions that are not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HEC’s control.</w:t>
      </w:r>
    </w:p>
    <w:p>
      <w:pPr>
        <w:spacing w:after="0" w:line="75" w:lineRule="exact"/>
        <w:rPr>
          <w:rFonts w:ascii="Arial" w:cs="Arial" w:eastAsia="Arial" w:hAnsi="Arial"/>
          <w:sz w:val="18"/>
          <w:szCs w:val="18"/>
          <w:color w:val="auto"/>
        </w:rPr>
      </w:pPr>
    </w:p>
    <w:p>
      <w:pPr>
        <w:ind w:left="540" w:right="40" w:hanging="316"/>
        <w:spacing w:after="0" w:line="259"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HEC Stockholders not Holding a Majority Position in Talkspace, Inc. </w:t>
      </w:r>
      <w:r>
        <w:rPr>
          <w:rFonts w:ascii="Arial" w:cs="Arial" w:eastAsia="Arial" w:hAnsi="Arial"/>
          <w:sz w:val="18"/>
          <w:szCs w:val="18"/>
          <w:color w:val="auto"/>
        </w:rPr>
        <w:t>The risk that HEC stockholders will not hold a majority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Talkspace, Inc. (approximately 25.1%, assuming that no shares of HEC’s Class A common stock are elected to be redeemed by HEC stockholders and excluding the impact of the shares of HEC’s Class A common stock underlying the warrants), which may reduce the influence that HEC’s current stockholders have on the management of HEC.</w:t>
      </w:r>
    </w:p>
    <w:p>
      <w:pPr>
        <w:spacing w:after="0" w:line="92"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Transactions or that an adverse judgment granting permanent injunctive relief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indefinitely enjoin consummation of the Transactions.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Transactions.</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of Talkspace, as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appearing elsewhere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proxy statement/prospectus.</w:t>
      </w:r>
    </w:p>
    <w:p>
      <w:pPr>
        <w:spacing w:after="0" w:line="6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 addition to considering the factors described above, the HEC Board also considered that:</w:t>
      </w:r>
    </w:p>
    <w:p>
      <w:pPr>
        <w:spacing w:after="0" w:line="130" w:lineRule="exact"/>
        <w:rPr>
          <w:rFonts w:ascii="Arial" w:cs="Arial" w:eastAsia="Arial" w:hAnsi="Arial"/>
          <w:sz w:val="18"/>
          <w:szCs w:val="18"/>
          <w:color w:val="auto"/>
        </w:rPr>
      </w:pPr>
    </w:p>
    <w:p>
      <w:pPr>
        <w:ind w:left="540" w:hanging="316"/>
        <w:spacing w:after="0" w:line="287"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b w:val="1"/>
          <w:bCs w:val="1"/>
          <w:i w:val="1"/>
          <w:iCs w:val="1"/>
          <w:color w:val="auto"/>
        </w:rPr>
        <w:t>Interests of Certain Persons</w:t>
      </w:r>
      <w:r>
        <w:rPr>
          <w:rFonts w:ascii="Arial" w:cs="Arial" w:eastAsia="Arial" w:hAnsi="Arial"/>
          <w:sz w:val="16"/>
          <w:szCs w:val="16"/>
          <w:color w:val="auto"/>
        </w:rPr>
        <w:t>. Some officers and directors of HEC may have interests in the Transactions as individuals that are in addition to,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may be different from, the interests of HEC’s stockholders (see section entitled “—</w:t>
      </w:r>
      <w:r>
        <w:rPr>
          <w:rFonts w:ascii="Arial" w:cs="Arial" w:eastAsia="Arial" w:hAnsi="Arial"/>
          <w:sz w:val="16"/>
          <w:szCs w:val="16"/>
          <w:i w:val="1"/>
          <w:iCs w:val="1"/>
          <w:color w:val="auto"/>
        </w:rPr>
        <w:t>The Business Combination Proposal—Interests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Persons in the Business Combination</w:t>
      </w:r>
      <w:r>
        <w:rPr>
          <w:rFonts w:ascii="Arial" w:cs="Arial" w:eastAsia="Arial" w:hAnsi="Arial"/>
          <w:sz w:val="16"/>
          <w:szCs w:val="16"/>
          <w:color w:val="auto"/>
        </w:rPr>
        <w:t>”). HEC’s independent directors reviewed and considered these interests during the negotiation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and in evaluating and unanimously approving, as members of the HEC Board, the Merger Agreement and the transactions contemplated therein, including the Transactions. In addition, beginning in September 2020, Samara Braunstein, the spouse of Douglas Braunstein, was engaged by Talkspace as a consultant, and on December 31, 2020, Talkspace entered into an employment letter agreement with Samara Braunstein to serve as its Chief Marketing Officer. This employment letter agreement, which provides for “at-will” employment and is terminable by either party for any reason at any time, was executed over a month after the LOI was executed by Talkspace and HEC on November 25, 2020. The material terms set forth in the Merger Agreement were consistent with those set forth in the LOI. The HEC Board was informed of and discussed the hiring of Samara Braunstein by Talkspace and did not consider such hiring to be a material conflict of interest. For additional information on the terms of Samara Braunstein’s employment letter, see “</w:t>
      </w:r>
      <w:r>
        <w:rPr>
          <w:rFonts w:ascii="Arial" w:cs="Arial" w:eastAsia="Arial" w:hAnsi="Arial"/>
          <w:sz w:val="16"/>
          <w:szCs w:val="16"/>
          <w:i w:val="1"/>
          <w:iCs w:val="1"/>
          <w:color w:val="auto"/>
        </w:rPr>
        <w:t>Certain Relationships and Related Person Transactions—Talkspace’s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Transactions—Samara Braunstein Employment Letter Agreement.</w:t>
      </w:r>
    </w:p>
    <w:p>
      <w:pPr>
        <w:spacing w:after="0" w:line="16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HEC Board concluded that the potential benefits that it expected HEC and its stockholders to achieve as a result of the Transactions outweighed the potentially negative factors associated with the Transactions. The HEC Board also noted that HEC stockholders would have a substantial economic interest in the combined company (depending on the level of HEC stockholders that sought redemption of their public shares into cash). Accordingly, the HEC Board unanimously determined that the Merger Agreement and the related agreements and the transactions contemplated thereby, were advisable, fair to, and in the best interests of HEC and its stockholders.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After careful consideration of the matters described above, the HEC Board determined unanimously that each of the business combination proposal, the charter proposal, the governance proposal, the incentive plan proposal, the ESPP proposal, the director election proposal, the Nasdaq proposal and the adjournment proposal, if presented, is fair to and in the best interests of HEC and its stockholders. The HEC Board of directors has approved and declared advisable and unanimously recommend that you vote or give instructions to vote “FOR” each of these proposals.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Forecasted Financial Information for Talkspace</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Prior to approval by the HEC Board of the Transactions and the execution of the Merger Agreement and related agreements, Talkspace provided HEC with internally prepared forecasts, including for calendar years 2021, 2022 and 2023. This prospective financial information was not prepared with a view toward compliance with published guidelines of the SEC or the guidelines established by the American Institute of Certified Public Accountants for preparation and presentation of prospective financial information or the generally accepted accounting principles in the United States (“</w:t>
      </w:r>
      <w:r>
        <w:rPr>
          <w:rFonts w:ascii="Arial" w:cs="Arial" w:eastAsia="Arial" w:hAnsi="Arial"/>
          <w:sz w:val="18"/>
          <w:szCs w:val="18"/>
          <w:i w:val="1"/>
          <w:iCs w:val="1"/>
          <w:color w:val="auto"/>
        </w:rPr>
        <w:t>GAAP</w:t>
      </w:r>
      <w:r>
        <w:rPr>
          <w:rFonts w:ascii="Arial" w:cs="Arial" w:eastAsia="Arial" w:hAnsi="Arial"/>
          <w:sz w:val="18"/>
          <w:szCs w:val="18"/>
          <w:color w:val="auto"/>
        </w:rPr>
        <w:t>”) with respect to forward looking financial information. As a private company, Talkspace does not, as a matter of course, make public projections as to future performance, revenues, earnings or other results of operations. The forecasts were prepared solely for internal use, capital budgeting and other management purposes. The forecasts are subjective in many respects and therefore susceptible to varying interpretations and the need for periodic revision based on actual experience and business developments, and were not intended for third-party use, including by investors or equity or debt holders. You are cautioned not to rely on the forecasts in making a decision regarding the Transactions, as the forecasts may be materially different than actual results.</w:t>
      </w:r>
    </w:p>
    <w:p>
      <w:pPr>
        <w:spacing w:after="0" w:line="19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Talkspace believes that the assumptions used to derive its forecasts are both reasonable and supportable. In preparing the models, Talkspace’s management relied on a number of factors, including the executive team’s significant experience and the historical performance of Talkspace. The forecasts reflect the consistent application of the accounting policies of Talkspace and should be read in conjunction with the accounting policies included in Note 2 -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accompanying the historical audited consolidated financial statement of Talkspace and included elsewhere in this proxy statement/prospectus.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its presentation to the HEC Board, HEC management presented certain forecasted financial information for Talkspace created by Talkspace and provided by Talkspace to HEC. The forecasted financial information provided to the HEC Board included an overall group of estimates for total business to consumer subscribers, total business to business eligible lives, net revenue, percentage growth, gross profit, percentage margin, operating expenses and EBITDA, in each case for calendar years 2021, 2022 and 2023. This information is presented in the table below. HEC management did not believe that Talkspace’s option grants and independent valuations were material in determining Talkspace’s total enterprise valuation.</w:t>
      </w:r>
    </w:p>
    <w:p>
      <w:pPr>
        <w:spacing w:after="0" w:line="161" w:lineRule="exact"/>
        <w:rPr>
          <w:sz w:val="20"/>
          <w:szCs w:val="20"/>
          <w:color w:val="auto"/>
        </w:rPr>
      </w:pPr>
    </w:p>
    <w:p>
      <w:pPr>
        <w:ind w:left="120" w:right="280"/>
        <w:spacing w:after="0" w:line="272" w:lineRule="auto"/>
        <w:rPr>
          <w:sz w:val="20"/>
          <w:szCs w:val="20"/>
          <w:color w:val="auto"/>
        </w:rPr>
      </w:pPr>
      <w:r>
        <w:rPr>
          <w:rFonts w:ascii="Arial" w:cs="Arial" w:eastAsia="Arial" w:hAnsi="Arial"/>
          <w:sz w:val="17"/>
          <w:szCs w:val="17"/>
          <w:color w:val="auto"/>
        </w:rPr>
        <w:t>The forecasted financial information included in this proxy statement/prospectus has been prepared by, and is the responsibility of, Talkspace’s and HEC’s management. Kost Forer Gabbay &amp; Kasierer, a member of Ernst &amp; Young Global and WithumSmith+Brown, PC have not audited, reviewed, examined, compiled or applied agreed-upon procedures with respect to the accompanying selected forecasted financial information and, accordingly, Kost Forer Gabbay &amp; Kasierer, a member of Ernst &amp; Young Global and WithumSmith+Brown, PC do not express an opinion or any other form of assurance with respect thereto. The Kost Forer Gabbay &amp; Kasierer, a member of Ernst &amp; Young Global report and WithumSmith+Brown, PC report included in this proxy statement/prospectus relate to Talkspace’s and HEC’s previously issued audited financial statements, respectively. They do not extend to the forecasted financial information and should not be read to do so.</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selected forecasted financial information that HEC management reviewed with the HEC Board and which was used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HEC in connection with the financial analysis summarized below:</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6"/>
              </w:rPr>
              <w:t>Calendar</w:t>
            </w:r>
          </w:p>
        </w:tc>
        <w:tc>
          <w:tcPr>
            <w:tcW w:w="10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Calendar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Calendar</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Calendar</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Year Ending</w:t>
            </w: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Year Ending</w:t>
            </w:r>
          </w:p>
        </w:tc>
        <w:tc>
          <w:tcPr>
            <w:tcW w:w="26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Year Ending</w:t>
            </w: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Year Ending</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in millions, except active members and percentages</w:t>
            </w:r>
            <w:r>
              <w:rPr>
                <w:rFonts w:ascii="Arial" w:cs="Arial" w:eastAsia="Arial" w:hAnsi="Arial"/>
                <w:sz w:val="14"/>
                <w:szCs w:val="14"/>
                <w:b w:val="1"/>
                <w:bCs w:val="1"/>
                <w:color w:val="auto"/>
                <w:w w:val="87"/>
              </w:rPr>
              <w:t>)</w:t>
            </w:r>
          </w:p>
        </w:tc>
        <w:tc>
          <w:tcPr>
            <w:tcW w:w="78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3140" w:type="dxa"/>
            <w:vAlign w:val="bottom"/>
            <w:tcBorders>
              <w:bottom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93"/>
              </w:rPr>
              <w:t>2020E</w:t>
            </w:r>
          </w:p>
        </w:tc>
        <w:tc>
          <w:tcPr>
            <w:tcW w:w="100" w:type="dxa"/>
            <w:vAlign w:val="bottom"/>
          </w:tcPr>
          <w:p>
            <w:pPr>
              <w:spacing w:after="0"/>
              <w:rPr>
                <w:sz w:val="15"/>
                <w:szCs w:val="15"/>
                <w:color w:val="auto"/>
              </w:rPr>
            </w:pPr>
          </w:p>
        </w:tc>
        <w:tc>
          <w:tcPr>
            <w:tcW w:w="11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2021E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98"/>
              </w:rPr>
              <w:t>2022E</w:t>
            </w:r>
          </w:p>
        </w:tc>
        <w:tc>
          <w:tcPr>
            <w:tcW w:w="12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2023E</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business to consumer active members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31,214</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46,259</w:t>
            </w: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71,001</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85,829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Total business to business eligible lives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39,285</w:t>
            </w:r>
          </w:p>
        </w:tc>
        <w:tc>
          <w:tcPr>
            <w:tcW w:w="1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65,341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129,093</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174,218</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Percentage growth</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Percentage margin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EBITDA (1)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40" w:hanging="424"/>
        <w:spacing w:after="0" w:line="277"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We have not provided a reconciliation of EBITDA to GAAP net income (losses) on a forward looking basis due to the potential variability, limited visibility and unpredictability.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Talkspace’s growth projections with respect to business to consumer members are based on its management’s expectations of increasing likelihood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acquiring members based on the historical member acquisition costs and optimizing certain member acquisition channels resulting in the acquisition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range of increased business to consumer members. For the years ended December 31, 2019 and 2020, Talkspace’s average B2C member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 cost was approximately $344 and $297 per member, respectively, and it had approximately 20,000 and 29,500 B2C active members on 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platform as of December 31, 2019 and 2020, respectively. Talkspace’s projections assume an average B2C member acquisition cost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$350 per member throughout the 2021-2023 forecasted financial period. Additionally, the forecasted financial information includes assumptions for 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year B2C active members on Talkspace’s platform of 46,259, 71,001 and 85,829 as of December 31, 2021, 2022 and 2023, respectively.</w:t>
      </w:r>
    </w:p>
    <w:p>
      <w:pPr>
        <w:spacing w:after="0" w:line="22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Talkspace’s growth projections with respect to B2B eligible lives are based on its management’s assessment of potential, active opportunities with health insurance companies and other enterprises to project the number of potential B2B eligible lives. For the years ended December 31, 2019 and 2020, Talkspace’s B2B eligible lives were approximately 7.7 million and 39.4 million, respectively. Talkspace’s projections assume that Talkspace’s behavioral health services will become an in-network eligible service to significantly all the lives managed by their existing health insurance clients in addition to new commercial relationships created with health insurance companies that Talkspace does not currently serve. Talkspace believes there is an increasing demand from commercial enterprises, state and local governments and higher education entities for improved access to Talkspace’s behavioral health services that will provide Talkspace with the opportunity to significantly increase its revenue generating activities.</w:t>
      </w:r>
    </w:p>
    <w:p>
      <w:pPr>
        <w:spacing w:after="0" w:line="166"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Talkspace’s revenue projections are based on its management’s expectation of increasing revenue as a result of an increase in total B2C members, an increase in the number of national and regional health insurance clients contributing to an increasingly larger number of B2B eligible lives and growth in the number of direct to enterprise contracts that provide Talkspace with revenues generated under such subscription-based network access contracts.</w:t>
      </w:r>
    </w:p>
    <w:p>
      <w:pPr>
        <w:spacing w:after="0" w:line="14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These assumptions were included in Talkspace’s management’s related expectations with respect to operating expenses to support the distinct channels of growth currently in development at Talkspace.</w:t>
      </w:r>
    </w:p>
    <w:p>
      <w:pPr>
        <w:spacing w:after="0" w:line="17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This summary of the forecasts is not being included in this proxy statement/prospectus to influence your decision whether to vote in favor of any proposal. None of Talkspace, HEC, or their respective affiliates, advisors,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officers, directors, partners or representatives can give you any assurance that actual results will not differ from the forecasts, and none of them undertake any obligation to update or otherwise revise or reconcile the forecasts to reflect circumstances existing after the date the forecasts were generated, including in respect of the potential impact of the COVID-19 pandemic (or any escalation thereof), or to reflect the occurrence of future events even in the event that any or all of the assumptions underlying the forecasts are shown to be in error, in each case, except as may be required under applicable law. While presented with numerical specificity, these forecasts were based on numerous variables and assumptions known to Talkspace and HEC at the time of preparation. These variables and assumptions are inherently uncertain and many are beyond the control of Talkspace or HEC. Important factors that may affect actual results and cause the forecasts to not be achieved include, but are not limited to, risks and uncertainties relating to the businesses of Talkspace (including its ability to achieve strategic goals, objectives and targets over applicable periods), industry performance, the competitive environment, changes in technology, general business and economic conditions and other factors described or referenced under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Various assumptions underlying the forecasts may prove to not have been, or may no longer be, accurate. The forecasts may not be realized, and actual results may be significantly higher or lower than projected in the forecasts. The forecasts also reflect assumptions as to certain business strategies or plans that are subject to change. As a result, the inclusion of the forecasts in this proxy statement/prospectus should not be relied on as “guidance” or otherwise predictive of actual future events, and actual results may differ materially from the forecasts. For all of these reasons, the forward-looking financial information described below and the assumptions upon which they are based (i) are not guarantees of future results, (ii) are inherently speculative and (iii) are subject to a number of risks and uncertainties, and readers of this proxy statement/prospectus are cautioned not to rely on them.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Financial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Comparable Company Analysis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HEC’s management primarily relied upon a comparable company analysis to assess the value that the public markets would likely ascribe to HEC following a business combination with Talkspace and this analysis was presented to the HEC Board. The relative valuation analysis was based on selected publicly traded companies in each of the healthcare, telemedicine and virtual healthcare sectors. The selected companies in each sector were chosen because they were determined by HEC’s management to be leaders in their particular sector (but, for the avoidance of doubt, each of the selected companies is not necessarily a direct competitor of Talkspace). The comparable companies the HEC Board reviewed within such sectors were Teladoc and Amwell. These companies were selected by HEC as the publicly traded companies having businesses with similar (or, in the case of margins and growth rates, similar or reasonably achievable) business functions and roles, transaction volumes, margins and growth rates. While these companies, which are considered to be leaders in their sectors, may share certain characteristics that are similar to those of Talkspace, the HEC Board recognized that no company was identical in nature to Talkspace.</w:t>
      </w:r>
    </w:p>
    <w:p>
      <w:pPr>
        <w:spacing w:after="0" w:line="18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Using publicly available information and information from certain data sources, HEC management reviewed with the HEC Board, among other things, the forecasted enterprise values as a multiple of estimated revenue (for 2021E and 2022E), estimated gross profit (for 2021E and 2022E), actual revenue and estimated revenue compound annual growth rate (from 2019A through 2023E). These estimates are based on publicly available consensus research analysts’ estimates and other publicly available information, all as of January 7, 2021. The multiples for the selected comparable companies are summarized in the table below:</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Talkspace</w:t>
            </w:r>
          </w:p>
        </w:tc>
        <w:tc>
          <w:tcPr>
            <w:tcW w:w="14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Teladoc(1)</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Amwell</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2021E EV / Revenue (2)</w:t>
            </w:r>
          </w:p>
        </w:tc>
        <w:tc>
          <w:tcPr>
            <w:tcW w:w="30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20.7x</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22.9x</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2022E EV / Revenue (2)</w:t>
            </w:r>
          </w:p>
        </w:tc>
        <w:tc>
          <w:tcPr>
            <w:tcW w:w="3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6.8x</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15.2x</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18.1x</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2021E EV / Gross Profit (2)</w:t>
            </w:r>
          </w:p>
        </w:tc>
        <w:tc>
          <w:tcPr>
            <w:tcW w:w="3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17.5x</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30.4x</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62.3x</w:t>
            </w: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2022E EV / Gross Profit (2)</w:t>
            </w:r>
          </w:p>
        </w:tc>
        <w:tc>
          <w:tcPr>
            <w:tcW w:w="3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10.9x</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22.2x</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44.6x</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2019—2023E revenue CAGR (2)</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w:t>
            </w:r>
          </w:p>
        </w:tc>
        <w:tc>
          <w:tcPr>
            <w:tcW w:w="80" w:type="dxa"/>
            <w:vAlign w:val="bottom"/>
            <w:shd w:val="clear" w:color="auto" w:fill="CCEEFF"/>
          </w:tcPr>
          <w:p>
            <w:pPr>
              <w:spacing w:after="0"/>
              <w:rPr>
                <w:sz w:val="18"/>
                <w:szCs w:val="18"/>
                <w:color w:val="auto"/>
              </w:rPr>
            </w:pPr>
          </w:p>
        </w:tc>
      </w:tr>
      <w:tr>
        <w:trPr>
          <w:trHeight w:val="365"/>
        </w:trPr>
        <w:tc>
          <w:tcPr>
            <w:tcW w:w="3500" w:type="dxa"/>
            <w:vAlign w:val="bottom"/>
          </w:tcPr>
          <w:p>
            <w:pPr>
              <w:spacing w:after="0"/>
              <w:rPr>
                <w:sz w:val="24"/>
                <w:szCs w:val="24"/>
                <w:color w:val="auto"/>
              </w:rPr>
            </w:pPr>
          </w:p>
        </w:tc>
        <w:tc>
          <w:tcPr>
            <w:tcW w:w="3060" w:type="dxa"/>
            <w:vAlign w:val="bottom"/>
          </w:tcPr>
          <w:p>
            <w:pPr>
              <w:jc w:val="right"/>
              <w:ind w:right="1716"/>
              <w:spacing w:after="0"/>
              <w:rPr>
                <w:sz w:val="20"/>
                <w:szCs w:val="20"/>
                <w:color w:val="auto"/>
              </w:rPr>
            </w:pPr>
            <w:r>
              <w:rPr>
                <w:rFonts w:ascii="Arial" w:cs="Arial" w:eastAsia="Arial" w:hAnsi="Arial"/>
                <w:sz w:val="18"/>
                <w:szCs w:val="18"/>
                <w:color w:val="auto"/>
              </w:rPr>
              <w:t>148</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Teladoc data is pro forma for merger with Livongo.</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Data as of January 7, 2021.</w:t>
      </w:r>
    </w:p>
    <w:p>
      <w:pPr>
        <w:spacing w:after="0" w:line="21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Based on the review of these selected comparable publicly traded companies, the HEC Board concluded that Talkspace’s pro forma implied enterprise value as a multiple of 2021E net revenue and 2022E net revenue of 11.2x and 6.8x, respectively, was below such multiples of such selected comparable companies, and that it would be reasonable to assume that the stock of Talkspace, Inc. may trade at a 20% discount to the stock of Teladoc.</w:t>
      </w:r>
    </w:p>
    <w:p>
      <w:pPr>
        <w:spacing w:after="0" w:line="1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using publicly available information and information from certain data sources, HEC management reviewed with the HEC Board, among other things, the forecasted enterprise values as a multiple of estimated revenue (for 2021E and 2022E) and estimated revenue compound annual growth rate (from 2019A through 2023E) more broadly compared against other publicly traded companies it considers as core peers in the telehealth and behavioral health, publicly traded companies in the disruptive healthcare sector and publicly traded companies in the high growth internet sector. HEC management selected core peers among publicly-traded companies it viewed as most similar to the business of Talkspace and technology-enabled healthcare generally. HEC management selected companies in the disruptive healthcare sector based upon characteristics including, among other things, similarly sized revenue and/or revenue growth rates. For additional context, HEC’s management also compared its valuation of Talkspace relative to other high growth internet companies due to their technology-driven growth, but it did not view such companies as core to its valuation. In each case, HEC’s management considerations in selecting such comparable companies were based upon its application of its professional judgment and experience, and it determined such comparable companies to be the most relevant. The multiples for the selected comparable companies are summarized in the table below:</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2021E</w:t>
            </w: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2022E</w:t>
            </w:r>
          </w:p>
        </w:tc>
        <w:tc>
          <w:tcPr>
            <w:tcW w:w="7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2019—</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2023E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EV /</w:t>
            </w:r>
          </w:p>
        </w:tc>
        <w:tc>
          <w:tcPr>
            <w:tcW w:w="7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EV /</w:t>
            </w: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Revenue</w:t>
            </w:r>
          </w:p>
        </w:tc>
        <w:tc>
          <w:tcPr>
            <w:tcW w:w="128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CAGR</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Core Peers (1)</w:t>
            </w:r>
          </w:p>
        </w:tc>
        <w:tc>
          <w:tcPr>
            <w:tcW w:w="20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19.2x</w:t>
            </w:r>
          </w:p>
        </w:tc>
        <w:tc>
          <w:tcPr>
            <w:tcW w:w="7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14.2x</w:t>
            </w:r>
          </w:p>
        </w:tc>
        <w:tc>
          <w:tcPr>
            <w:tcW w:w="7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Disruptive Healthcare (2)</w:t>
            </w:r>
          </w:p>
        </w:tc>
        <w:tc>
          <w:tcPr>
            <w:tcW w:w="2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18.0x</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14.6x</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High Growth Internet (3)</w:t>
            </w:r>
          </w:p>
        </w:tc>
        <w:tc>
          <w:tcPr>
            <w:tcW w:w="2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22.8x</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18.1x</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Talkspace</w:t>
            </w:r>
          </w:p>
        </w:tc>
        <w:tc>
          <w:tcPr>
            <w:tcW w:w="2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11.2x</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6.8x</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120" w:hanging="424"/>
        <w:spacing w:after="0" w:line="258"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Core Peers includes mean of: Amwell, GoodRx, SOC Telemed and Teladoc. SOC Telemed data is based on capital structure at deal announcement. Teladoc data is pro forma for merger with Livongo.</w:t>
      </w:r>
    </w:p>
    <w:p>
      <w:pPr>
        <w:spacing w:after="0" w:line="1"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Disruptive Healthcare includes mean of: Accolade, DexCom, Health Catalyst, HealthEquity, Inspire Medical, iRhythm, Novocure, Oak Street, One Medical, Phreesia and Veeva.</w:t>
      </w:r>
    </w:p>
    <w:p>
      <w:pPr>
        <w:ind w:left="540" w:hanging="424"/>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High Growth Internet includes mean of: Chegg, Etsy, Fiverr, Match, Shopify, Upwork and Zoom.</w:t>
      </w:r>
    </w:p>
    <w:p>
      <w:pPr>
        <w:spacing w:after="0" w:line="21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HEC Board viewed such multiples as the most relevant financial metrics on which to evaluate Talkspace. The results of this analysis (as described above) supported the HEC Board’s determination, based on a number of factors, that the terms of the Transactions were fair to and in the best interests of HEC and its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of the 80% Test</w:t>
      </w:r>
    </w:p>
    <w:p>
      <w:pPr>
        <w:spacing w:after="0" w:line="12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It is a requirement under HEC’s current certificate of incorporation that any business acquired by HEC have a fair market value equal to at least 80% of the balance of the funds in the trust account (excluding the deferred underwriting commissions at the time of the execution of a definitive agreement for an initial business combination). As of January 12, 2021, the date of the execution of the Merger Agreement, the balance of the funds in the trust account was approximately $414 million (excluding up to $583,182 of deferred underwriting commissions) and 80% thereof represents approximately $331 million. In reaching its conclusion on the 80% asset test, the HEC Board used as a fair market value the $1.283 billion enterprise value for Talkspace, which was implied based on the terms of the Transactions agreed to by the parties in negotiating the Merger Agreement. The implied fair market value is calculated by adding (i) approximately $444 million cash consideration paid to the preferred stockholders of Talkspace, (ii) the approximately $839 million common equity value consideration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Talkspace, as agent on behalf of Talkspace’s stockholders, and (iii) the $0 net debt reported by Talkspace as of January 12, 2021.</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parties to the Merger Agreement considered factors such as Talkspace’s historical financial results, the future growth outlook and financial plan, as well as valuations and trading of publicly traded companies in similar and adjacent sectors. The HEC Board determined that the consideration being paid in the business combination, which amount was negotiated at arm’s-length, was fair to, and in the best interests of, HEC and its stockholders and appropriately reflected Talkspace’s value.</w:t>
      </w:r>
    </w:p>
    <w:p>
      <w:pPr>
        <w:spacing w:after="0" w:line="18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The HEC Board believes that because of the financial skills and background of its directors, it was qualified to conclude that the acquisition of Talkspace met the 80% requirement. Based on the fact that the $1.283 billion fair market value of Talkspace as described above is in excess of the threshold of approximately $331 million, representing 80% of the balance of the funds in the trust account (excluding the deferred underwriting commissions), the HEC Board determined that the fair market value of Talkspace was substantially in excess of 80% of the funds in the trust account and that the 80% test was met.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considering the recommendation of the HEC Board to vote in favor of approval of the business combination proposal and the other proposals, stockholders should keep in mind that the Sponsor and the Insiders have interests in such proposals that are different from, or in addition to, those of HEC stockholders generally. In particular:</w:t>
      </w:r>
    </w:p>
    <w:p>
      <w:pPr>
        <w:spacing w:after="0" w:line="89" w:lineRule="exact"/>
        <w:rPr>
          <w:sz w:val="20"/>
          <w:szCs w:val="20"/>
          <w:color w:val="auto"/>
        </w:rPr>
      </w:pPr>
    </w:p>
    <w:p>
      <w:pPr>
        <w:ind w:left="540" w:right="100" w:hanging="316"/>
        <w:spacing w:after="0" w:line="272" w:lineRule="auto"/>
        <w:tabs>
          <w:tab w:leader="none" w:pos="5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Transactions or another business combination are not consummated by June 11, 2022, HEC will cease all operations except for the purpose of winding up, redeeming 100% of the outstanding public shares for cash and, subject to the approval of its remaining stockholders and the HEC Board, dissolving and liquidating. In such event, the 10,350,000 initial shares held by the Sponsor and the directors would be worthless because the holders thereof are not entitled to participate in any redemption or distribution with respect to such shares. Such shares had an aggregate market value of $102,465,000 based upon the closing price of $9.90 per share on the Nasdaq on May 19, 2021, the record date for the special meeting. Such founder shares are subject to certain time- and performance-based vesting provisions as described under “</w:t>
      </w:r>
      <w:r>
        <w:rPr>
          <w:rFonts w:ascii="Arial" w:cs="Arial" w:eastAsia="Arial" w:hAnsi="Arial"/>
          <w:sz w:val="17"/>
          <w:szCs w:val="17"/>
          <w:i w:val="1"/>
          <w:iCs w:val="1"/>
          <w:color w:val="auto"/>
        </w:rPr>
        <w:t>Certain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Business Combination—Sponsor Support Agreement.</w:t>
      </w:r>
      <w:r>
        <w:rPr>
          <w:rFonts w:ascii="Arial" w:cs="Arial" w:eastAsia="Arial" w:hAnsi="Arial"/>
          <w:sz w:val="17"/>
          <w:szCs w:val="17"/>
          <w:color w:val="auto"/>
        </w:rPr>
        <w:t>”</w:t>
      </w:r>
    </w:p>
    <w:p>
      <w:pPr>
        <w:spacing w:after="0" w:line="82" w:lineRule="exact"/>
        <w:rPr>
          <w:rFonts w:ascii="Arial" w:cs="Arial" w:eastAsia="Arial" w:hAnsi="Arial"/>
          <w:sz w:val="17"/>
          <w:szCs w:val="17"/>
          <w:color w:val="auto"/>
        </w:rPr>
      </w:pPr>
    </w:p>
    <w:p>
      <w:pPr>
        <w:ind w:left="540" w:hanging="316"/>
        <w:spacing w:after="0"/>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Sponsor purchased an aggregate of 10,280,000 private placement warrants from HEC for an aggregate purchase price of $10,280,000 (or</w:t>
      </w:r>
    </w:p>
    <w:p>
      <w:pPr>
        <w:spacing w:after="0" w:line="46" w:lineRule="exact"/>
        <w:rPr>
          <w:rFonts w:ascii="Arial" w:cs="Arial" w:eastAsia="Arial" w:hAnsi="Arial"/>
          <w:sz w:val="16"/>
          <w:szCs w:val="16"/>
          <w:color w:val="auto"/>
        </w:rPr>
      </w:pPr>
    </w:p>
    <w:p>
      <w:pPr>
        <w:ind w:left="540"/>
        <w:spacing w:after="0" w:line="252" w:lineRule="auto"/>
        <w:rPr>
          <w:rFonts w:ascii="Arial" w:cs="Arial" w:eastAsia="Arial" w:hAnsi="Arial"/>
          <w:sz w:val="16"/>
          <w:szCs w:val="16"/>
          <w:color w:val="auto"/>
        </w:rPr>
      </w:pPr>
      <w:r>
        <w:rPr>
          <w:rFonts w:ascii="Arial" w:cs="Arial" w:eastAsia="Arial" w:hAnsi="Arial"/>
          <w:sz w:val="18"/>
          <w:szCs w:val="18"/>
          <w:color w:val="auto"/>
        </w:rPr>
        <w:t>$1.00 per warrant). These purchases took place on a private placement basis simultaneously with the consummation of HEC IPO. A portion of the proceeds HEC received from these purchases were placed in the trust account. Such warrants had an aggregate market value of $12,027,600 based upon the closing price of $1.17 per warrant on the Nasdaq on May 19, 2021, the record date for the special meeting. The private placement warrants will become worthless if HEC does not consummate a business combination by June 11, 2022. Such private placement warrants are subject to certain time- and performance-based vesting provisions as described under “</w:t>
      </w:r>
      <w:r>
        <w:rPr>
          <w:rFonts w:ascii="Arial" w:cs="Arial" w:eastAsia="Arial" w:hAnsi="Arial"/>
          <w:sz w:val="18"/>
          <w:szCs w:val="18"/>
          <w:i w:val="1"/>
          <w:iCs w:val="1"/>
          <w:color w:val="auto"/>
        </w:rPr>
        <w:t>Certain Agreements Related to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Sponsor Support Agreement.</w:t>
      </w:r>
      <w:r>
        <w:rPr>
          <w:rFonts w:ascii="Arial" w:cs="Arial" w:eastAsia="Arial" w:hAnsi="Arial"/>
          <w:sz w:val="18"/>
          <w:szCs w:val="18"/>
          <w:color w:val="auto"/>
        </w:rPr>
        <w:t>”</w:t>
      </w:r>
    </w:p>
    <w:p>
      <w:pPr>
        <w:spacing w:after="0" w:line="99" w:lineRule="exact"/>
        <w:rPr>
          <w:rFonts w:ascii="Arial" w:cs="Arial" w:eastAsia="Arial" w:hAnsi="Arial"/>
          <w:sz w:val="16"/>
          <w:szCs w:val="16"/>
          <w:color w:val="auto"/>
        </w:rPr>
      </w:pPr>
    </w:p>
    <w:p>
      <w:pPr>
        <w:ind w:left="540" w:right="20" w:hanging="316"/>
        <w:spacing w:after="0" w:line="253"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Douglas Braunstein will become a director of Talkspace, Inc. after the closing of the Transactions. As such, in the future he will receive compensation that the post-combination board of directors determines to pay to its non-employee directors. In addition, beginning in September 2020, Samara Braunstein, the spouse of Douglas Braunstein, was engaged by Talkspace as a consultant, and on December 31, 2020, Talkspace entered into an employment letter agreement with Samara Braunstein to serve as its Chief Marketing Officer. This employment letter agreement, which provides for “at-will” employment and is terminable by either party for any reason at any time, was executed over a month after the LOI was executed by Talkspace and HEC on November 25, 2020. The material terms set forth in the Merger Agreement were consistent with those set forth in the LOI. The HEC Board was informed of and discussed the hiring of Samara Braunstein by Talkspace and did not consider such hiring to be a material conflict of interest. For additional information on the terms of Samara Braunstein’s employment letter, see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Person Transactions—Talkspace’s Related Party Transactions—Samara Braunstein Employment Letter Agreement.</w:t>
      </w:r>
      <w:r>
        <w:rPr>
          <w:rFonts w:ascii="Arial" w:cs="Arial" w:eastAsia="Arial" w:hAnsi="Arial"/>
          <w:sz w:val="18"/>
          <w:szCs w:val="18"/>
          <w:color w:val="auto"/>
        </w:rPr>
        <w:t>”</w:t>
      </w:r>
    </w:p>
    <w:p>
      <w:pPr>
        <w:spacing w:after="0" w:line="131" w:lineRule="exact"/>
        <w:rPr>
          <w:sz w:val="20"/>
          <w:szCs w:val="20"/>
          <w:color w:val="auto"/>
        </w:rPr>
      </w:pPr>
    </w:p>
    <w:p>
      <w:pPr>
        <w:ind w:left="540" w:right="100" w:hanging="316"/>
        <w:spacing w:after="0" w:line="259"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HEC is unable to complete a business combination within the completion window, the Sponsor will be liable under certain circumstances to ensure that the proceeds in the trust account are not reduced by the claims of target businesses or claims of vendors or other entities that are owed money by HEC for services rendered or contracted for or products sold to HEC. If HEC consummates a business combination, on the other hand, HEC will be liable for all such claims.</w:t>
      </w:r>
    </w:p>
    <w:p>
      <w:pPr>
        <w:spacing w:after="0" w:line="92" w:lineRule="exact"/>
        <w:rPr>
          <w:rFonts w:ascii="Arial" w:cs="Arial" w:eastAsia="Arial" w:hAnsi="Arial"/>
          <w:sz w:val="18"/>
          <w:szCs w:val="18"/>
          <w:color w:val="auto"/>
        </w:rPr>
      </w:pPr>
    </w:p>
    <w:p>
      <w:pPr>
        <w:ind w:left="540" w:right="280" w:hanging="316"/>
        <w:spacing w:after="0" w:line="257"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HEC’s officers and directors, and their affiliates are entitled to reimbursement of out-of-pocket expenses incurred by them in connection with certain activities on HEC’s behalf, such as identifying and investigating possible business targets and business combinations. However, if HEC fails to consummate a business combination within the completion window, they will not have any claim against the trust account for reimbursement. Accordingly, HEC may not be able to reimburse these expenses if the Transactions or another business combination, are not completed within the completion window.</w:t>
      </w:r>
    </w:p>
    <w:p>
      <w:pPr>
        <w:spacing w:after="0" w:line="93" w:lineRule="exact"/>
        <w:rPr>
          <w:rFonts w:ascii="Arial" w:cs="Arial" w:eastAsia="Arial" w:hAnsi="Arial"/>
          <w:sz w:val="18"/>
          <w:szCs w:val="18"/>
          <w:color w:val="auto"/>
        </w:rPr>
      </w:pPr>
    </w:p>
    <w:p>
      <w:pPr>
        <w:ind w:left="540" w:hanging="316"/>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continued indemnification of current directors and officers and the continuation of directors’ and officers’ liability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Engagements in Connection with the Transactions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Pursuant to the Engagement Letter, each of J.P. Morgan’s Equity Capital Markets group and Citigroup is acting as HEC’s joint placement agent and joint capital markets advisor. As placement agents, J.P. Morgan and Citigroup agreed to assist HEC in (i) identifying and contacting potential purchasers of the PIPE Investment, (ii) soliciting and receiving offers to purchase the PIPE Investment, (iii) assisting HEC in preparing an investor presentation and/or marketing materials for distribution to potential purchasers based entirely on information provided by HEC to such advisors and (iv) negotiating the financial aspects of the PIPE Investment. In their capacity as capital markets advisors, they agreed to (i) familiarize themselves with the financial condition and businesses of HEC and Talkspace, and assist HEC in reviewing Talkspace’s forecast of its projected operating performance, as well as assist HEC in reviewing and analyzing the historic operating and financial performance of companies in the same industries as Talkspace, (ii) provide advice to HEC and, following HEC’s request, Talkspace, on its investor communication strategy, (iii) together with HEC’s legal counsel and other third party advisors, assist HEC and Talkspace in formulating an investment thesis with respect to Talkspace, after giving effect to the Transactions, and together with HEC’s legal counsel and other third party advisors, in the preparation of materials to be presented by HEC and Talkspace to investors and/or third party research analysts, (iv) following HEC’s request, arrange investor meetings to be conducted by HEC and Talkspace with investors,</w:t>
      </w:r>
    </w:p>
    <w:p>
      <w:pPr>
        <w:spacing w:after="0" w:line="4" w:lineRule="exact"/>
        <w:rPr>
          <w:sz w:val="20"/>
          <w:szCs w:val="20"/>
          <w:color w:val="auto"/>
        </w:rPr>
      </w:pPr>
    </w:p>
    <w:p>
      <w:pPr>
        <w:ind w:left="120" w:right="20" w:hanging="4"/>
        <w:spacing w:after="0" w:line="292" w:lineRule="auto"/>
        <w:tabs>
          <w:tab w:leader="none" w:pos="37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following HEC’s request, provide the HEC and Talkspace with feedback received by them from investors and (vi) following HEC’s request, provide HEC and Talkspace with periodic updates on the relevant public equity markets and their perspectives on trends in investor sentiment. In respect of such services, upon the consummation of the Transactions, each of J.P. Morgan’s Equity Capital Markets group and Citigroup will receive fees and expense reimbursements customary for a PIPE transaction (subject to the terms and conditions of the Engagement Letter) of this nature, and as such, J.P. Morgan’s Equity Capital Markets group and Citigroup may have conflicts of interest. HEC’s stockholders should consider these interests.</w:t>
      </w:r>
    </w:p>
    <w:p>
      <w:pPr>
        <w:spacing w:after="0" w:line="16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additional information on the deferred underwriting fees due to each of J.P. Morgan’s Equity Capital Markets group and Citigroup, see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Related to HEC—Initial Public Offering and Simultaneous Private Placement</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Following the Business Combination</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Upon the Closing, the HEC Board anticipates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successors are duly elected and qualified, or until their earlier resignation, removal or death.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 and for additional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Pursuant to HEC’s current certificate of incorporation, public stockholders may seek to redeem their shares for cash, irrespective of whether they vote “for” or “against” the business combination proposal or don’t vote at all. Any stockholder holding public shares as of the record date who votes “for” or “against” the business combination proposal may demand that HEC redeem such shares for a full pro rata portion of the trust account (which, for illustrative purposes, was approximately $10.01 per share as of May 19, 2021, the record date for the special meeting), calculated as of two business days prior to the anticipated consummation of the business combination. If a holder properly seeks redemption as described in this section and the business combination is consummated, HEC will redeem these shares for a pro rata portion of funds deposited in the trust account and the holder will no longer own these shares following the business combination.</w:t>
      </w:r>
    </w:p>
    <w:p>
      <w:pPr>
        <w:spacing w:after="0" w:line="17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Notwithstanding the foregoing, a public stockholder, together with any affiliate such holder or any other person with whom such holder is acting in concert or as a “group” (as defined in Section 13(d)(3) of the Exchange Act), will be restricted from seeking redemption rights with respect to more than 20% of the public shares. Accordingly, all public shares in excess of 20% held by a public stockholder, together with any affiliate of such holder or any other person with whom such holder is acting in concert or as a “group,” will not be redeemed for cash.</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Sponsor and the Insiders will not have redemption rights with respect to any shares of HEC’s common stock owned by them in connection with the Transactions.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Each public stockholder may elect to redeem its public shares irrespective of whether they vote for or against the proposed transaction or whether they were a stockholder on the record date for the stockholder meeting held to approve the proposed transaction. Public stockholders may demand redemption by delivering their stock, either physically or electronically using Depository Trust Company’s DWAC System, to HEC’s transfer agent prior to the vote at the special meeting. If you hold the shares in street name, you will have to coordinate with your broker to have your shares certificated or delivered electronically. Certificates that have not been tendered (either physically or electronically) in accordance with these procedures will not be redeemed for cash. There is a nominal cost associated with this tendering process and the act of certificating the shares or delivering them through the DWAC system. The transfer agent will typically charge the tendering broker $100 and it would be up to the broker whether or not to pass this cost on to the redeeming stockholder. In the event the proposed business combination is not consummated this may result in an additional cost to stockholders for the return of their shares.</w:t>
      </w:r>
    </w:p>
    <w:p>
      <w:pPr>
        <w:spacing w:after="0" w:line="18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Any request to redeem such shares, once made, may be withdrawn at any time up to the vote on the business combination proposal. Furthermore, if a holder of a public share delivered its certificate in connection with an election of its redemption and subsequently decides prior to the applicable date not to elect to exercise such rights, it may simply request that the transfer agent return the certificate (physically or electronically).</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the business combination is not approved or completed for any reason, then HEC’s public stockholders who elected to exercise their redemption rights will not be entitled to redeem their shares for a full pro rata portion of the trust account, as applicable. In such case, HEC will promptly return any shares delivered by public stockholders. Additionally, if HEC would be left with less than $5,000,001 of net tangible assets as a result of the public stockholders properly demanding redemption of their shares for cash, HEC will not be able to consummate the business combination.</w:t>
      </w:r>
    </w:p>
    <w:p>
      <w:pPr>
        <w:spacing w:after="0" w:line="17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closing price of HEC’s Class A common stock on May 19, 2021, the record date for the special meeting, was $9.90 per share. The cash held in the trust account on such date was approximately $414,279,375.01 ($10.01 per public share). Prior to exercising redemption rights, stockholders should verify the market price of HEC’s common stock as they may receive higher proceeds from the sale of their HEC’s common stock in the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market than from exercising their redemption rights if the market price per share is higher than the redemption price. HEC cannot assure its stockholders that they will be able to sell their shares of HEC’s common stock in the open market, even if the market price per share is higher than the redemption price stated above, as there may not be sufficient liquidity in its securities when its stockholders wish to sell their shares.</w:t>
      </w:r>
    </w:p>
    <w:p>
      <w:pPr>
        <w:spacing w:after="0" w:line="165"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If a public stockholder exercises its redemption rights, then it will be exchanging its shares of HEC’s common stock for cash and will no longer own those shares. You will be entitled to receive cash for these shares only if you affirmatively vote “for” or “against” the business combination proposal and properly demand redemption no later than the close of the vote on the business combination proposal by delivering your stock certificate (either physically or electronically) to HEC’s transfer agent prior to the vote at the special meeting, and the business combination is consummated.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following table summarizes the estimated sources and uses for funding the Transactions assuming (i) an estimated $49.0 million in transaction expenses of the parties to the Merger Agreement and (ii) no public stockholders of HEC exercise redemption rights with respect to their public shares for a pro rata share of the funds in HEC’s trust account (all amounts in millions):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Sources and Uses </w:t>
      </w:r>
      <w:r>
        <w:rPr>
          <w:rFonts w:ascii="Arial" w:cs="Arial" w:eastAsia="Arial" w:hAnsi="Arial"/>
          <w:sz w:val="14"/>
          <w:szCs w:val="14"/>
          <w:b w:val="1"/>
          <w:bCs w:val="1"/>
          <w:i w:val="1"/>
          <w:iCs w:val="1"/>
          <w:color w:val="auto"/>
        </w:rPr>
        <w:t>($mm)</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Sources</w:t>
            </w:r>
          </w:p>
        </w:tc>
        <w:tc>
          <w:tcPr>
            <w:tcW w:w="4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Uses</w:t>
            </w:r>
          </w:p>
        </w:tc>
        <w:tc>
          <w:tcPr>
            <w:tcW w:w="1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Seller rollover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839</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Seller rollover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SPAC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414</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Cash to Shareholders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to Balance Sheet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Sponsor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 Forward Purchase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Sponsor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400" w:type="dxa"/>
            <w:vAlign w:val="bottom"/>
          </w:tcPr>
          <w:p>
            <w:pPr>
              <w:spacing w:after="0"/>
              <w:rPr>
                <w:sz w:val="19"/>
                <w:szCs w:val="19"/>
                <w:color w:val="auto"/>
              </w:rPr>
            </w:pPr>
          </w:p>
        </w:tc>
        <w:tc>
          <w:tcPr>
            <w:tcW w:w="3380" w:type="dxa"/>
            <w:vAlign w:val="bottom"/>
            <w:gridSpan w:val="3"/>
          </w:tcPr>
          <w:p>
            <w:pPr>
              <w:ind w:left="38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following table summarizes the estimated sources and uses for funding the Transactions assuming (i) an estimated $49.0 million in transaction expenses of the parties to the Merger Agreement and (ii) 36,400,000 of HEC’s public shares are redeemed for an aggregate payment of $364.0 million to HEC’s public stockholders (all amounts in millions):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Sources and Uses </w:t>
      </w:r>
      <w:r>
        <w:rPr>
          <w:rFonts w:ascii="Arial" w:cs="Arial" w:eastAsia="Arial" w:hAnsi="Arial"/>
          <w:sz w:val="14"/>
          <w:szCs w:val="14"/>
          <w:b w:val="1"/>
          <w:bCs w:val="1"/>
          <w:i w:val="1"/>
          <w:iCs w:val="1"/>
          <w:color w:val="auto"/>
        </w:rPr>
        <w:t>($mm)</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Sources</w:t>
            </w:r>
          </w:p>
        </w:tc>
        <w:tc>
          <w:tcPr>
            <w:tcW w:w="4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Uses</w:t>
            </w:r>
          </w:p>
        </w:tc>
        <w:tc>
          <w:tcPr>
            <w:tcW w:w="1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Seller rollover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1,178</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Seller rollover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1,178</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SPAC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Cash to Shareholders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to Balance Sheet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Sponsor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 Forward Purchase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Sponsor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400" w:type="dxa"/>
            <w:vAlign w:val="bottom"/>
          </w:tcPr>
          <w:p>
            <w:pPr>
              <w:spacing w:after="0"/>
              <w:rPr>
                <w:sz w:val="19"/>
                <w:szCs w:val="19"/>
                <w:color w:val="auto"/>
              </w:rPr>
            </w:pPr>
          </w:p>
        </w:tc>
        <w:tc>
          <w:tcPr>
            <w:tcW w:w="3380" w:type="dxa"/>
            <w:vAlign w:val="bottom"/>
            <w:gridSpan w:val="3"/>
          </w:tcPr>
          <w:p>
            <w:pPr>
              <w:ind w:left="38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Transactions are subject to these requirements and may not be completed until the expiration of a 30-day waiting period following the filing of the required Notification and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Report Forms with the Antitrust Division and the FTC or until early termination is granted. If the FTC or the Antitrust Division issues a Second Request within the initial 30-day waiting period, the waiting period with respect to the Transactions will be extended for an additional period of 30 calendar days, which will begin on the date on which the filing parties each certify compliance with the Second Request. Complying with a Second Request can take a significant period of time. On January 27, 2020, HEC and Talkspace filed the required forms under the HSR Act with the Antitrust Division and the FTC. The initial 30-day waiting period with respect to the Transactions, which cannot expire on a Saturday, Sunday or a U.S. federal holiday, expired at 11:59 p.m. Eastern Time on February 26, 2021.</w:t>
      </w:r>
    </w:p>
    <w:p>
      <w:pPr>
        <w:spacing w:after="0" w:line="17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At any time before or after consummation of the Transactions, notwithstanding termination of the waiting period under the HSR Act, the applicable competition authorities could take such action under applicable antitrust laws as each deems necessary or desirable in the public interest, including seeking to enjoin the consummation of the Transactions. Private parties may also seek to take legal action under the antitrust laws under certain circumstances. There is no assurance that the Antitrust Division, the FTC, any state attorney general, or any other government authority will not attempt to challenge the Transactions on antitrust grounds, and, if such a challenge is made, we cannot assure you as to its result.</w:t>
      </w:r>
    </w:p>
    <w:p>
      <w:pPr>
        <w:spacing w:after="0" w:line="16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Neither HEC nor Talkspace is aware of any material regulatory approvals or actions that are required for completion of the Transactions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approval of the business combination proposal will require the affirmative vote of a majority of the votes cast by holders of HEC’s outstanding shares of HEC’s common stock represented at the special meeting by attendance via the virtual meeting website or by proxy and entitled to vote at the special meeting. Additionally, the business combination will not be consummated if HEC has less than $5,000,001 of net tangible assets after taking into account the public stockholders that properly demanded that HEC redeem their public shares for their pro rata share of the trust account.</w:t>
      </w:r>
    </w:p>
    <w:p>
      <w:pPr>
        <w:spacing w:after="0" w:line="157"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Consummation of the Transactions is conditioned on the approval of each of the Condition Precedent Proposals. It is important for you to note that in the event that the Condition Precedent Proposals do not receive the requisite vote for approval, we will not consummate the Transactions.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20" w:right="400"/>
        <w:spacing w:after="0" w:line="282" w:lineRule="auto"/>
        <w:rPr>
          <w:sz w:val="20"/>
          <w:szCs w:val="20"/>
          <w:color w:val="auto"/>
        </w:rPr>
      </w:pPr>
      <w:r>
        <w:rPr>
          <w:rFonts w:ascii="Arial" w:cs="Arial" w:eastAsia="Arial" w:hAnsi="Arial"/>
          <w:sz w:val="18"/>
          <w:szCs w:val="18"/>
          <w:b w:val="1"/>
          <w:bCs w:val="1"/>
          <w:color w:val="auto"/>
        </w:rPr>
        <w:t>THE HEC BOARD OF DIRECTORS UNANIMOUSLY RECOMMENDS THAT THE HEC STOCKHOLDERS VOTE “FOR” THE APPROVAL OF THE BUSINESS COMBINATION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2—THE CHARTER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 xml:space="preserve">HEC stockholders are also being asked to adopt the second amended and restated certificate of incorporation in the form attached hereto as </w:t>
      </w:r>
      <w:r>
        <w:rPr>
          <w:rFonts w:ascii="Arial" w:cs="Arial" w:eastAsia="Arial" w:hAnsi="Arial"/>
          <w:sz w:val="17"/>
          <w:szCs w:val="17"/>
          <w:i w:val="1"/>
          <w:iCs w:val="1"/>
          <w:color w:val="auto"/>
        </w:rPr>
        <w:t>Annex B</w:t>
      </w:r>
      <w:r>
        <w:rPr>
          <w:rFonts w:ascii="Arial" w:cs="Arial" w:eastAsia="Arial" w:hAnsi="Arial"/>
          <w:sz w:val="17"/>
          <w:szCs w:val="17"/>
          <w:color w:val="auto"/>
        </w:rPr>
        <w:t>, which, in the judgment of the HEC Board, is necessary to adequately address the needs of HEC following the Closing.</w:t>
      </w:r>
    </w:p>
    <w:p>
      <w:pPr>
        <w:spacing w:after="0" w:line="146"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 xml:space="preserve">The following is a summary of the key changes effected by the second amended and restated certificate of incorporation, but this summary is qualified in its entirety by reference to the full text of the second amended and restated certificate of incorporation, a copy of which is included as </w:t>
      </w:r>
      <w:r>
        <w:rPr>
          <w:rFonts w:ascii="Arial" w:cs="Arial" w:eastAsia="Arial" w:hAnsi="Arial"/>
          <w:sz w:val="16"/>
          <w:szCs w:val="16"/>
          <w:i w:val="1"/>
          <w:iCs w:val="1"/>
          <w:color w:val="auto"/>
        </w:rPr>
        <w:t>Annex B</w:t>
      </w:r>
      <w:r>
        <w:rPr>
          <w:rFonts w:ascii="Arial" w:cs="Arial" w:eastAsia="Arial" w:hAnsi="Arial"/>
          <w:sz w:val="16"/>
          <w:szCs w:val="16"/>
          <w:color w:val="auto"/>
        </w:rPr>
        <w:t>:</w:t>
      </w:r>
    </w:p>
    <w:p>
      <w:pPr>
        <w:spacing w:after="0" w:line="29" w:lineRule="exact"/>
        <w:rPr>
          <w:sz w:val="20"/>
          <w:szCs w:val="20"/>
          <w:color w:val="auto"/>
        </w:rPr>
      </w:pPr>
    </w:p>
    <w:p>
      <w:pPr>
        <w:jc w:val="both"/>
        <w:ind w:left="540" w:hanging="316"/>
        <w:spacing w:after="0" w:line="263"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increase the total number of shares of our capital stock from 401,000,000 shares to 1,100,000,000 shares, which would consist of (A) increasing (i) HEC’s Class A common stock from 380,000,000 shares to 1,000,000,000 and (ii) the preferred stock from 1,000,000 shares to 100,000,000 shares, and (B) eliminating HEC’s Class B common stock;</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changing the corporate name from “Hudson Executive Investment Corp.” to “Talkspace, Inc.”</w:t>
      </w:r>
    </w:p>
    <w:p>
      <w:pPr>
        <w:spacing w:after="0" w:line="130" w:lineRule="exact"/>
        <w:rPr>
          <w:rFonts w:ascii="Arial" w:cs="Arial" w:eastAsia="Arial" w:hAnsi="Arial"/>
          <w:sz w:val="18"/>
          <w:szCs w:val="18"/>
          <w:color w:val="auto"/>
        </w:rPr>
      </w:pPr>
    </w:p>
    <w:p>
      <w:pPr>
        <w:ind w:left="540" w:right="1000" w:hanging="316"/>
        <w:spacing w:after="0" w:line="277"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remove certain provisions related to our status as a blank check company that will no longer be applicable upon consummation of the Transactions;</w:t>
      </w:r>
    </w:p>
    <w:p>
      <w:pPr>
        <w:spacing w:after="0" w:line="75" w:lineRule="exact"/>
        <w:rPr>
          <w:rFonts w:ascii="Arial" w:cs="Arial" w:eastAsia="Arial" w:hAnsi="Arial"/>
          <w:sz w:val="18"/>
          <w:szCs w:val="18"/>
          <w:color w:val="auto"/>
        </w:rPr>
      </w:pPr>
    </w:p>
    <w:p>
      <w:pPr>
        <w:ind w:left="540" w:right="160" w:hanging="316"/>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that certain transactions are not “corporate opportunities” and that the Identified Persons (as defined in the second amended and restated certificate of incorporation) are not subject to the doctrine of corporate opportunity and such Identified Persons do not have any fiduciary duty to refrain from engaging directly or indirectly in the same or similar business activities or lines of business as Talkspace, Inc. or any of its subsidiaries;</w:t>
      </w:r>
    </w:p>
    <w:p>
      <w:pPr>
        <w:spacing w:after="0" w:line="92" w:lineRule="exact"/>
        <w:rPr>
          <w:rFonts w:ascii="Arial" w:cs="Arial" w:eastAsia="Arial" w:hAnsi="Arial"/>
          <w:sz w:val="18"/>
          <w:szCs w:val="18"/>
          <w:color w:val="auto"/>
        </w:rPr>
      </w:pPr>
    </w:p>
    <w:p>
      <w:pPr>
        <w:ind w:left="540" w:right="120" w:hanging="316"/>
        <w:spacing w:after="0" w:line="286" w:lineRule="auto"/>
        <w:tabs>
          <w:tab w:leader="none" w:pos="5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provide that Talkspace, Inc. will not be governed by Section 203 of the DGCL and, instead, include a provision in the second amended and restated certificate of incorporation that is substantially similar to Section 203 of the DGCL, and acknowledge that certain stockholders cannot be “interested stockholders” (as defined in the second amended and restated certificate of incorporation);</w:t>
      </w:r>
    </w:p>
    <w:p>
      <w:pPr>
        <w:spacing w:after="0" w:line="70" w:lineRule="exact"/>
        <w:rPr>
          <w:rFonts w:ascii="Arial" w:cs="Arial" w:eastAsia="Arial" w:hAnsi="Arial"/>
          <w:sz w:val="17"/>
          <w:szCs w:val="17"/>
          <w:color w:val="auto"/>
        </w:rPr>
      </w:pPr>
    </w:p>
    <w:p>
      <w:pPr>
        <w:ind w:left="540" w:right="60" w:hanging="316"/>
        <w:spacing w:after="0" w:line="279" w:lineRule="auto"/>
        <w:tabs>
          <w:tab w:leader="none" w:pos="5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provide that any action required to be taken or permitted to be taken at any annual or special meeting of Talkspace, Inc. must be effected by a duly called annual or special meeting of such stockholders and may not be taken by written consent of the stockholders, except, any action required to be taken or permitted to be taken by the holders of preferred stock may be taken by written consent to the extent expressly provided in the applicable certificate of designation relating to such series of preferred stock; and</w:t>
      </w:r>
    </w:p>
    <w:p>
      <w:pPr>
        <w:spacing w:after="0" w:line="76" w:lineRule="exact"/>
        <w:rPr>
          <w:rFonts w:ascii="Arial" w:cs="Arial" w:eastAsia="Arial" w:hAnsi="Arial"/>
          <w:sz w:val="17"/>
          <w:szCs w:val="17"/>
          <w:color w:val="auto"/>
        </w:rPr>
      </w:pPr>
    </w:p>
    <w:p>
      <w:pPr>
        <w:ind w:left="540" w:right="40" w:hanging="316"/>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that in addition to any vote required by applicable law, the provisions in the second amended and restated certificate of incorporation relating to (i) amendments of the certificate of incorporation and bylaws of HEC, (ii) the board of directors and (iii) competition and corporate opportunities, may only be amended, by the affirmative vote of the holders of at least two-thirds voting power of all the then-outstanding shares of stock of HEC entitled to vote thereon, voting together as a single class.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Amendments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Each of these amendments was negotiated as part of the Transactions. The HEC Board’s reasons for proposing each of these amendments to the certificate of incorporation are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Authorized Shares</w:t>
      </w:r>
    </w:p>
    <w:p>
      <w:pPr>
        <w:spacing w:after="0" w:line="131" w:lineRule="exact"/>
        <w:rPr>
          <w:sz w:val="20"/>
          <w:szCs w:val="20"/>
          <w:color w:val="auto"/>
        </w:rPr>
      </w:pPr>
    </w:p>
    <w:p>
      <w:pPr>
        <w:ind w:left="540" w:right="220" w:hanging="316"/>
        <w:spacing w:after="0" w:line="279" w:lineRule="auto"/>
        <w:tabs>
          <w:tab w:leader="none" w:pos="5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principal purpose of this proposal is to provide for an authorized capital structure of Talkspace, Inc. that will enable it to continue as an operating company governed by the DGCL. Our board of directors believes that it is important for us to have available for issuance a number of authorized shares of Talkspace, Inc. common stock and preferred stock sufficient to support our growth and to provide flexibility for future corporate needs. The amendment also provides for the increase necessary to consummate the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311" w:lineRule="auto"/>
        <w:rPr>
          <w:sz w:val="20"/>
          <w:szCs w:val="20"/>
          <w:color w:val="auto"/>
        </w:rPr>
      </w:pPr>
      <w:r>
        <w:rPr>
          <w:rFonts w:ascii="Arial" w:cs="Arial" w:eastAsia="Arial" w:hAnsi="Arial"/>
          <w:sz w:val="16"/>
          <w:szCs w:val="16"/>
          <w:color w:val="auto"/>
        </w:rPr>
        <w:t>including, without limitation, the PIPE Investment, the HEC Forward Purchase, the issuances of Talkspace, Inc. common stock upon the exercise of HEC warrants and also provides flexibility for future issuances of Talkspace, Inc. common stock if determined by the HEC Board to be in the best interests of HEC without incurring the risk, delay and potential expense incident to obtaining stockholder approval for a particular issuance.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Name</w:t>
      </w:r>
    </w:p>
    <w:p>
      <w:pPr>
        <w:spacing w:after="0" w:line="131" w:lineRule="exact"/>
        <w:rPr>
          <w:sz w:val="20"/>
          <w:szCs w:val="20"/>
          <w:color w:val="auto"/>
        </w:rPr>
      </w:pPr>
    </w:p>
    <w:p>
      <w:pPr>
        <w:ind w:left="540" w:right="80" w:hanging="316"/>
        <w:spacing w:after="0" w:line="277"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HEC Board believes that changing the post-business combination corporate name from “Hudson Executive Investment Corp.” to “Talkspace, Inc.” is desirable to reflect the Transactions and to clearly identify Talkspace, Inc. as the publicly traded entity.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Provisions Related to Status as Blank Check Company</w:t>
      </w:r>
    </w:p>
    <w:p>
      <w:pPr>
        <w:spacing w:after="0" w:line="131" w:lineRule="exact"/>
        <w:rPr>
          <w:sz w:val="20"/>
          <w:szCs w:val="20"/>
          <w:color w:val="auto"/>
        </w:rPr>
      </w:pPr>
    </w:p>
    <w:p>
      <w:pPr>
        <w:ind w:left="540" w:hanging="316"/>
        <w:spacing w:after="0" w:line="271" w:lineRule="auto"/>
        <w:tabs>
          <w:tab w:leader="none" w:pos="5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elimination of certain provisions related to HEC’s status as a blank check company is desirable because these provisions will serve no purpose following consummation of the Transactions. For example, the second amended and restated certificate of incorporation does not include the requirement to dissolve Talkspace, Inc. and allows it to continue as a corporate entity with perpetual existence following consummation of the Transactions. Perpetual existence is the usual period of existence for public corporations, and the board of directors believes it is the most appropriate period for Talkspace, Inc. following consummation of the Transactions. In addition, certain other provisions in HEC’s current certificate of incorporation require that proceeds from HEC’s initial public offering be held in the trust account until a business combination or liquidation of HEC has occurred. These provisions cease to apply once the Transactions are consummated and are therefore not included in the second amended and restated certificate of incorporation.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31" w:lineRule="exact"/>
        <w:rPr>
          <w:sz w:val="20"/>
          <w:szCs w:val="20"/>
          <w:color w:val="auto"/>
        </w:rPr>
      </w:pPr>
    </w:p>
    <w:p>
      <w:pPr>
        <w:ind w:left="540" w:right="580" w:hanging="316"/>
        <w:spacing w:after="0" w:line="277"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Under the second amended and restated certificate of incorporation, Talkspace, Inc.’s stockholders will have the ability to propose items of business (subject to the restrictions set forth therein) at duly convened stockholder meetings.</w:t>
      </w:r>
    </w:p>
    <w:p>
      <w:pPr>
        <w:spacing w:after="0" w:line="75" w:lineRule="exact"/>
        <w:rPr>
          <w:rFonts w:ascii="Arial" w:cs="Arial" w:eastAsia="Arial" w:hAnsi="Arial"/>
          <w:sz w:val="18"/>
          <w:szCs w:val="18"/>
          <w:color w:val="auto"/>
        </w:rPr>
      </w:pPr>
    </w:p>
    <w:p>
      <w:pPr>
        <w:ind w:left="540" w:right="60" w:hanging="316"/>
        <w:spacing w:after="0" w:line="257"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Eliminating the right of stockholders to act by written consent limits the circumstances under which stockholders can act on their own initiative to remove directors, or alter or amend Talkspace, Inc.’s organizational documents outside of a duly called special or annual meeting of the stockholders of Talkspace, Inc. Further, the HEC Board believes continuing to limit stockholders’ ability to act by written consent will reduce the time and effort our board of directors and management would need to devote to stockholder proposals, which time and effort could distract our directors and management from other important company business.</w:t>
      </w:r>
    </w:p>
    <w:p>
      <w:pPr>
        <w:spacing w:after="0" w:line="93" w:lineRule="exact"/>
        <w:rPr>
          <w:rFonts w:ascii="Arial" w:cs="Arial" w:eastAsia="Arial" w:hAnsi="Arial"/>
          <w:sz w:val="18"/>
          <w:szCs w:val="18"/>
          <w:color w:val="auto"/>
        </w:rPr>
      </w:pPr>
    </w:p>
    <w:p>
      <w:pPr>
        <w:ind w:left="540" w:right="160" w:hanging="316"/>
        <w:spacing w:after="0" w:line="254"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addition, the elimination of the stockholders’ ability to act by written consent may have certain anti-takeover effects by forcing a potential acquiror to take control of the board of directors only at a duly called special or annual meeting. However, this proposal is not in response to any effort of which HEC is aware to obtain control of Talkspace, Inc., and HEC and its management do not presently intend to propose other anti-takeover measures in future proxy solicitations. Further, the HEC Board does not believe that the effects of the elimination of stockholder action by written consent will create a significant impediment to a tender offer or other effort to take control of Talkspace, Inc. Inclusion of these provisions in the second amended and restated certificate of incorporation might also increase the likelihood that a potential acquiror would negotiate the terms of any proposed transaction with the HEC Board and thereby help protect stockholders from the use of abusive and coercive takeover tactics.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Opportunity</w:t>
      </w:r>
    </w:p>
    <w:p>
      <w:pPr>
        <w:spacing w:after="0" w:line="131" w:lineRule="exact"/>
        <w:rPr>
          <w:sz w:val="20"/>
          <w:szCs w:val="20"/>
          <w:color w:val="auto"/>
        </w:rPr>
      </w:pPr>
    </w:p>
    <w:p>
      <w:pPr>
        <w:ind w:left="540" w:right="500" w:hanging="316"/>
        <w:spacing w:after="0" w:line="277"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second amended and restated certificate of incorporation excludes certain transactions from being “corporate opportunities” and further provides that each Identified Person is not subject to the doctrine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79" w:lineRule="auto"/>
        <w:rPr>
          <w:sz w:val="20"/>
          <w:szCs w:val="20"/>
          <w:color w:val="auto"/>
        </w:rPr>
      </w:pPr>
      <w:r>
        <w:rPr>
          <w:rFonts w:ascii="Arial" w:cs="Arial" w:eastAsia="Arial" w:hAnsi="Arial"/>
          <w:sz w:val="17"/>
          <w:szCs w:val="17"/>
          <w:color w:val="auto"/>
        </w:rPr>
        <w:t>corporate opportunity and does not have any fiduciary duty to refrain from engaging directly or indirectly in the same or similar business activities or lines of business as Talkspace, Inc. or any of its subsidiaries. The HEC Board believes that this change is appropriate because each Identified Person should not be restricted from investing in or operating similar businesses and such parties would be unwilling or unable to enter into the Transactions without such assurances due to their activities as investors in a wide range of companies.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Vote to Amend the Certificate of Incorporation</w:t>
      </w:r>
    </w:p>
    <w:p>
      <w:pPr>
        <w:spacing w:after="0" w:line="131" w:lineRule="exact"/>
        <w:rPr>
          <w:sz w:val="20"/>
          <w:szCs w:val="20"/>
          <w:color w:val="auto"/>
        </w:rPr>
      </w:pPr>
    </w:p>
    <w:p>
      <w:pPr>
        <w:ind w:left="540" w:hanging="316"/>
        <w:spacing w:after="0" w:line="257"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second amended and restated certificate of incorporation requires the affirmative vote of at least two-thirds of the voting power of the outstanding shares of Talkspace, Inc. common stock to amend, alter, repeal or rescind Articles V(B), VI, VII, IX, X, XI, XII and XIII. The HEC Board believes this amendment protects key provisions of the second amended and restated certificate of incorporation from arbitrary amendment and prevents a simple majority of stockholders from taking actions that may be harmful to other stockholders or making changes to provisions that are intended to protect all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DGCL 203 Opt Out and Replacement</w:t>
      </w:r>
    </w:p>
    <w:p>
      <w:pPr>
        <w:spacing w:after="0" w:line="131" w:lineRule="exact"/>
        <w:rPr>
          <w:sz w:val="20"/>
          <w:szCs w:val="20"/>
          <w:color w:val="auto"/>
        </w:rPr>
      </w:pPr>
    </w:p>
    <w:p>
      <w:pPr>
        <w:ind w:left="540" w:right="160" w:hanging="316"/>
        <w:spacing w:after="0" w:line="277"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HEC Board intends to shield stockholders from the coerciveness of front-end loaded two-tier offers by preventing the offeror from effecting the second step of the offer unless the target’s board of directors approves such transaction.</w:t>
      </w:r>
    </w:p>
    <w:p>
      <w:pPr>
        <w:spacing w:after="0" w:line="75" w:lineRule="exact"/>
        <w:rPr>
          <w:rFonts w:ascii="Arial" w:cs="Arial" w:eastAsia="Arial" w:hAnsi="Arial"/>
          <w:sz w:val="18"/>
          <w:szCs w:val="18"/>
          <w:color w:val="auto"/>
        </w:rPr>
      </w:pPr>
    </w:p>
    <w:p>
      <w:pPr>
        <w:ind w:left="540" w:hanging="316"/>
        <w:spacing w:after="0" w:line="288"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Talkspace, Inc. will not be subject to Section 203 of the DGCL, an anti-takeover law. Section 203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85% of the outstanding voting stock of the corporation at the time of the transaction (excluding stock owned by certain persons); or (iii) at the time or after the stockholder became an interested stockholder, the board of directors and at least two-thirds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73" w:lineRule="exact"/>
        <w:rPr>
          <w:rFonts w:ascii="Arial" w:cs="Arial" w:eastAsia="Arial" w:hAnsi="Arial"/>
          <w:sz w:val="16"/>
          <w:szCs w:val="16"/>
          <w:color w:val="auto"/>
        </w:rPr>
      </w:pPr>
    </w:p>
    <w:p>
      <w:pPr>
        <w:ind w:left="540" w:right="80" w:hanging="316"/>
        <w:spacing w:after="0" w:line="290"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HEC Board has elected to opt out of Section 203, but the board of directors believes that it is in the best interests of stockholders to have protections similar to those afforded by Section 203. These provisions will encourage any potential acquiror to negotiate with the HEC Board and therefore provides an opportunity to possibly obtain a higher purchase price than would otherwise be offered in connection with a proposed acquisition of Talkspace, Inc. Such provisions may make it more difficult for an acquirer to consummate certain types of unfriendly or hostile corporate takeovers or other transactions involving Talkspace, Inc. that have not been approved by the HEC Board. The HEC Board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Talkspace, Inc. without paying a fair premium to all stockholders.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business combination proposal is not approved, the charter proposal will not be presented at the special meeting.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approval of the charter proposal will require the affirmative vote of the holders of a majority of the outstanding shares of Talkspace, Inc. common stock as of the record date. Accordingly, if a valid quorum is established, a HEC stockholder’s failure to vote by proxy or to vote at the special meeting with regard to the charter proposal will have the same effect as a vote “against” such proposal. Abstentions and broker-non-votes will count as a vote “against” the charter proposal.</w:t>
      </w:r>
    </w:p>
    <w:p>
      <w:pPr>
        <w:spacing w:after="0" w:line="18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560" w:right="220"/>
        <w:spacing w:after="0" w:line="454" w:lineRule="auto"/>
        <w:rPr>
          <w:sz w:val="20"/>
          <w:szCs w:val="20"/>
          <w:color w:val="auto"/>
        </w:rPr>
      </w:pPr>
      <w:r>
        <w:rPr>
          <w:rFonts w:ascii="Arial" w:cs="Arial" w:eastAsia="Arial" w:hAnsi="Arial"/>
          <w:sz w:val="18"/>
          <w:szCs w:val="18"/>
          <w:b w:val="1"/>
          <w:bCs w:val="1"/>
          <w:color w:val="auto"/>
        </w:rPr>
        <w:t xml:space="preserve">THE HEC BOARD RECOMMENDS THAT STOCKHOLDERS VOTE “FOR” THE APPROVAL OF THE CHARTER PROPOSAL. </w:t>
      </w:r>
      <w:r>
        <w:rPr>
          <w:rFonts w:ascii="Arial" w:cs="Arial" w:eastAsia="Arial" w:hAnsi="Arial"/>
          <w:sz w:val="18"/>
          <w:szCs w:val="18"/>
          <w:color w:val="auto"/>
        </w:rPr>
        <w:t>158</w:t>
      </w:r>
    </w:p>
    <w:p>
      <w:pPr>
        <w:sectPr>
          <w:pgSz w:w="11900" w:h="16838" w:orient="portrait"/>
          <w:cols w:equalWidth="0" w:num="1">
            <w:col w:w="11000"/>
          </w:cols>
          <w:pgMar w:left="320" w:top="459" w:right="5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3—THE GOVERNANCE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HEC stockholders are also being asked to vote on the governance provisions referred to below, which are included in the second amended and restated certificate of incorporation. In accordance with SEC guidance, this proposal is being presented separately and will be voted upon on a non-binding advisory basis.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 xml:space="preserve">In the judgment of the HEC Board, these provisions are necessary to adequately address the needs of HEC and its stockholders following the consummation of the Transactions. Accordingly, regardless of the outcome of the non-binding advisory vote on these proposals, HEC intends that the second amended and restated certificate of incorporation in the form set forth on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will take effect at the Closing, assuming adoption of the charter proposal.</w:t>
      </w:r>
    </w:p>
    <w:p>
      <w:pPr>
        <w:spacing w:after="0" w:line="291" w:lineRule="exact"/>
        <w:rPr>
          <w:sz w:val="20"/>
          <w:szCs w:val="20"/>
          <w:color w:val="auto"/>
        </w:rPr>
      </w:pPr>
    </w:p>
    <w:p>
      <w:pPr>
        <w:ind w:left="120" w:right="4300"/>
        <w:spacing w:after="0" w:line="378" w:lineRule="auto"/>
        <w:rPr>
          <w:sz w:val="20"/>
          <w:szCs w:val="20"/>
          <w:color w:val="auto"/>
        </w:rPr>
      </w:pPr>
      <w:r>
        <w:rPr>
          <w:rFonts w:ascii="Arial" w:cs="Arial" w:eastAsia="Arial" w:hAnsi="Arial"/>
          <w:sz w:val="18"/>
          <w:szCs w:val="18"/>
          <w:b w:val="1"/>
          <w:bCs w:val="1"/>
          <w:color w:val="auto"/>
        </w:rPr>
        <w:t xml:space="preserve">Proposal No. 3A: Stockholder Vote Required to Amend the Certificate of Incorporation </w:t>
      </w:r>
      <w:r>
        <w:rPr>
          <w:rFonts w:ascii="Arial" w:cs="Arial" w:eastAsia="Arial" w:hAnsi="Arial"/>
          <w:sz w:val="18"/>
          <w:szCs w:val="18"/>
          <w:i w:val="1"/>
          <w:iCs w:val="1"/>
          <w:color w:val="auto"/>
        </w:rPr>
        <w:t>Description of Amendment</w:t>
      </w:r>
    </w:p>
    <w:p>
      <w:pPr>
        <w:ind w:left="120"/>
        <w:spacing w:after="0" w:line="263" w:lineRule="auto"/>
        <w:rPr>
          <w:sz w:val="20"/>
          <w:szCs w:val="20"/>
          <w:color w:val="auto"/>
        </w:rPr>
      </w:pPr>
      <w:r>
        <w:rPr>
          <w:rFonts w:ascii="Arial" w:cs="Arial" w:eastAsia="Arial" w:hAnsi="Arial"/>
          <w:sz w:val="18"/>
          <w:szCs w:val="18"/>
          <w:color w:val="auto"/>
        </w:rPr>
        <w:t>The additional amendment would require the approval of the affirmative vote of the holders of at least two-thirds of Talkspace, Inc. common stock to amend, alter repeal or rescind certain provisions of the certificate of incorporation, including any amendments to Article VI (</w:t>
      </w:r>
      <w:r>
        <w:rPr>
          <w:rFonts w:ascii="Arial" w:cs="Arial" w:eastAsia="Arial" w:hAnsi="Arial"/>
          <w:sz w:val="18"/>
          <w:szCs w:val="18"/>
          <w:i w:val="1"/>
          <w:iCs w:val="1"/>
          <w:color w:val="auto"/>
        </w:rPr>
        <w:t>Board of Directors</w:t>
      </w:r>
      <w:r>
        <w:rPr>
          <w:rFonts w:ascii="Arial" w:cs="Arial" w:eastAsia="Arial" w:hAnsi="Arial"/>
          <w:sz w:val="18"/>
          <w:szCs w:val="18"/>
          <w:color w:val="auto"/>
        </w:rPr>
        <w:t>), Article X (</w:t>
      </w:r>
      <w:r>
        <w:rPr>
          <w:rFonts w:ascii="Arial" w:cs="Arial" w:eastAsia="Arial" w:hAnsi="Arial"/>
          <w:sz w:val="18"/>
          <w:szCs w:val="18"/>
          <w:i w:val="1"/>
          <w:iCs w:val="1"/>
          <w:color w:val="auto"/>
        </w:rPr>
        <w:t>Indemnification</w:t>
      </w:r>
      <w:r>
        <w:rPr>
          <w:rFonts w:ascii="Arial" w:cs="Arial" w:eastAsia="Arial" w:hAnsi="Arial"/>
          <w:sz w:val="18"/>
          <w:szCs w:val="18"/>
          <w:color w:val="auto"/>
        </w:rPr>
        <w:t>) and Article XI (</w:t>
      </w:r>
      <w:r>
        <w:rPr>
          <w:rFonts w:ascii="Arial" w:cs="Arial" w:eastAsia="Arial" w:hAnsi="Arial"/>
          <w:sz w:val="18"/>
          <w:szCs w:val="18"/>
          <w:i w:val="1"/>
          <w:iCs w:val="1"/>
          <w:color w:val="auto"/>
        </w:rPr>
        <w:t>Competition and Corporate Opportunities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Reasons for the Amendment</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amendment is intended to protect key provisions of the second amended and restated certificate of incorporation from arbitrary amendment and to prevent a simple majority of stockholders from taking actions that may be harmful to other stockholders or making changes to provisions that are intended to protect all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3B: DGCL 203 Opt Out and Replacement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117"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The additional amendment would cause HEC to not to be governed by Section 203 of the DGCL and, instead, include a provision in the second amended and restated certificate of incorporation that is substantially similar to Section 203 of the DGCL, but excludes certain parties’ from the definition of “interested stockholder,” and to make certain related changes.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the Amendment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amendment is intended to shield stockholders from the coerciveness of front-end loaded two-tier offers by preventing the offeror from effecting the second step of the offer unless the target’s board of directors approves such transaction.</w:t>
      </w:r>
    </w:p>
    <w:p>
      <w:pPr>
        <w:spacing w:after="0" w:line="170" w:lineRule="exact"/>
        <w:rPr>
          <w:sz w:val="20"/>
          <w:szCs w:val="20"/>
          <w:color w:val="auto"/>
        </w:rPr>
      </w:pPr>
    </w:p>
    <w:p>
      <w:pPr>
        <w:ind w:left="120" w:right="400"/>
        <w:spacing w:after="0" w:line="287" w:lineRule="auto"/>
        <w:rPr>
          <w:sz w:val="20"/>
          <w:szCs w:val="20"/>
          <w:color w:val="auto"/>
        </w:rPr>
      </w:pPr>
      <w:r>
        <w:rPr>
          <w:rFonts w:ascii="Arial" w:cs="Arial" w:eastAsia="Arial" w:hAnsi="Arial"/>
          <w:sz w:val="16"/>
          <w:szCs w:val="16"/>
          <w:color w:val="auto"/>
        </w:rPr>
        <w:t>The company will not be subject to Section 203 of the DGCL, an anti-takeover law. Section 203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a person becomes an interested stockholder, unless:</w:t>
      </w:r>
    </w:p>
    <w:p>
      <w:pPr>
        <w:spacing w:after="0" w:line="2" w:lineRule="exact"/>
        <w:rPr>
          <w:sz w:val="20"/>
          <w:szCs w:val="20"/>
          <w:color w:val="auto"/>
        </w:rPr>
      </w:pPr>
    </w:p>
    <w:p>
      <w:pPr>
        <w:ind w:left="120" w:right="300" w:hanging="4"/>
        <w:spacing w:after="0" w:line="277" w:lineRule="auto"/>
        <w:tabs>
          <w:tab w:leader="none" w:pos="33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before such stockholder becomes an “interested stockholder,” the board approves the business combination or the transaction that resulted in the stockholder becoming an interested stockholder; (ii) upon consummation of the transaction which resulted in the stockholder becoming an interested stockholder, the interested stockholder owned at least 85% of the outstanding voting stock of the corporation at the time of the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transaction (excluding stock owned by certain persons); or (iii) at the time or after the stockholder became an interested stockholder, the board and at least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8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The HEC Board has elected to opt out of Section 203, but the board of directors believes that it is in the best interest of stockholders to have protections similar to those afforded by Section 203. These provisions will encourage any potential acquiror to negotiate with the board of directors and therefore provide an opportunity to possibly obtain a higher purchase price than would otherwise be offered in connection with a proposed acquisition of Talkspace, Inc. Such provisions may make it more difficult for an acquirer to consummate certain types of unfriendly or hostile corporate takeovers or other transactions involving the corporation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but will help to prevent a third party from acquiring “creeping control” of Talkspace, Inc. without paying a fair premium to all stockholders. Thus, the board of directors has determined that the provisions included in Article IX (</w:t>
      </w:r>
      <w:r>
        <w:rPr>
          <w:rFonts w:ascii="Arial" w:cs="Arial" w:eastAsia="Arial" w:hAnsi="Arial"/>
          <w:sz w:val="16"/>
          <w:szCs w:val="16"/>
          <w:i w:val="1"/>
          <w:iCs w:val="1"/>
          <w:color w:val="auto"/>
        </w:rPr>
        <w:t>Business Combination</w:t>
      </w:r>
      <w:r>
        <w:rPr>
          <w:rFonts w:ascii="Arial" w:cs="Arial" w:eastAsia="Arial" w:hAnsi="Arial"/>
          <w:sz w:val="16"/>
          <w:szCs w:val="16"/>
          <w:color w:val="auto"/>
        </w:rPr>
        <w:t>), as amended, are in the best interests of HEC and its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3C: Change in Authorized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Increase the total number of shares of our capital stock from 401,000,000 shares to 1,100,000,000 shares, which would consist of (A) increasing (i) HEC’s Class A common stock from 380,000,000 shares to 1,000,000,000 and (ii) the preferred stock from 1,000,000 shares to 100,000,000 shares, and (B) eliminating HEC’s Class B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the Amendment</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principal purpose of this proposal is to provide for an authorized capital structure of Talkspace, Inc. that will enable it to continue as an operating company governed by the DGCL. The HEC Board believes that it is important for us to have available for issuance a number of authorized shares of Talkspace, Inc. common stock and preferred stock sufficient to support our growth and to provide flexibility for future corporate needs. The amendment also provides for the increase necessary to consummate the Transactions including, without limitation, the PIPE Investment, the HEC Forward Purchase, the issuances of Talkspace, Inc. common stock upon the exercise of HEC warrants and also provides flexibility for future issuances of Talkspace, Inc. common stock if determined by the HEC Board to be in the best interests of HEC without incurring the risk, delay and potential expense incident to obtaining stockholder approval for a particular issuance.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3D: Corporate Opportunity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11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amendment provides that certain transactions are not “corporate opportunities” and that each “Identified Person” is not subject to the doctrine of corporate opportunity and does not have any fiduciary duty to refrain from engaging directly or indirectly in the same or similar business activities or lines of business as HEC or any of its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Amendment</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HEC Board believes that this change is appropriate because each Identified Person should not be restricted from investing in or operating similar businesses and such parties would be unwilling or unable to enter into the Transactions without such assurances due to their activities as investors in a wide range of companies.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3E: Action by Written Consent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Under the second amended and restated certificate of incorporation, Talkspace, Inc.’s stockholders will have the ability to propose items of business (subject to the restrictions set forth therein) at duly convened stockholder meetings.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Amendment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Eliminating the right of stockholders to act by written consent limits the circumstances under which stockholders can act on their own initiative to remove directors, or alter or amend Talkspace, Inc.’s organizational documents outside of a duly called special or annual meeting of the stockholders of Talkspace, Inc. Further, the HEC Board believes continuing to limit stockholders’ ability to act by written consent will reduce the time and effort the HEC Board and management would need to devote to stockholder proposals, which time and effort could distract our directors and management from other important company business.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addition, the elimination of the stockholders’ ability to act by written consent may have certain anti-takeover effects by forcing a potential acquiror to take control of the HEC Board only at a duly called special or annual meeting. However, this proposal is not in response to any effort of which HEC is aware to obtain control of Talkspace, Inc., and HEC and its management do not presently intend to propose other anti-takeover measures in future proxy solicitations. Further, the HEC Board does not believe that the effects of the elimination of stockholder action by written consent will create a significant impediment to a tender offer or other effort to take control of Talkspace, Inc. Inclusion of these provisions in the proposed second amended and restated certificate of incorporation might also increase the likelihood that a potential acquiror would negotiate the terms of any proposed transaction with the HEC Board and thereby help protect stockholders from the use of abusive and coercive takeover tactics.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approval of the governance proposal will require the affirmative vote of a majority of the votes cast by holders of our outstanding shares of HEC’s common stock represented in person or by proxy and entitled to vote thereon at the special meeting. Accordingly, a HEC stockholder’s failure to vote by proxy or to vote via the virtual meeting platform during the special meeting, as well as an abstention from voting and a broker non-vote with regard to the governance proposal will have no effect on the governance proposal. Abstentions will be counted in connection with the determination of whether a valid quorum is established but will have no effect on the governance proposal.</w:t>
      </w:r>
    </w:p>
    <w:p>
      <w:pPr>
        <w:spacing w:after="0" w:line="188"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 xml:space="preserve">As discussed above, a vote to approve the governance proposal is an advisory vote, and therefore, is not binding on HEC or the HEC Board. Accordingly, regardless of the outcome of the non-binding advisory vote, HEC intends that the proposed second amended and restated certificate of incorporation, in the form set forth on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and containing the provisions noted above, will take effect at the Closing, assuming adoption of the charter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right="60"/>
        <w:spacing w:after="0" w:line="454" w:lineRule="auto"/>
        <w:rPr>
          <w:sz w:val="20"/>
          <w:szCs w:val="20"/>
          <w:color w:val="auto"/>
        </w:rPr>
      </w:pPr>
      <w:r>
        <w:rPr>
          <w:rFonts w:ascii="Arial" w:cs="Arial" w:eastAsia="Arial" w:hAnsi="Arial"/>
          <w:sz w:val="18"/>
          <w:szCs w:val="18"/>
          <w:b w:val="1"/>
          <w:bCs w:val="1"/>
          <w:color w:val="auto"/>
        </w:rPr>
        <w:t xml:space="preserve">THE HEC BOARD UNANIMOUSLY RECOMMENDS THAT OUR STOCKHOLDERS VOTE “FOR” THE GOVERNANCE PROPOSAL. </w:t>
      </w: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4—THE INCENTIVE PLAN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HEC is asking its shareholders to approve the Talkspace, Inc. 2021 Incentive Award Plan (the “2021 Plan”) and the material terms thereunder. The HEC board of directors adopted the 2021 Plan, prior to the HEC special meeting, subject to stockholder approval at the HEC special meeting. The 2021 Plan will become effective as of the date HEC stockholders approve the 2021 Plan.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The 2021 Plan is described in more detail below. A copy of the 2021 Plan is attached to this proxy statement/prospectus as </w:t>
      </w:r>
      <w:r>
        <w:rPr>
          <w:rFonts w:ascii="Arial" w:cs="Arial" w:eastAsia="Arial" w:hAnsi="Arial"/>
          <w:sz w:val="17"/>
          <w:szCs w:val="17"/>
          <w:i w:val="1"/>
          <w:iCs w:val="1"/>
          <w:color w:val="auto"/>
        </w:rPr>
        <w:t>Annex G</w:t>
      </w:r>
      <w:r>
        <w:rPr>
          <w:rFonts w:ascii="Arial" w:cs="Arial" w:eastAsia="Arial" w:hAnsi="Arial"/>
          <w:sz w:val="17"/>
          <w:szCs w:val="17"/>
          <w:color w:val="auto"/>
        </w:rPr>
        <w: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2021 Plan</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purpose of the 2021 Plan is to enhance our ability to attract, retain and motivate persons who make (or are expected to make) important contributions to Talkspace, Inc. by providing these individuals with equity ownership opportunities and/or equity-linked compensatory opportunities. The HEC Board believes that equity awards are necessary to remain competitive and are essential to recruiting and retaining the highly qualified employees who help us meet our goals.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Material Features of the 2021 Plan</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section summarizes certain principal features of the 2021 Plan. The summary is qualified in its entirety by reference to the complete text of the 2021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and Administration</w:t>
      </w:r>
    </w:p>
    <w:p>
      <w:pPr>
        <w:spacing w:after="0" w:line="121"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Our employees, consultants and directors, and employees and consultants of our subsidiaries, will be eligible to receive awards under the 2021 Plan. Following the Closing, the combined company is expected to have approximately 457 employees, including six (6) executive officers, five non-employee directors and two other individual service providers who will be eligible to receive awards under the 2021 Plan.</w:t>
      </w:r>
    </w:p>
    <w:p>
      <w:pPr>
        <w:spacing w:after="0" w:line="16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Following the Closing, the 2021 Plan will be administered by our board of directors, which may delegate its duties and responsibilities to one or more committees of our directors and/or officers (referred to collectively as the plan administrator), subject to the limitations imposed under the 2021 Plan, Section 16 of the Exchange Act, stock exchange rules and other applicable laws. The plan administrator will have the authority to take all actions and make all determinations under the 2021 Plan, to interpret the 2021 Plan and award agreements and to adopt, amend and repeal rules for the administration of the 2021 Plan as it deems advisable. The plan administrator will also have the authority to determine which eligible service providers receive awards, grant awards and set the terms and conditions of all awards under the 2021 Plan, including any vesting and vesting acceleration provisions, subject to the conditions and limitations in the 2021 Plan.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Available for Awards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aggregate number of shares of Talkspace, Inc. common stock that will be available for issuance under the 2021 Plan will be equal to the sum of (a) 10% of the outstanding shares of Talkspace stock as of immediately prior to the Closing, plus (b) a number of shares of Talkspace, Inc. common stock necessary to satisfy 744,656 stock options to be granted to certain Talkspace, Inc. employees pursuant to their employment offer letters, plus (c) a number of shares of common stock necessary to satisfy the consideration set forth in certain compensatory arrangements approved by the HEC Board on January 11, 2021, which we expect to be 650,000 shares, plus (d) an annual increase on the first day of each calendar year beginning January 1, 2022 and ending on and including January 1, 2031 equal to the lesser of (i) a number equal to 5% of the aggregate number of shares of Talkspace, Inc. common stock outstanding on the final day of the immediately preceding calendar year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hanging="4"/>
        <w:spacing w:after="0" w:line="259" w:lineRule="auto"/>
        <w:tabs>
          <w:tab w:leader="none" w:pos="3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smaller number of shares of Talkspace, Inc. common stock as is determined by the HEC Board. The estimated number of shares of Talkspace, Inc. common stock issued and outstanding immediately following the Closing will be 152,863,400; therefore, the maximum potential initial share limit for the 2021 Plan will be 16,680,996. In addition, the maximum number of shares that may be issued pursuant to the exercise of incentive stock options (“</w:t>
      </w:r>
      <w:r>
        <w:rPr>
          <w:rFonts w:ascii="Arial" w:cs="Arial" w:eastAsia="Arial" w:hAnsi="Arial"/>
          <w:sz w:val="18"/>
          <w:szCs w:val="18"/>
          <w:i w:val="1"/>
          <w:iCs w:val="1"/>
          <w:color w:val="auto"/>
        </w:rPr>
        <w:t>ISOs</w:t>
      </w:r>
      <w:r>
        <w:rPr>
          <w:rFonts w:ascii="Arial" w:cs="Arial" w:eastAsia="Arial" w:hAnsi="Arial"/>
          <w:sz w:val="18"/>
          <w:szCs w:val="18"/>
          <w:color w:val="auto"/>
        </w:rPr>
        <w:t>”) granted under the 2021 Plan, will be 100,000,000.</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an award under the 2021 Plan is expires, lapses or is terminated, exchanged for or settled in cash, any shares of Talkspace, Inc. common stock subject to such award (or portion thereof) may, to the extent of such expiration, lapse, termination or cash settlement, be used again for new grants under the 2021 Plan. Shares of Talkspace, Inc. common stock tendered or withheld to satisfy the exercise price or tax withholding obligation for any award will not reduce the shares of Talkspace, Inc. common stock available for grant under the 2021 Plan. Further, the payment of dividend equivalents in cash in conjunction with any awards under the 2021 Plan will not reduce the shares of Talkspace, Inc. common stock available for grant under the 2021 Plan. However, the following shares of Talkspace, Inc. common stock may not be used again for grant under the 2021 Plan: (i) shares of Talkspace, Inc. common stock subject to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that are not issued in connection with the stock settlement of the SAR on exercise, and (ii) shares of Talkspace, Inc. common stock purchased on the open market with the cash proceeds from the exercise of options.</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Awards granted under the 2021 Plan upon the assumption of, or in substitution for, awards authorized or outstanding under a qualifying equity plan maintained by an entity with which we enter into a merger or similar corporate transaction will not reduce the shares of Talkspace, Inc. common stock available for grant under the 2021 Plan but will count against the maximum number of shares of Talkspace, Inc. common stock that may be issued upon the exercise of ISOs.</w:t>
      </w:r>
    </w:p>
    <w:p>
      <w:pPr>
        <w:spacing w:after="0" w:line="187"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The 2021 Plan provides that the sum of any cash compensation and the aggregate grant date fair value (determined as of the date of the grant under Financial Accounting Standards Board Accounting Standards Codification Topic 718, or any successor thereto) of all awards granted to</w:t>
      </w:r>
    </w:p>
    <w:p>
      <w:pPr>
        <w:ind w:left="120" w:right="220"/>
        <w:spacing w:after="0" w:line="260" w:lineRule="auto"/>
        <w:rPr>
          <w:sz w:val="20"/>
          <w:szCs w:val="20"/>
          <w:color w:val="auto"/>
        </w:rPr>
      </w:pPr>
      <w:r>
        <w:rPr>
          <w:rFonts w:ascii="Arial" w:cs="Arial" w:eastAsia="Arial" w:hAnsi="Arial"/>
          <w:sz w:val="18"/>
          <w:szCs w:val="18"/>
          <w:color w:val="auto"/>
        </w:rPr>
        <w:t>a non-employee director as compensation for services as a non-employee director during any fiscal year, or director limit, may not exceed the amount equal to $750,000.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2021 Plan provides for the grant of stock options, including ISOs and nonqualified stock options (“</w:t>
      </w:r>
      <w:r>
        <w:rPr>
          <w:rFonts w:ascii="Arial" w:cs="Arial" w:eastAsia="Arial" w:hAnsi="Arial"/>
          <w:sz w:val="18"/>
          <w:szCs w:val="18"/>
          <w:i w:val="1"/>
          <w:iCs w:val="1"/>
          <w:color w:val="auto"/>
        </w:rPr>
        <w:t>NSOs</w:t>
      </w:r>
      <w:r>
        <w:rPr>
          <w:rFonts w:ascii="Arial" w:cs="Arial" w:eastAsia="Arial" w:hAnsi="Arial"/>
          <w:sz w:val="18"/>
          <w:szCs w:val="18"/>
          <w:color w:val="auto"/>
        </w:rPr>
        <w:t>”), SARs, restricted stock, dividend equivalents,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and other stock or cash based awards. Certain awards under the 2021 Plan may constitute or provide for payment of “nonqualified deferred compensation” under Section 409A of the Code, which may impose additional requirements on the terms and conditions of such awards. All awards under the 2021 Plan will be evidenced by award agreements, which will detail the terms and conditions of awards, including any applicable vesting and payment terms and post-termination exercise limitations. Awards other than cash awards generally will be settled in shares of Talkspace, Inc. common stock, but the applicable award agreement may provide for cash settlement of any award. A brief description of each award type follows.</w:t>
      </w:r>
    </w:p>
    <w:p>
      <w:pPr>
        <w:spacing w:after="0" w:line="100" w:lineRule="exact"/>
        <w:rPr>
          <w:sz w:val="20"/>
          <w:szCs w:val="20"/>
          <w:color w:val="auto"/>
        </w:rPr>
      </w:pPr>
    </w:p>
    <w:p>
      <w:pPr>
        <w:ind w:left="1080" w:hanging="424"/>
        <w:spacing w:after="0" w:line="290"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and SARs. </w:t>
      </w:r>
      <w:r>
        <w:rPr>
          <w:rFonts w:ascii="Arial" w:cs="Arial" w:eastAsia="Arial" w:hAnsi="Arial"/>
          <w:sz w:val="16"/>
          <w:szCs w:val="16"/>
          <w:color w:val="auto"/>
        </w:rPr>
        <w:t>Stock options provide for the purchase of shares of Talkspace, Inc. common stock in the future at an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of Talkspace, Inc. common stock subject to the award between the grant date and the exercise date. Unless otherwise determined by our board of directors,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is an award of nontransferable shares of Talkspace, Inc. common stock that are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other restrictions.</w:t>
      </w:r>
    </w:p>
    <w:p>
      <w:pPr>
        <w:spacing w:after="0" w:line="75"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RSUs. </w:t>
      </w:r>
      <w:r>
        <w:rPr>
          <w:rFonts w:ascii="Arial" w:cs="Arial" w:eastAsia="Arial" w:hAnsi="Arial"/>
          <w:sz w:val="17"/>
          <w:szCs w:val="17"/>
          <w:color w:val="auto"/>
        </w:rPr>
        <w:t>RSUs are contractual promises to deliver shares of Talkspace, Inc. common stock in the future, which may also remain forfeitable</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and until specified conditions are met and may be accompanied by the right to receive the equivalent value of dividends paid on shares of Talkspace, Inc. common stock prior to the delivery of the underlying shares of Talkspace, Inc. common stock (i.e., dividend equivalent rights). The plan administrator may provide that the delivery of the shares of Talkspace, Inc. common stock underlying RSUs will be deferred on a mandatory basis or at the election of the participant. The terms and conditions applicable to RSUs will be determined by the plan administrator, subject to the conditions and limitations contained in the 2021 Plan.</w:t>
      </w:r>
    </w:p>
    <w:p>
      <w:pPr>
        <w:spacing w:after="0" w:line="83" w:lineRule="exact"/>
        <w:rPr>
          <w:rFonts w:ascii="Arial" w:cs="Arial" w:eastAsia="Arial" w:hAnsi="Arial"/>
          <w:sz w:val="17"/>
          <w:szCs w:val="17"/>
          <w:color w:val="auto"/>
        </w:rPr>
      </w:pPr>
    </w:p>
    <w:p>
      <w:pPr>
        <w:ind w:left="1080" w:right="140" w:hanging="424"/>
        <w:spacing w:after="0" w:line="301" w:lineRule="auto"/>
        <w:tabs>
          <w:tab w:leader="none" w:pos="108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Other stock or cash based awards are awards of cash, fully vested shares of Talkspace, Inc.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other awards valued wholly or partially by referring to, or otherwise based on, shares of Talkspace, Inc.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62"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 Talkspace,</w:t>
      </w:r>
      <w:r>
        <w:rPr>
          <w:rFonts w:ascii="Arial" w:cs="Arial" w:eastAsia="Arial" w:hAnsi="Arial"/>
          <w:sz w:val="18"/>
          <w:szCs w:val="18"/>
          <w:i w:val="1"/>
          <w:iCs w:val="1"/>
          <w:color w:val="auto"/>
        </w:rPr>
        <w:t xml:space="preserve"> </w:t>
      </w:r>
      <w:r>
        <w:rPr>
          <w:rFonts w:ascii="Arial" w:cs="Arial" w:eastAsia="Arial" w:hAnsi="Arial"/>
          <w:sz w:val="18"/>
          <w:szCs w:val="18"/>
          <w:color w:val="auto"/>
        </w:rPr>
        <w:t>Inc.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plan administrator has broad discretion to take action under the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(as defined in the 2021 Plan), to the extent that the surviving entity declines to continue, convert, assume or replace outstanding awards, then all such awards will become fully vested and exercisable in connection with the transaction. Further, such awards will be cancelled upon the consummation of the change in control in exchange for the right to receive change in control consideration payable to other holders of our common stock, determined by reference to the number of shares of Talkspace, Inc. common stock subject to such awards and net of any applicable exercise price.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Repricing</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board of directors may, without approval of the stockholders of the Company, reduce the exercise price of any stock option or SAR, or cancel any stock option or SAR in exchange for cash, other awards or stock options or SARs with an exercise price per share that is less than the exercise price per share of the original stock options or SARs.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Amendment and Termination</w:t>
      </w:r>
    </w:p>
    <w:p>
      <w:pPr>
        <w:spacing w:after="0" w:line="121"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Our board of directors may amend or terminate the 2021 Plan at any time; however, no amendment, other than an amendment that increases the number of shares of Talkspace, Inc. common stock available under the 2021 Plan, may materially and adversely affect an award outstanding under the 2021 Plan without the consent of the affected participant, and stockholder approval will be obtained for any amendment to the extent necessary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comply with applicable laws. The 2021 Plan will remain in effect until the tenth anniversary of the date the HEC stockholders approve the 2021 Plan, unless earlier terminated. No awards may be granted under the 2021 Plan after its termination.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Participants, Claw-Back Provisions, Transferability and Participant Payments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any company claw-back policy as set forth in such claw-back policy or the applicable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exercise price and purchase price obligations arising in connection with awards under the 2021 Plan, the plan administrator may, in its discretion, accept cash or check, shares of Talkspace, Inc. common stock that meet specified conditions, a “market sell order” or such other consideration as it deems suitable.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2021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92" w:lineRule="exact"/>
        <w:rPr>
          <w:sz w:val="20"/>
          <w:szCs w:val="20"/>
          <w:color w:val="auto"/>
        </w:rPr>
      </w:pPr>
    </w:p>
    <w:p>
      <w:pPr>
        <w:ind w:left="1080" w:right="40" w:hanging="424"/>
        <w:spacing w:after="0" w:line="271"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If an optionee is granted an NSO under the 2021 Plan, the optionee should not have taxable income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the option. Generally, the optionee should recognize ordinary income at the time of exercise in an amount equal to the fair market value of the shares of Talkspace, Inc. common stock acquired on the date of exercise, less the exercise price paid for the shares of Talkspace, Inc. common stock. The optionee’s basis in the common stock for purposes of determining gain or loss on a subsequent sale or disposition of such shares of Talkspace, Inc. common stock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83" w:lineRule="exact"/>
        <w:rPr>
          <w:rFonts w:ascii="Arial" w:cs="Arial" w:eastAsia="Arial" w:hAnsi="Arial"/>
          <w:sz w:val="17"/>
          <w:szCs w:val="17"/>
          <w:color w:val="auto"/>
        </w:rPr>
      </w:pPr>
    </w:p>
    <w:p>
      <w:pPr>
        <w:ind w:left="1080" w:hanging="424"/>
        <w:spacing w:after="0" w:line="286"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receiving ISOs should not recognize taxable income upon grant. Additionally, if applicable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requirements are met, the participant should not recognize taxable income at the time of exercise. However, the excess of the fair market value of the shares of Talkspace, Inc.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of Talkspace, Inc. common stock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of Talkspace, Inc. common stock acquired pursuant to such exercise, except to the extent that the participant recognizes ordinary income on disposition of the shares of Talkspace, Inc. common stock.</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4"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current federal income tax consequences of other awards authorized under the 2021 Plan generally follow certain basic</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We or our subsidiaries or affiliates generally should be entitled to a federal income tax deduction at the time and for the same amount as the optionee recognizes ordinary income.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409A of the Code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Certain types of awards under the 2021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2021 Plan and awards granted under the 2021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2021 Plan and applicable award agreements may be amended to further comply with Section 409A of the Code or to exempt the applicable awards from Section 409A of the Code.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Benefits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expect to grant stock options to purchase 27,550 shares to certain of our employees in connection with the closing of the business combination. In addition, certain non-executive directors will be granted a stock option award with a value of approximately $320,000 and a restricted stock unit award with a value of approximately $80,000. The exercise price of the options is expected to be equal to the closing price of HEC’s Class A common stock on the date of the grant. The stock options to our employees are expected to vest over a four year period, subject to the grantee’s continued employment. The stock options and restricted stock unit awards to our directors are expected to vest over a four year period, subject to the director’s continued service.</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Other than these awards, the benefits or amounts that may be received or allocated to directors, officers and employees under the 2021 Plan will be determined at the discretion of the plan administrator and are not currently determinable.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Position(s)</w:t>
            </w:r>
          </w:p>
        </w:tc>
        <w:tc>
          <w:tcPr>
            <w:tcW w:w="47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Stock Options (#)</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Restricted Stock</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or ($)</w:t>
            </w:r>
          </w:p>
        </w:tc>
        <w:tc>
          <w:tcPr>
            <w:tcW w:w="160" w:type="dxa"/>
            <w:vAlign w:val="bottom"/>
          </w:tcPr>
          <w:p>
            <w:pPr>
              <w:spacing w:after="0"/>
              <w:rPr>
                <w:sz w:val="15"/>
                <w:szCs w:val="15"/>
                <w:color w:val="auto"/>
              </w:rPr>
            </w:pP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Units ($)</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Mark Hirschhorn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 (six (6) persons)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non-executive directors as a group (five (5) persons)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400,000</w:t>
            </w:r>
          </w:p>
        </w:tc>
        <w:tc>
          <w:tcPr>
            <w:tcW w:w="0" w:type="dxa"/>
            <w:vAlign w:val="bottom"/>
          </w:tcPr>
          <w:p>
            <w:pPr>
              <w:spacing w:after="0"/>
              <w:rPr>
                <w:sz w:val="1"/>
                <w:szCs w:val="1"/>
                <w:color w:val="auto"/>
              </w:rPr>
            </w:pPr>
          </w:p>
        </w:tc>
      </w:tr>
      <w:tr>
        <w:trPr>
          <w:trHeight w:val="202"/>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employees, including all current officers who are not executive officers, as a group</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(279 persons)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27,550</w:t>
            </w:r>
          </w:p>
        </w:tc>
        <w:tc>
          <w:tcPr>
            <w:tcW w:w="16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approval of the incentive plan proposal will require the affirmative vote of a majority of the votes cast by holders of HEC’s outstanding shares of HEC’s common stock represented at the special meeting by attendance via the virtual meeting website or by proxy and entitled to vote at the special meeting. Accordingly, if a valid quorum is established, a HEC stockholder’s failure to vote by proxy or to vote at the special meeting, abstentions and broker non-votes with regard to the incentive plan proposal will have no effect on such proposal. Abstentions and broker non-votes will have no effect on the outcome of the incentive plan proposal.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spacing w:after="0" w:line="454" w:lineRule="auto"/>
        <w:rPr>
          <w:sz w:val="20"/>
          <w:szCs w:val="20"/>
          <w:color w:val="auto"/>
        </w:rPr>
      </w:pPr>
      <w:r>
        <w:rPr>
          <w:rFonts w:ascii="Arial" w:cs="Arial" w:eastAsia="Arial" w:hAnsi="Arial"/>
          <w:sz w:val="18"/>
          <w:szCs w:val="18"/>
          <w:b w:val="1"/>
          <w:bCs w:val="1"/>
          <w:color w:val="auto"/>
        </w:rPr>
        <w:t xml:space="preserve">THE HEC BOARD RECOMMENDS THAT STOCKHOLDERS VOTE “FOR” THE APPROVAL OF THE INCENTIVE PLAN PROPOSAL. </w:t>
      </w: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5—THE ESPP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HEC is asking its shareholders to approve the Talkspace, Inc. 2021 Employee Stock Purchase Plan (the “</w:t>
      </w:r>
      <w:r>
        <w:rPr>
          <w:rFonts w:ascii="Arial" w:cs="Arial" w:eastAsia="Arial" w:hAnsi="Arial"/>
          <w:sz w:val="17"/>
          <w:szCs w:val="17"/>
          <w:i w:val="1"/>
          <w:iCs w:val="1"/>
          <w:color w:val="auto"/>
        </w:rPr>
        <w:t>ESPP</w:t>
      </w:r>
      <w:r>
        <w:rPr>
          <w:rFonts w:ascii="Arial" w:cs="Arial" w:eastAsia="Arial" w:hAnsi="Arial"/>
          <w:sz w:val="17"/>
          <w:szCs w:val="17"/>
          <w:color w:val="auto"/>
        </w:rPr>
        <w:t>”) and the material terms thereunder. The HEC Board approved the ESPP, prior to the HEC special meeting, subject to stockholder approval at the HEC special meeting. The ESPP became effective as of the date it was adopted by the HEC Board, subject to approval from the HEC stockholders.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ESPP is described in more detail below. A copy of the ESPP is attached to this proxy statement/prospectus as </w:t>
      </w:r>
      <w:r>
        <w:rPr>
          <w:rFonts w:ascii="Arial" w:cs="Arial" w:eastAsia="Arial" w:hAnsi="Arial"/>
          <w:sz w:val="18"/>
          <w:szCs w:val="18"/>
          <w:i w:val="1"/>
          <w:iCs w:val="1"/>
          <w:color w:val="auto"/>
        </w:rPr>
        <w:t>Annex H</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Material Features of the ESPP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 of the ESPP</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purpose of the ESPP is to provide employees of Talkspace, Inc. and its participating subsidiaries with the opportunity to purchase Talkspace, Inc. common stock at a discount through accumulated payroll deductions during successive offering periods. We believe that the ESPP enhances such employees’ sense of participation in performance, aligns their interests with those of stockholders, and is a necessary and powerful incentive and retention tool that benefits stockholders. Accordingly, the HEC Board believes that approval of the ESPP is in the best interests of HEC and the HEC Board recommends that stockholders vote for approval of the ESPP.</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the ESPP</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section summarizes certain principal features of the ESPP, which authorizes the grant of options to U.S. employees of Talkspace, Inc. that are intended to qualify for favorable U.S. federal tax treatment under Section 423 of the Code. The summary is qualified in its entirety by reference to the complete text of the ESPP.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Administration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Unless otherwise determined by the HEC Board, the compensation committee of our board of directors will administer and will have authority to interpret the terms of the ESPP and determine eligibility of participants. The plan administrator may designate certain of Talkspace, Inc.’s subsidiaries as participating “designated subsidiaries” in the ESPP and may change these designations from time to time. Employees of Talkspace, Inc. and its participating designated subsidiaries are eligible to participate in the ESPP if they meet the eligibility requirements under the ESPP established from time to time by the plan administrator. However, an employee may not be granted rights to purchase shares of Talkspace, Inc. common stock under the ESPP if such employee, immediately after the grant, would own (directly or through attribution) shares of Talkspace, Inc. common stock possessing 5% or more of the total combined voting power or value of all classes of common shares or other classes of shares of Talkspace, Inc.</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administrator prior to the first day of the applicable offering period. Non-employee directors, as well as consultants, are not eligible to participate in the ESPP. Employees who choose not to participate, or are not eligible to participate at the start of an offering period but who become eligible thereafter, may enroll in any subsequent offering period.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As of March 31, 2021, Talkspace, Inc. had 279 employees who would have been eligible to participate in the ESPP had the ESPP been in operation on such date and the subsidiaries for whom such employees work had been designated as participating subsidiaries under the ESPP.</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total of 2% of the total outstanding shares of Talkspace, Inc. common stock upon the Closing are reserved for issuance under the ESPP. In addition, the number of shares of Talkspace, Inc. common stock available for issuance under the ESPP will be annually increased on January 1 of each calendar year beginning in 2022 and ending in 2031, by an amount equal to the lesser of (a) one percent (1%) of the aggregate number of shares of Talkspace, Inc. common stock outstanding on the final day of the immediately preceding calendar year and (b) such smaller number of shares as determined by the HEC Board. The estimated number of shares of Talkspace, Inc. common stock issued and outstanding immediately following the Closing will be 152,863,400; therefore, the maximum potential initial share limit for the ESPP will be 3,057,268. In no event will more than 50,000,000 shares of Talkspace, Inc. common stock be available for issuance under the ESPP.</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cannot precisely predict the Talkspace, Inc. share usage under the ESPP as it will depend on a range of factors including the level of Talkspace, Inc. employee participation, the contribution rates of participants, the trading price of our common stock and our future hiring activity. Any shares of Talkspace, Inc. common stock distributed pursuant to an award may consist, in whole or in part, of authorized and unissued common stock, treasury common stock or common stock purchased on the open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Participating in an Offering</w:t>
      </w:r>
    </w:p>
    <w:p>
      <w:pPr>
        <w:spacing w:after="0" w:line="131" w:lineRule="exact"/>
        <w:rPr>
          <w:sz w:val="20"/>
          <w:szCs w:val="20"/>
          <w:color w:val="auto"/>
        </w:rPr>
      </w:pPr>
    </w:p>
    <w:p>
      <w:pPr>
        <w:ind w:left="1080" w:hanging="424"/>
        <w:spacing w:after="0" w:line="273"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We intend for the ESPP to qualify under Section 423 of the Code and stock will be offered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during offering periods. The length of the offering periods under the ESPP will be determined by the plan administrator and may be up to 27 months long. Employee payroll deductions will be used to purchase shares of Talkspace, Inc. common stock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83" w:lineRule="exact"/>
        <w:rPr>
          <w:rFonts w:ascii="Arial" w:cs="Arial" w:eastAsia="Arial" w:hAnsi="Arial"/>
          <w:sz w:val="17"/>
          <w:szCs w:val="17"/>
          <w:color w:val="auto"/>
        </w:rPr>
      </w:pPr>
    </w:p>
    <w:p>
      <w:pPr>
        <w:ind w:left="1080" w:right="80" w:hanging="424"/>
        <w:spacing w:after="0" w:line="253"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Enrollment and Contributions</w:t>
      </w:r>
      <w:r>
        <w:rPr>
          <w:rFonts w:ascii="Arial" w:cs="Arial" w:eastAsia="Arial" w:hAnsi="Arial"/>
          <w:sz w:val="18"/>
          <w:szCs w:val="18"/>
          <w:color w:val="auto"/>
        </w:rPr>
        <w:t>. The ESPP permits participants to purchase common stock through payroll deductions of up to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their eligible compensation (which, in the absence of a contrary designation, shall be 15% of eligible compensation), which will include a participant’s gross base compensation for services to us, including overtime payments, periodic bonuses, and sales commissions, and excluding one-time bonuses, expense reimbursements, fringe benefits and other special payments. The plan administrator will establish a maximum number of shares of Talkspace, Inc. common stock that may be purchased by a participant during any offering period or purchase period, which, in the absence of a contrary designation, will be 5,000 shares of Talkspace, Inc. common stock for an offering period and/or a purchase period. In addition, no employee will be permitted to accrue the right to purchase stock under the ESPP at a rate in excess of $25,000 worth of shares of Talkspace, Inc. common stock during any calendar year during which such a purchase right is outstanding (based on the fair market value per share of our common stock as of the first day of the offering period).</w:t>
      </w:r>
    </w:p>
    <w:p>
      <w:pPr>
        <w:spacing w:after="0" w:line="99"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Purchase Rights</w:t>
      </w:r>
      <w:r>
        <w:rPr>
          <w:rFonts w:ascii="Arial" w:cs="Arial" w:eastAsia="Arial" w:hAnsi="Arial"/>
          <w:sz w:val="16"/>
          <w:szCs w:val="16"/>
          <w:color w:val="auto"/>
        </w:rPr>
        <w:t>. On the first trading day of each offering period, each participant will automatically be granted an option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Talkspace, Inc. common stock. The option will be exercised on the applicable purchase date(s) during the offering period to the extent of the payroll deductions accumulated during the offering period. Any remaining balance shall be carried forward to the next offering period unless the participant has elected to withdraw from the plan, as described below, or has ceased to be an eligible employee.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80" w:hanging="424"/>
        <w:spacing w:after="0" w:line="286" w:lineRule="auto"/>
        <w:tabs>
          <w:tab w:leader="none" w:pos="1080"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Purchase Price</w:t>
      </w:r>
      <w:r>
        <w:rPr>
          <w:rFonts w:ascii="Arial" w:cs="Arial" w:eastAsia="Arial" w:hAnsi="Arial"/>
          <w:sz w:val="17"/>
          <w:szCs w:val="17"/>
          <w:color w:val="auto"/>
        </w:rPr>
        <w:t>. The purchase price of the shares of Talkspace, Inc. common stock, in the absence of a contrary designation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be 85% of the lower of the fair market value of Talkspace, Inc. common stock on the first trading day of the offering period or the applicable purchase date, which will be the final trading day of the applicable purchase period.</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Withdrawal and Termination of Employment. </w:t>
      </w:r>
      <w:r>
        <w:rPr>
          <w:rFonts w:ascii="Arial" w:cs="Arial" w:eastAsia="Arial" w:hAnsi="Arial"/>
          <w:sz w:val="18"/>
          <w:szCs w:val="18"/>
          <w:color w:val="auto"/>
        </w:rPr>
        <w:t>Participants may voluntarily end their participation in the ESPP at any time during an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 prior to the end of the offering period (or such longer or shorter period specified by the plan administrator), and will be paid their accrued payroll deductions that have not yet been used to purchase shares of Talkspace, Inc. common stock. Participation in the ESPP ends automatically upon a participant’s termination of employment.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the event of certain transactions or events affecting our common stock, such as any stock dividend or other distribution, change in control, reorganization, merger, consolidation or other corporate transaction, the ESPP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other rights or property, such as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Participants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plan administrator may provide special terms, establish supplements to, or amendments, restatements or alternative versions of the ESPP, subject to the share limits described above, in order to facilitate grants of awards subject to the laws and/or stock exchange rules of countries outside of the United States.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 participant may not transfer rights granted under the ESPP other than by will or the laws of descent and distribution, and such rights are generally exercisable only by the participant.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plan administrator may amend, suspend or terminate the ESPP at any time. However, stockholder approval will be obtained for any amendment that increases the aggregate number or changes the type of shares that may be sold pursuant to rights under the ESPP or changes the ESPP in any way that would be considered to be the adoption of a new plan within the meaning of Treasury Regulation Section 1.423-2(c)(4) or cause the ESPP to no longer be an employee stock purchase plan within the meaning of Section 423(b) of the Code.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Material U.S. Federal Income Tax Consequences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material U.S. federal income tax consequences of the ESPP under current income tax law are summarized in the following discussion which deals with the general tax principles applicable to the ESPP, and is intended for general information only. The following discussion is based upon laws, regulations, rulings and decisions now in effect, all of which are subject to change. Other federal taxes and foreign, state and local income taxes, and employment, estate and gift tax considerations, are not discussed, and may vary depending on individual circumstances and from locality to locality.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In addition, the employee will not recognize taxable income upon the purchase of shares. Upon such sale or disposition, the participant generally will be subject to tax in an amount that depends upon the length of time such shares are held by the participant prior to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an amount equal to the discount (generally, 15%) from the fair market value of the shares as of the date of grant.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Talkspace, Inc.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Talkspace, Inc. will be entitled to a corresponding deduction), but the participant generally will be able to report a capital loss equal to the difference between the sales price of the shares and the fair market value of the shares on the date of purchase.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Benefits under the ESPP will depend on the employees’ enrollment and contribution elections, and the fair market value of the shares at various future dates. Therefore, it is not possible to determine the benefits that will be received in the future by participants in the ESPP.</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approval of the ESPP proposal will require the affirmative vote of a majority of the votes cast by holders of HEC’s outstanding shares of HEC’s common stock represented at the special meeting by attendance via the virtual meeting website or by proxy and entitled to vote at the special meeting. Accordingly, if a valid quorum is established, a HEC stockholder’s failure to vote by proxy or to vote at the special meeting, abstentions and broker non-votes with regard to the incentive plan proposal will have no effect on such proposal. Abstentions and broker non-votes will have no effect on the outcome of the incentive plan proposal.</w:t>
      </w:r>
    </w:p>
    <w:p>
      <w:pPr>
        <w:spacing w:after="0" w:line="188"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right="560"/>
        <w:spacing w:after="0" w:line="454" w:lineRule="auto"/>
        <w:rPr>
          <w:sz w:val="20"/>
          <w:szCs w:val="20"/>
          <w:color w:val="auto"/>
        </w:rPr>
      </w:pPr>
      <w:r>
        <w:rPr>
          <w:rFonts w:ascii="Arial" w:cs="Arial" w:eastAsia="Arial" w:hAnsi="Arial"/>
          <w:sz w:val="18"/>
          <w:szCs w:val="18"/>
          <w:b w:val="1"/>
          <w:bCs w:val="1"/>
          <w:color w:val="auto"/>
        </w:rPr>
        <w:t xml:space="preserve">THE HEC BOARD RECOMMENDS THAT STOCKHOLDERS VOTE “FOR” THE APPROVAL OF THE ESPP PROPOSAL. </w:t>
      </w: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6—THE DIRECTOR ELECTION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Assuming the business combination proposal, the Nasdaq proposal, the incentive plan proposal, the ESPP proposal the charter proposal and the governance approval are approved at the special meeting, we are requesting that stockholders approve and adopt a proposal to elect the individuals below as directors to the Talkspace, Inc. board of directors, effective immediately upon the Closing of the business combination, with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 is duly elected and qualified, or until their earlier resignation, removal or death. In addition to the directors named below, we expect to name and present additional directors prior to completion of the business combination. Once a determination on a new director is made, this proxy statement/prospectus will be updated to reflect such addition.</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are proposing Erez Shachar, Jeffrey Crowe and Madhu Pawar to serve as the Class I directors, Jacqueline Yeaney, Curtis Warfield and Charles Berg to serve as Class II directors and Douglas Braunstein, Oren Frank and Roni Frank to serve as Class III directors.</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For more information on the experience of such directors, please see the section entitled “</w:t>
      </w:r>
      <w:r>
        <w:rPr>
          <w:rFonts w:ascii="Arial" w:cs="Arial" w:eastAsia="Arial" w:hAnsi="Arial"/>
          <w:sz w:val="18"/>
          <w:szCs w:val="18"/>
          <w:i w:val="1"/>
          <w:iCs w:val="1"/>
          <w:color w:val="auto"/>
        </w:rPr>
        <w:t>Management of Talkspace, Inc.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a quorum is present, directors are elected by a plurality of the votes cast, in person or by proxy. This means that the nominees who receive the most affirmative votes will be elected. Votes marked “</w:t>
      </w:r>
      <w:r>
        <w:rPr>
          <w:rFonts w:ascii="Arial" w:cs="Arial" w:eastAsia="Arial" w:hAnsi="Arial"/>
          <w:sz w:val="18"/>
          <w:szCs w:val="18"/>
          <w:b w:val="1"/>
          <w:bCs w:val="1"/>
          <w:color w:val="auto"/>
        </w:rPr>
        <w:t>FOR</w:t>
      </w:r>
      <w:r>
        <w:rPr>
          <w:rFonts w:ascii="Arial" w:cs="Arial" w:eastAsia="Arial" w:hAnsi="Arial"/>
          <w:sz w:val="18"/>
          <w:szCs w:val="18"/>
          <w:color w:val="auto"/>
        </w:rPr>
        <w:t>” a nominee will be counted in favor of that nominee. Proxies will have full discretion to cast votes for other persons in the event that any nominee is unable to serve. Failure to vote by proxy or to vote in person at the special meeting, abstentions and broker non-votes will have no effect on the vote for the director election proposal.</w:t>
      </w:r>
    </w:p>
    <w:p>
      <w:pPr>
        <w:spacing w:after="0" w:line="187"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HEC BOARD RECOMMENDS THAT STOCKHOLDERS VOTE “FOR”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ELECTION OF EACH OF THE DIRECTOR NOMINEES TO THE BOARD OF DIRECTORS.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7—THE NASDAQ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Assuming the business combination proposal is approved, a portion of the consideration to be paid to Talkspace’s stockholders will consist of, assuming no redemptions by HEC’s public stockholders, approximately 83.9 million shares of Talkspace, Inc. common stock to be issued to, and distributed by, Talkspace, as agent on behalf of Talkspace’s stockholders, as set forth in and pursuant to the terms of the Merger Agreement.</w:t>
      </w:r>
    </w:p>
    <w:p>
      <w:pPr>
        <w:spacing w:after="0" w:line="165"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Additionally, in connection with the business combination, HEC entered into Subscription Agreements (containing commitments to funding that are subject only to conditions that generally align with the conditions set forth in the Merger Agreement) with the PIPE Investors, pursuant to which the PIPE Investors have agreed to subscribe for (x) 30,000,000 shares of Talkspace, Inc. common stock at a purchase price of $10.00 per share for an aggregate commitment of $300,000,000.</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contemplated by the incentive plan proposal, we intend to initially reserve 16,680,996 shares of Talkspace, Inc. common stock for grants of awards under the 2021 Plan. For more information on the incentive plan proposal, please see the section entitled “</w:t>
      </w:r>
      <w:r>
        <w:rPr>
          <w:rFonts w:ascii="Arial" w:cs="Arial" w:eastAsia="Arial" w:hAnsi="Arial"/>
          <w:sz w:val="18"/>
          <w:szCs w:val="18"/>
          <w:i w:val="1"/>
          <w:iCs w:val="1"/>
          <w:color w:val="auto"/>
        </w:rPr>
        <w:t>Proposal No. 4—The Incentive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As contemplated by the ESPP proposal, we intend to initially reserve 3,057,268 shares of Talkspace, Inc. common stock for grants of awards under the ESPP. For more information on the incentive plan proposal, please see the section entitled “</w:t>
      </w:r>
      <w:r>
        <w:rPr>
          <w:rFonts w:ascii="Arial" w:cs="Arial" w:eastAsia="Arial" w:hAnsi="Arial"/>
          <w:sz w:val="17"/>
          <w:szCs w:val="17"/>
          <w:i w:val="1"/>
          <w:iCs w:val="1"/>
          <w:color w:val="auto"/>
        </w:rPr>
        <w:t>Proposal No. 5—The ESPP Proposal.</w:t>
      </w:r>
      <w:r>
        <w:rPr>
          <w:rFonts w:ascii="Arial" w:cs="Arial" w:eastAsia="Arial" w:hAnsi="Arial"/>
          <w:sz w:val="17"/>
          <w:szCs w:val="17"/>
          <w:color w:val="auto"/>
        </w:rPr>
        <w:t>”</w:t>
      </w:r>
    </w:p>
    <w:p>
      <w:pPr>
        <w:spacing w:after="0" w:line="14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addition, 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Each Forward Purchase Unit consists of one share of Talkspace, Inc. common stock (the “</w:t>
      </w:r>
      <w:r>
        <w:rPr>
          <w:rFonts w:ascii="Arial" w:cs="Arial" w:eastAsia="Arial" w:hAnsi="Arial"/>
          <w:sz w:val="17"/>
          <w:szCs w:val="17"/>
          <w:i w:val="1"/>
          <w:iCs w:val="1"/>
          <w:color w:val="auto"/>
        </w:rPr>
        <w:t>Forward Purchase Shares</w:t>
      </w:r>
      <w:r>
        <w:rPr>
          <w:rFonts w:ascii="Arial" w:cs="Arial" w:eastAsia="Arial" w:hAnsi="Arial"/>
          <w:sz w:val="17"/>
          <w:szCs w:val="17"/>
          <w:color w:val="auto"/>
        </w:rPr>
        <w:t>”) and one-half of one warrant to purchase one share of Talkspace, Inc. common stock (the “</w:t>
      </w:r>
      <w:r>
        <w:rPr>
          <w:rFonts w:ascii="Arial" w:cs="Arial" w:eastAsia="Arial" w:hAnsi="Arial"/>
          <w:sz w:val="17"/>
          <w:szCs w:val="17"/>
          <w:i w:val="1"/>
          <w:iCs w:val="1"/>
          <w:color w:val="auto"/>
        </w:rPr>
        <w:t>Forward Purchase Warrants</w:t>
      </w:r>
      <w:r>
        <w:rPr>
          <w:rFonts w:ascii="Arial" w:cs="Arial" w:eastAsia="Arial" w:hAnsi="Arial"/>
          <w:sz w:val="17"/>
          <w:szCs w:val="17"/>
          <w:color w:val="auto"/>
        </w:rPr>
        <w:t>”). The Forward Purchase Shares will be identical to the shares of HEC’s Class A common stock included in the units sold in the HEC IPO, except that they will be subject to certain transfer restrictions and registration rights. The Forward Purchase Warrants will have the same terms as the HEC warrants issued to the Sponsor in a private placement simultaneously with the closing of the HEC IPO so long as they are held by HEC Fund or its permitted assignees and transferees.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HEC Needs Stockholder Approval</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are seeking stockholder approval in order to comply with Nasdaq Listing Rule 5635 in connection with the issuance of shares of Talkspace, Inc. common stock described above. Under Nasdaq Listing Rule 5635, stockholder approval is required prior to the issuance of shares of common stock in certain circumstances, including if the number of shares of Talkspace, Inc. common stock to be issued is, or will be upon issuance, equal to or in excess of 20% of the number of shares of HEC’s common stock outstanding before the issuance.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approval of the Nasdaq proposal will require the affirmative vote of a majority of the votes cast by holders of HEC’s outstanding shares of common stock represented at the special meeting by attendance in person or by proxy and entitled to vote at the special meeting. Accordingly, if a valid quorum is established, a HEC stockholders’ failure to vote by proxy or to vote at the special meeting, abstentions and broker non-votes with regard to the Nasdaq proposal will have no effect on such proposal. Abstentions and broker non-votes will have no effect on the outcome of the Nasdaq proposal.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Consummation of the Transactions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720" w:right="140"/>
        <w:spacing w:after="0" w:line="454" w:lineRule="auto"/>
        <w:rPr>
          <w:sz w:val="20"/>
          <w:szCs w:val="20"/>
          <w:color w:val="auto"/>
        </w:rPr>
      </w:pPr>
      <w:r>
        <w:rPr>
          <w:rFonts w:ascii="Arial" w:cs="Arial" w:eastAsia="Arial" w:hAnsi="Arial"/>
          <w:sz w:val="18"/>
          <w:szCs w:val="18"/>
          <w:b w:val="1"/>
          <w:bCs w:val="1"/>
          <w:color w:val="auto"/>
        </w:rPr>
        <w:t xml:space="preserve">THE HEC BOARD UNANIMOUSLY RECOMMENDS THAT ITS STOCKHOLDERS VOTE “FOR” THE NASDAQ PROPOSAL. </w:t>
      </w:r>
      <w:r>
        <w:rPr>
          <w:rFonts w:ascii="Arial" w:cs="Arial" w:eastAsia="Arial" w:hAnsi="Arial"/>
          <w:sz w:val="18"/>
          <w:szCs w:val="18"/>
          <w:color w:val="auto"/>
        </w:rPr>
        <w:t>174</w:t>
      </w:r>
    </w:p>
    <w:p>
      <w:pPr>
        <w:sectPr>
          <w:pgSz w:w="11900" w:h="16838" w:orient="portrait"/>
          <w:cols w:equalWidth="0" w:num="1">
            <w:col w:w="10860"/>
          </w:cols>
          <w:pgMar w:left="320" w:top="459" w:right="7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8—THE ADJOURNMENT PROPOSAL</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adjournment proposal allows the HEC Board to submit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no event will HEC solicit proxies to adjourn the special meeting or consummate the business combination beyond the date by which it may properly do so under its amended and restated certificate of incorporation and Delaware law. The purpose of the adjournment proposal is to provide more time for the Sponsor, HEC and/or their respective affiliates to make purchases of public shares or other arrangements that would increase the likelihood of obtaining a favorable vote on such proposal and to meet the requirements that are necessary to consummate the business combination. See the section entitled “</w:t>
      </w:r>
      <w:r>
        <w:rPr>
          <w:rFonts w:ascii="Arial" w:cs="Arial" w:eastAsia="Arial" w:hAnsi="Arial"/>
          <w:sz w:val="16"/>
          <w:szCs w:val="16"/>
          <w:i w:val="1"/>
          <w:iCs w:val="1"/>
          <w:color w:val="auto"/>
        </w:rPr>
        <w:t>Proposal No. 1—The Business Combination Proposal—Interests of Certain Persons in the Business Combination</w:t>
      </w:r>
      <w:r>
        <w:rPr>
          <w:rFonts w:ascii="Arial" w:cs="Arial" w:eastAsia="Arial" w:hAnsi="Arial"/>
          <w:sz w:val="16"/>
          <w:szCs w:val="16"/>
          <w:color w:val="auto"/>
        </w:rPr>
        <w:t>.”</w:t>
      </w:r>
    </w:p>
    <w:p>
      <w:pPr>
        <w:spacing w:after="0" w:line="16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In addition to an adjournment of the special meeting upon approval of an adjournment proposal, the HEC Board is empowered under Delaware law to postpone the meeting at any time prior to the special meeting being called to order. In such event, HEC will issue a press release and take such other steps as it believes are necessary and practical in the circumstances to inform its stockholders of the postponement.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an adjournment proposal is presented at the special meeting and is not approved by the stockholders, the HEC Board may not be able to adjourn the special meeting to a later date. In such event, the business combination would not be completed.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approval of the adjournment proposal will require the affirmative vote of a majority of the votes cast by holders of outstanding shares of HEC’s common stock represented at the special meeting by attendance via the virtual meeting website or by proxy and entitled to vote thereon. Adoption of the adjournment proposal is not conditioned upon the adoption of any of the other proposals. Accordingly, if a valid quorum is established, a HEC stockholder’s failure to vote by proxy or to vote at the special meeting, abstentions and broker non-votes with regard to the adjournment proposal will have no effect on such proposal. Abstentions and broker non-votes will have no effect on the outcome of the adjournment proposal.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40" w:right="80"/>
        <w:spacing w:after="0" w:line="282" w:lineRule="auto"/>
        <w:rPr>
          <w:sz w:val="20"/>
          <w:szCs w:val="20"/>
          <w:color w:val="auto"/>
        </w:rPr>
      </w:pPr>
      <w:r>
        <w:rPr>
          <w:rFonts w:ascii="Arial" w:cs="Arial" w:eastAsia="Arial" w:hAnsi="Arial"/>
          <w:sz w:val="18"/>
          <w:szCs w:val="18"/>
          <w:b w:val="1"/>
          <w:bCs w:val="1"/>
          <w:color w:val="auto"/>
        </w:rPr>
        <w:t>THE HEC BOARD OF DIRECTORS UNANIMOUSLY RECOMMENDS THAT HEC STOCKHOLDERS VOTE “FOR” THE APPROVAL OF THE ADJOURNMENT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Redemption to HEC Stockholders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following is a discussion of certain material U.S. federal income tax consequences for holders of shares of HEC’s Class A common stock that elect to have their HEC’s Class A common stock redeemed for cash if the business combination is completed. This discussion applies only to HEC’s Class A common stock that is held as a capital asset for U.S. federal income tax purposes.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98"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individual retirement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HEC’s Class A common stock;</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holding HEC’s Class A common stock as part of a “straddle,” constructive sale, hedge, conversion or other integrated transaction or similar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owning (actually or constructively) any Talkspace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person required to accelerate the recognition of any item of gross income as a result of such income being recognized on an applicable financial statement;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your partners will generally depend on the status of the partners and your activities and such persons should consult their own tax advisors about the consequences of redeeming HEC’s Class A common stock.</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This discussion is based on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 administrative pronouncements, judicial decisions and final, temporary and proposed Treasury regulations as of the date hereof, which are subject to change, possibly on a retroactive basis, and changes to any of which subsequent to the date of this proxy statement/prospectus may affect the tax consequences described herein. This discussion does not address any aspect of state, local or non-U.S. taxation, or any U.S. federal taxes other than income taxes (such as gift and estate taxes).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section applies to you if you are a “</w:t>
      </w:r>
      <w:r>
        <w:rPr>
          <w:rFonts w:ascii="Arial" w:cs="Arial" w:eastAsia="Arial" w:hAnsi="Arial"/>
          <w:sz w:val="17"/>
          <w:szCs w:val="17"/>
          <w:i w:val="1"/>
          <w:iCs w:val="1"/>
          <w:color w:val="auto"/>
        </w:rPr>
        <w:t>U.S. holder</w:t>
      </w:r>
      <w:r>
        <w:rPr>
          <w:rFonts w:ascii="Arial" w:cs="Arial" w:eastAsia="Arial" w:hAnsi="Arial"/>
          <w:sz w:val="17"/>
          <w:szCs w:val="17"/>
          <w:color w:val="auto"/>
        </w:rPr>
        <w:t>.” A U.S. holder is a beneficial owner of HEC’s Class A common stock who or that is, for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116" w:lineRule="exact"/>
        <w:rPr>
          <w:sz w:val="20"/>
          <w:szCs w:val="20"/>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event that a U.S. holder’s HEC’s Class A common stock is redeemed pursuant to the redemption provisions described in this proxy statement/prospectus under the section of this proxy statement/prospectus entitled “</w:t>
      </w:r>
      <w:r>
        <w:rPr>
          <w:rFonts w:ascii="Arial" w:cs="Arial" w:eastAsia="Arial" w:hAnsi="Arial"/>
          <w:sz w:val="16"/>
          <w:szCs w:val="16"/>
          <w:i w:val="1"/>
          <w:iCs w:val="1"/>
          <w:color w:val="auto"/>
        </w:rPr>
        <w:t>Special Meeting of HEC Stockholders - Redemption Rights</w:t>
      </w:r>
      <w:r>
        <w:rPr>
          <w:rFonts w:ascii="Arial" w:cs="Arial" w:eastAsia="Arial" w:hAnsi="Arial"/>
          <w:sz w:val="16"/>
          <w:szCs w:val="16"/>
          <w:color w:val="auto"/>
        </w:rPr>
        <w:t>,” the treatment of the redemption for U.S. federal income tax purposes will depend on whether the redemption qualifies as a sale of HEC’s Class A common stock under Section 302 of the Code. If the redemption qualifies as a sale of HEC’s Class A common stock, the U.S. holder will be treated as described under “</w:t>
      </w:r>
      <w:r>
        <w:rPr>
          <w:rFonts w:ascii="Arial" w:cs="Arial" w:eastAsia="Arial" w:hAnsi="Arial"/>
          <w:sz w:val="16"/>
          <w:szCs w:val="16"/>
          <w:i w:val="1"/>
          <w:iCs w:val="1"/>
          <w:color w:val="auto"/>
        </w:rPr>
        <w:t>U.S. Holders—Taxation of Redemption Treated as a Sale of HEC’s Class A Common Stock</w:t>
      </w:r>
      <w:r>
        <w:rPr>
          <w:rFonts w:ascii="Arial" w:cs="Arial" w:eastAsia="Arial" w:hAnsi="Arial"/>
          <w:sz w:val="16"/>
          <w:szCs w:val="16"/>
          <w:color w:val="auto"/>
        </w:rPr>
        <w:t>” below. If the redemption does not qualify as a sale of HEC’s Class A common stock, the U.S. holder will be treated as receiving a corporate distribution with the tax consequences described below under “</w:t>
      </w:r>
      <w:r>
        <w:rPr>
          <w:rFonts w:ascii="Arial" w:cs="Arial" w:eastAsia="Arial" w:hAnsi="Arial"/>
          <w:sz w:val="16"/>
          <w:szCs w:val="16"/>
          <w:i w:val="1"/>
          <w:iCs w:val="1"/>
          <w:color w:val="auto"/>
        </w:rPr>
        <w:t>U.S. Holders—Taxation of Redemption Treated as a Distribution</w:t>
      </w:r>
      <w:r>
        <w:rPr>
          <w:rFonts w:ascii="Arial" w:cs="Arial" w:eastAsia="Arial" w:hAnsi="Arial"/>
          <w:sz w:val="16"/>
          <w:szCs w:val="16"/>
          <w:color w:val="auto"/>
        </w:rPr>
        <w:t>.” Whether a redemption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of HEC’s Class A common stock generally will be treated as a sale of HEC’s Class A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HEC’s Class A common stock which could be acquired pursuant to the exercise of warrants. In order to meet the substantially disproportionate test, the percentage of our outstanding voting stock actually and constructively owned by the U.S. holder immediately following the redemption of HEC’s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HEC’s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The application of these tests generally also takes into account related transactions that occur contemporaneously with the redemption, including any contemporaneous purchases of Talkspace, Inc. common stock by the relevant holder (or persons whose ownership is attributed to such holder) and issuances of Talkspace, Inc. common stock (including pursuant to the PIPE Investment). A U.S. holder should consult with its own tax advisors as to the tax consequences of a redemption.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none of the foregoing tests is satisfied, then the redemption will be treated as a corporate distribution and the tax effects will be as described under</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Holders—Taxation of Redemption Treated as a Distribution</w:t>
      </w:r>
      <w:r>
        <w:rPr>
          <w:rFonts w:ascii="Arial" w:cs="Arial" w:eastAsia="Arial" w:hAnsi="Arial"/>
          <w:sz w:val="18"/>
          <w:szCs w:val="18"/>
          <w:color w:val="auto"/>
        </w:rPr>
        <w:t>” below. After the application of those rules, any remaining tax basis of the U.S. holder in the redeemed HEC’s Class A common stock will be added to the U.S. holder’s adjusted tax basis in its remaining stock, or, if it has none, to the U.S. holder’s adjusted tax basis in its HEC warrants (if any) or possibly in other stock constructively owned by it.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Holders—Taxation of Redemption Treated as a Sale of HEC’s Class A Common Stock</w:t>
      </w:r>
    </w:p>
    <w:p>
      <w:pPr>
        <w:spacing w:after="0" w:line="117"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If the redemption of a U.S. holder’s shares of HEC’s Class A common stock is treated as a sale, a U.S. holder generally will recognize capital gain or loss in an amount equal to the difference between the amount realized and the U.S. holder’s adjusted tax basis in HEC’s Class A common stock treated as sold. Any such capital gain or loss generally will be long-term capital gain or loss if the U.S. holder’s holding period for HEC’s Class A common stock so disposed of exceeds one year. It is unclear, however, whether the redemption rights with respect to HEC’s Class A common stock described in this proxy statement/prospectus may suspend the running of the applicable holding period for this purpose. If the running of the holding period for HEC’s Class A common stock is suspended, then non-corporate U.S. holders may not be able to satisfy the one-year holding period requirement for long-term capital gain treatment, in which case any gain on a redemption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8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amount of cash received in the redemption and (ii) the U.S. holder’s adjusted tax basis in its HEC’s Class A common stock so redeemed. A U.S. holder’s adjusted tax basis in its HEC’s Class A common stock generally will equal the U.S. holder’s acquisition cost.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Holders—Taxation of Redemption Treated as a Distribution</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If the redemption of a U.S. holder’s shares of HEC’s Class A common stock is treated as a distribution, such distribution generally will constitute a dividend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HEC’s Class A common stock. Any remaining excess will be treated as gain realized on the sale or other disposition of HEC’s Class A common stock and will be treated as described under “</w:t>
      </w:r>
      <w:r>
        <w:rPr>
          <w:rFonts w:ascii="Arial" w:cs="Arial" w:eastAsia="Arial" w:hAnsi="Arial"/>
          <w:sz w:val="17"/>
          <w:szCs w:val="17"/>
          <w:i w:val="1"/>
          <w:iCs w:val="1"/>
          <w:color w:val="auto"/>
        </w:rPr>
        <w:t>U.S. Holders—Taxation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Treated as a Sale of HEC’s Class A Common Stock</w:t>
      </w:r>
      <w:r>
        <w:rPr>
          <w:rFonts w:ascii="Arial" w:cs="Arial" w:eastAsia="Arial" w:hAnsi="Arial"/>
          <w:sz w:val="17"/>
          <w:szCs w:val="17"/>
          <w:color w:val="auto"/>
        </w:rPr>
        <w:t>”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Dividends received by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received by a non-corporate U.S. holder may constitute “qualified dividends” that will be subject to tax at the maximum tax rate accorded to long-term capital gains. It is unclear whether the redemption rights with respect to HEC’s Class A common stock described in this proxy statement/prospectus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general, information reporting requirements may apply to the proceeds of the redemption of HEC’s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HEC’s Class A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that is not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of HEC’s Class A common stock. If you are such an individual, you should consult your tax advisor regarding the U.S. federal income tax consequences of redeeming HEC’s Class A common stock.</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characterization for U.S. federal income tax purposes of the redemption of a Non-U.S. holder’s HEC’s Class A common stock pursuant to the redemption provisions described in this proxy statement/prospectus under the section entitled “</w:t>
      </w:r>
      <w:r>
        <w:rPr>
          <w:rFonts w:ascii="Arial" w:cs="Arial" w:eastAsia="Arial" w:hAnsi="Arial"/>
          <w:sz w:val="17"/>
          <w:szCs w:val="17"/>
          <w:i w:val="1"/>
          <w:iCs w:val="1"/>
          <w:color w:val="auto"/>
        </w:rPr>
        <w:t>Special Meeting of HEC Stockholders—Redemption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generally will correspond to the U.S. federal income tax characterization of such a redemption of a U.S. holder’s HEC’s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as described under “</w:t>
      </w:r>
      <w:r>
        <w:rPr>
          <w:rFonts w:ascii="Arial" w:cs="Arial" w:eastAsia="Arial" w:hAnsi="Arial"/>
          <w:sz w:val="17"/>
          <w:szCs w:val="17"/>
          <w:i w:val="1"/>
          <w:iCs w:val="1"/>
          <w:color w:val="auto"/>
        </w:rPr>
        <w:t>U.S. Holders</w:t>
      </w:r>
      <w:r>
        <w:rPr>
          <w:rFonts w:ascii="Arial" w:cs="Arial" w:eastAsia="Arial" w:hAnsi="Arial"/>
          <w:sz w:val="17"/>
          <w:szCs w:val="17"/>
          <w:color w:val="auto"/>
        </w:rPr>
        <w:t>” above, and the consequences of the redemption to the Non-U.S. holder will be as described below under “</w:t>
      </w:r>
      <w:r>
        <w:rPr>
          <w:rFonts w:ascii="Arial" w:cs="Arial" w:eastAsia="Arial" w:hAnsi="Arial"/>
          <w:sz w:val="17"/>
          <w:szCs w:val="17"/>
          <w:i w:val="1"/>
          <w:iCs w:val="1"/>
          <w:color w:val="auto"/>
        </w:rPr>
        <w:t>Non-U.S.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Holders—Taxation of Redemption Treated as a Sale of HEC’s Class A Common Stock</w:t>
      </w:r>
      <w:r>
        <w:rPr>
          <w:rFonts w:ascii="Arial" w:cs="Arial" w:eastAsia="Arial" w:hAnsi="Arial"/>
          <w:sz w:val="17"/>
          <w:szCs w:val="17"/>
          <w:color w:val="auto"/>
        </w:rPr>
        <w:t>” and “</w:t>
      </w:r>
      <w:r>
        <w:rPr>
          <w:rFonts w:ascii="Arial" w:cs="Arial" w:eastAsia="Arial" w:hAnsi="Arial"/>
          <w:sz w:val="17"/>
          <w:szCs w:val="17"/>
          <w:i w:val="1"/>
          <w:iCs w:val="1"/>
          <w:color w:val="auto"/>
        </w:rPr>
        <w:t>Non-U.S. Holders—Taxation of Redemption Treated as a Distribution</w:t>
      </w:r>
      <w:r>
        <w:rPr>
          <w:rFonts w:ascii="Arial" w:cs="Arial" w:eastAsia="Arial" w:hAnsi="Arial"/>
          <w:sz w:val="17"/>
          <w:szCs w:val="17"/>
          <w:color w:val="auto"/>
        </w:rPr>
        <w:t>,” as applicable. It is possible that because the applicable withholding agent may not be able to determine the proper characterization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of a Non-U.S. holder’s HEC’s Class A common stock, the withholding agent might treat the redemption as a distribution subject to withholding tax, as discussed further below.</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Holders—Taxation of Redemption Treated as a Sale of HEC’s Class A Common Stock</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If HEC’s redemption of a Non-U.S. holder’s shares of HEC’s Class A common stock is treated as a sale, a Non-U.S. holder generally will not be subject to U.S. federal income or withholding tax in respect of gain recognized in connection with such redemption, unless:</w:t>
      </w:r>
    </w:p>
    <w:p>
      <w:pPr>
        <w:spacing w:after="0" w:line="76" w:lineRule="exact"/>
        <w:rPr>
          <w:sz w:val="20"/>
          <w:szCs w:val="20"/>
          <w:color w:val="auto"/>
        </w:rPr>
      </w:pPr>
    </w:p>
    <w:p>
      <w:pPr>
        <w:ind w:left="1080" w:right="60" w:hanging="424"/>
        <w:spacing w:after="0" w:line="342"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29"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HEC’s Class A common stock, and, in the case where shares of HEC’s Class A common stock are regularly traded on an established securities market, the Non-U.S. holder has owned, directly or constructively, more than 5% of HEC’s Class A common stock at any time within the shorter of the five-year period preceding the disposition or such Non-U.S. holder’s holding period for the shares of HEC’s Class A common stock. There can be no assurance that HEC’s Class A common stock will be treated as regularly traded on an established securities market for this purpose.</w:t>
      </w:r>
    </w:p>
    <w:p>
      <w:pPr>
        <w:spacing w:after="0" w:line="16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corporation for U.S. federal income tax purposes may also be subject to an additional “branch profits tax” imposed at a 30% rate (or lower applicable treaty rate).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the second bullet point above applies to a Non-U.S. holder, gain recognized by such holder in connection with a redemption treated as a sale of HEC’s Class A common stock will be subject to tax at generally applicable U.S. federal income tax rates. In addition, we may be required to withhold U.S. federal income tax at a rate of 15% of the amount realized upon such redemption. We do not believe we currently are or have been at any time since our formation a U.S. real property holding corporation and we do not expect to be a U.S. real property holding corporation immediately after the business combination is completed. However, such determination is factual in nature, and no assurance can be provided that we will not be treated as a U.S. real property holding corporation in a future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Holders—Taxation of Redemption Treated as a Distribution</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the redemption of a Non-U.S. holder’s shares of HEC’s Class A common stock is treated as a distribution, such a distribution, to the extent paid out of our current or accumulated earnings and profits (as determined under U.S. federal income tax principles), generally will constitute a dividend for U.S. federal income tax purposes and, provided such dividend is not effectively connected with the Non-U.S. holder’s conduct of a trade or business within the United States, the gross amount of the dividend will be subject to withholding tax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HEC’s Class A common stock and, to the extent such distribution exceeds the Non-U.S. holder’s adjusted tax basis, as gain realized from the sale or other disposition of HEC’s Class A common stock, which will be treated as described under “</w:t>
      </w:r>
      <w:r>
        <w:rPr>
          <w:rFonts w:ascii="Arial" w:cs="Arial" w:eastAsia="Arial" w:hAnsi="Arial"/>
          <w:sz w:val="17"/>
          <w:szCs w:val="17"/>
          <w:i w:val="1"/>
          <w:iCs w:val="1"/>
          <w:color w:val="auto"/>
        </w:rPr>
        <w:t>Non-U.S. Holders—</w:t>
      </w:r>
      <w:r>
        <w:rPr>
          <w:rFonts w:ascii="Arial" w:cs="Arial" w:eastAsia="Arial" w:hAnsi="Arial"/>
          <w:sz w:val="17"/>
          <w:szCs w:val="17"/>
          <w:color w:val="auto"/>
        </w:rPr>
        <w:t xml:space="preserve"> </w:t>
      </w:r>
      <w:r>
        <w:rPr>
          <w:rFonts w:ascii="Arial" w:cs="Arial" w:eastAsia="Arial" w:hAnsi="Arial"/>
          <w:sz w:val="17"/>
          <w:szCs w:val="17"/>
          <w:i w:val="1"/>
          <w:iCs w:val="1"/>
          <w:color w:val="auto"/>
        </w:rPr>
        <w:t>Taxation of Redemption Treated as a Sale of HEC’s Class A Common Stock</w:t>
      </w:r>
      <w:r>
        <w:rPr>
          <w:rFonts w:ascii="Arial" w:cs="Arial" w:eastAsia="Arial" w:hAnsi="Arial"/>
          <w:sz w:val="17"/>
          <w:szCs w:val="17"/>
          <w:color w:val="auto"/>
        </w:rPr>
        <w:t>” above.</w:t>
      </w:r>
    </w:p>
    <w:p>
      <w:pPr>
        <w:spacing w:after="0" w:line="18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providing otherwise. A Non-U.S. holder that is a corporation for U.S. federal income tax purposes receiving effectively connected dividends may also be subject to an additional “branch profits tax” imposed at a rate of 30% (or a lower applicable treaty rate).</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Because it may not be certain at the time a Non-U.S. holder is redeemed whether such Non-U.S. holder’s redemption will be treated as a sale or a corporate distribution, and because such determination will depend in part on a Non-U.S. holder’s particular circumstances, the applicable withholding agent may not be able to determine whether (or to what extent) a Non-U.S. holder is treated as receiving a dividend for U.S. federal income tax purposes. Therefore, the applicable withholding agent may withhold tax at a rate of 30% (or such lower rate as may be specified by an applicable income tax treaty) on the gross amount of any consideration paid to a Non-U.S. holder in redemption of such Non-U.S. holder’s HEC’s Class A common stock, unless (i) the applicable withholding agent has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However, there can be no assurance that any applicable withholding agent will establish such special certification procedures. If an applicable withholding agent withholds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Information returns will be filed with the IRS in connection with the proceeds from a redemption of HEC’s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FATCA Withholding Taxes.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on HEC’s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HEC’s Class A common stock.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 redemption of HEC’s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INFORMATION RELATED TO HEC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HEC was incorporated on October 30, 2019 for the purpose of entering into a merger, share exchange, asset acquisition, stock purchase, recapitalization, reorganization or other similar business combination with one or more businesses or entities. HEC’s efforts to identify a prospective target business were not limited to any particular industry or geographic region. Prior to executing the Merger Agreement, HEC’s efforts were limited to organizational activities, completion of its initial public offering and the evaluation of possible business combinations.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Public Offering and Simultaneous Private Placement</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On June 11, 2020, HEC consummated the HEC IPO of 41,400,000 units, including 5,400,000 units under the underwriters’ over-allotment option, with each unit consisting of one share of Class A common stock and one-half of one warrant, each whole warrant to purchase one share of Class A common stock. The units were sold at an offering price of $10.00 per unit, generating gross proceeds of $414,000,000. Simultaneously with the consummation of the initial public offering, HEC consummated the private placement of 10,280,000 warrants at a price of $1.00 per warrant, generating total proceeds of $10,280,000. Transaction costs amounted to $23,353,182 consisting of $8,280,000 of underwriting fees, $14,490,000 of deferred underwriting fees due to J.P. Morgan’s Equity Capital Markets group and Citgroup and $583,182 of other offering costs.</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Following the consummation of the HEC IPO and the sale of the Private Placement Warrants, $414,000,000 was deposited into a U.S.-based trust account with Continental Stock Transfer &amp; Trust Company acting as trustee. Except as described in the prospectus for the HEC IPO, these proceeds will not be released until the earlier of the completion of an initial business combination and HEC’s redemption of 100% of the outstanding public shares upon its failure to consummate a business combination within the completion window.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Market Value of Target Business</w:t>
      </w:r>
    </w:p>
    <w:p>
      <w:pPr>
        <w:spacing w:after="0" w:line="121"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target business or businesses that HEC acquires must collectively have a fair market value equal to at least 80% of the balance of the funds in the trust account (excluding the deferred underwriting commissions and taxes payable on the income earned on the trust account) at the time of the execution of a definitive agreement for its initial business combination, although HEC may acquire a target business whose fair market value significantly exceeds 80% of the trust account balance. The HEC Board determined that this test was met in connection with the proposed business combination with Talkspace as described in the section 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2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Under HEC’s current certificate of incorporation, in connection with any proposed business combination, HEC must seek stockholder approval of an initial business combination at a meeting called for such purpose at which public stockholders may seek to redeem their public shares for cash, irrespective of whether they vote for or against the proposed business combination or don’t vote at all, subject to the limitations described in the prospectus for HEC’s initial public offering. Accordingly, in connection with the business combination with Talkspace, the HEC public stockholders may seek to redeem their public shares for cash in accordance with the procedures set forth in this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Restrictions in Connection with Stockholder Meeting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connection with any vote for a proposed business combination, including the vote with respect to the business combination proposal, the Sponsor and the Insiders have agreed to vote the founder shares as well as any shares of HEC’s common stock acquired in the market in favor of such proposed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At any time prior to the special meeting, during a period when they are not then aware of any material nonpublic information regarding HEC or its securities, the Sponsor, Talkspace and/or their respective affiliates may purchase shares from institutional and other investors who vote, or indicate an intention to vote, against the business combination proposal, or execute agreements to purchase such shares from them in the future, or they may enter into transactions with such persons and others to provide them with incentives to acquire shares of HEC’s common stock or vote their shares in favor of the business combination proposal. The purpose of such share purchases and other transactions would be to increase the likelihood of satisfaction of the requirements that the business combination be approved where it appears that such requirements would otherwise not be met. All shares repurchased by HEC’s affiliates pursuant to such arrangements would be voted in favor of the proposed business combination.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HEC’s current certificate of incorporation, if HEC does not complete a business combination within the completion window, HEC will (i) cease all operations except for the purpose of winding up, (ii) as promptly as reasonably possible but not more than ten (10) business days thereafter, redeem 100% of the outstanding public shares and (iii) as promptly as reasonably possible following such redemption, subject to the approval of HEC’s remaining stockholders and its board of directors, dissolve and liquidate, subject (in the case of (ii) and (iii) above) to HEC’s obligations under Delaware law to provide for claims of creditors and the requirements of other applicable law. At such time, the warrants will expire. Holders of warrants will receive nothing upon a liquidation with respect to such rights and the warrants will be worthless.</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Sponsor and the Insiders have each agreed to waive its rights to participate in any distribution from HEC’s trust account or other assets with respect to the founder shares. There will be no distribution from the trust account with respect to HEC’s warrants, which will expire worthless if HEC is liquidated.</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proceeds deposited in the trust account could, however, become subject to the claims of HEC’s creditors which would be prior to the claims of the HEC public stockholders. Although HEC has obtained waiver agreements from certain vendors and service providers it has engaged and owes money to, and the prospective target businesses HEC has negotiated with, whereby such parties have waived any right, title, interest or claim of any kind they may have in or to any monies held in the trust account, and although HEC will seek such waivers from vendors it engages in the future, there is no guarantee that they or other vendors who did not execute such waivers will not seek recourse against the trust account notwithstanding such agreements. Accordingly, the actual per-share redemption price could be less than approximately $10.00, plus interest, due to claims of creditors. Additionally, if HEC is forced to file a bankruptcy case or an involuntary bankruptcy case is filed against it which is not dismissed, the proceeds held in the trust account could be subject to applicable bankruptcy law, and may be included in HEC’s bankruptcy estate and subject to the claims of third parties with priority over the claims of HEC’s stockholders. To the extent any bankruptcy claims deplete the trust account, HEC cannot assure you it will be able to return to the HEC public stockholders at least approximately $10.00 per share. HEC’s public stockholders are entitled to receive funds from the trust account only in the event of its failure to complete a business combination within the completion window or if the stockholders properly seek to have HEC redeem their respective shares for cash upon a business combination which is actually completed by HEC. In no other circumstances does a stockholder have any right or interest of any kind to or in the trust account.</w:t>
      </w:r>
    </w:p>
    <w:p>
      <w:pPr>
        <w:spacing w:after="0" w:line="18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portion of HEC’s trust account distributed to the HEC public stockholders upon the redemption of 100% of its outstanding public shares in the event HEC does not complete its initial business combination within the completion window may be considered a liquidation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if a business combination does not occur, it is HEC’s intention to redeem its public shares as soon as reasonably possible following the expiration of the time periods described above and, therefore, HEC does not intend to comply with the procedures required by Section 280 of the DGCL, which would limit the amount and duration of HEC’s stockholders’ liability with respect to liquidating distributions as described above. As such, HEC’s stockholders could potentially be liable for any claims to the extent of distributions received by them (but no more) and any liability of HEC’s stockholders may extend well beyond the third anniversary of such date.</w:t>
      </w:r>
    </w:p>
    <w:p>
      <w:pPr>
        <w:spacing w:after="0" w:line="17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Furthermore, if the portion of HEC’s trust account distributed to the HEC public stockholders upon the redemption of 100% of its public shares in the event HEC does not complete its initial business combination within the required time period is not considered a liquidation distribution under Delaware law and such redemption distribution is deemed to be unlawful, then pursuant to Section 174 of the DGCL, the statute of limitations for claims of creditors could then be six-years after the unlawful redemption distribution, instead of three years, as in the case of a liquidation distribution.</w:t>
      </w:r>
    </w:p>
    <w:p>
      <w:pPr>
        <w:spacing w:after="0" w:line="15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Because HEC will not be complying with Section 280 of the DGCL, Section 281(b) of the DGCL requires HEC to adopt a plan, based on facts known to it at such time that provides for its payment of all existing and pending claims or claims that may be potentially brought against it within the subsequent 10 years. However, because HEC is a blank check company, rather than an operating company, and HEC’s operations will be limited to searching for prospective target businesses to acquire, the only likely claims to arise would be from its vendors (such as lawyers, investment bankers, etc.) or prospective target businesses.</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HEC will pay the costs of any subsequent liquidation from its remaining assets outside of the trust account. If such funds are insufficient, HEC’s executive officers have agreed to pay the funds necessary to complete such liquidation (currently anticipated to be no more than approximately $15,000) and have agreed not to seek repayment for such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HEC currently maintains its principal executive offices at 570 Lexington Avenue, 35th Floor, New York, NY 10022 and maintains other offices as provided to it by its officers. The cost for this space is included in the $10,000 per-month aggregate fee an affiliate of the Sponsor charges HEC for general secretarial and administrative services pursuant to a letter agreement between HEC and such affiliate of the Sponsor. HEC believes, based on rents and fees for similar services in the relevant areas, that the fee charged by such affiliate of the Sponsor is at least as favorable as HEC could have obtained from an unaffiliated person. HEC considers its current office space, combined with the other office space otherwise available to its executive officers, adequate for its current operations.</w:t>
      </w:r>
    </w:p>
    <w:p>
      <w:pPr>
        <w:spacing w:after="0" w:line="1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Upon the Closing, the principal executive offices of HEC will be those of Talkspace, at which time nothing more will be paid to such affiliate of the Sponsor.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HEC has three executive officers. These individuals are not obligated to devote any specific number of hours to HEC’s matters and intend to devote only as much time as they deem necessary to its affairs. HEC does not intend to have any full-time employees prior to the consummation of a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HEC’s current directors and executive officers (with ages as of January 28, 2021)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0" w:type="dxa"/>
            <w:vAlign w:val="bottom"/>
          </w:tcPr>
          <w:p>
            <w:pPr>
              <w:spacing w:after="0"/>
              <w:rPr>
                <w:sz w:val="16"/>
                <w:szCs w:val="16"/>
                <w:color w:val="auto"/>
              </w:rPr>
            </w:pPr>
          </w:p>
        </w:tc>
        <w:tc>
          <w:tcPr>
            <w:tcW w:w="6700" w:type="dxa"/>
            <w:vAlign w:val="bottom"/>
          </w:tcPr>
          <w:p>
            <w:pPr>
              <w:ind w:left="3200"/>
              <w:spacing w:after="0"/>
              <w:rPr>
                <w:sz w:val="20"/>
                <w:szCs w:val="20"/>
                <w:color w:val="auto"/>
              </w:rPr>
            </w:pPr>
            <w:r>
              <w:rPr>
                <w:rFonts w:ascii="Arial" w:cs="Arial" w:eastAsia="Arial" w:hAnsi="Arial"/>
                <w:sz w:val="14"/>
                <w:szCs w:val="14"/>
                <w:b w:val="1"/>
                <w:bCs w:val="1"/>
                <w:color w:val="auto"/>
              </w:rPr>
              <w:t>Title</w:t>
            </w: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Douglas L. Braunstein</w:t>
            </w:r>
          </w:p>
        </w:tc>
        <w:tc>
          <w:tcPr>
            <w:tcW w:w="2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60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and Chairman of the HEC Board</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Douglas G. Bergeron</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60</w:t>
            </w:r>
          </w:p>
        </w:tc>
        <w:tc>
          <w:tcPr>
            <w:tcW w:w="67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Dobres</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w:t>
            </w: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63</w:t>
            </w:r>
          </w:p>
        </w:tc>
        <w:tc>
          <w:tcPr>
            <w:tcW w:w="67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Schulman</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w:t>
            </w: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Thelma Duggin</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71</w:t>
            </w:r>
          </w:p>
        </w:tc>
        <w:tc>
          <w:tcPr>
            <w:tcW w:w="67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i w:val="1"/>
          <w:iCs w:val="1"/>
          <w:color w:val="auto"/>
        </w:rPr>
        <w:t xml:space="preserve">Douglas L. Braunstein </w:t>
      </w:r>
      <w:r>
        <w:rPr>
          <w:rFonts w:ascii="Arial" w:cs="Arial" w:eastAsia="Arial" w:hAnsi="Arial"/>
          <w:sz w:val="18"/>
          <w:szCs w:val="18"/>
          <w:color w:val="auto"/>
        </w:rPr>
        <w:t>is our President and Chairman of the HEC Board. Mr. Braunstein is the Founder and a Managing Partner of Hudson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which is a member of our sponsor and is our affiliate.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 Investment Banking, as well as serving on the Investment Bank Management Committee for over ten years.</w:t>
      </w:r>
    </w:p>
    <w:p>
      <w:pPr>
        <w:spacing w:after="0" w:line="196"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b w:val="1"/>
          <w:bCs w:val="1"/>
          <w:i w:val="1"/>
          <w:iCs w:val="1"/>
          <w:color w:val="auto"/>
        </w:rPr>
        <w:t xml:space="preserve">Douglas G. Bergeron </w:t>
      </w:r>
      <w:r>
        <w:rPr>
          <w:rFonts w:ascii="Arial" w:cs="Arial" w:eastAsia="Arial" w:hAnsi="Arial"/>
          <w:sz w:val="16"/>
          <w:szCs w:val="16"/>
          <w:color w:val="auto"/>
        </w:rPr>
        <w:t>is our Chief Executive Officer and a Director. Mr. Bergeron is a Managing Partner of Hudson Executive Capital.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Hudson Executive Capital, Douglas G. Bergeron founded DGB Investments, a diversified holding company of technology investments, in 2013.</w:t>
      </w:r>
    </w:p>
    <w:p>
      <w:pPr>
        <w:ind w:left="120" w:right="40"/>
        <w:spacing w:after="0" w:line="268" w:lineRule="auto"/>
        <w:rPr>
          <w:sz w:val="20"/>
          <w:szCs w:val="20"/>
          <w:color w:val="auto"/>
        </w:rPr>
      </w:pPr>
      <w:r>
        <w:rPr>
          <w:rFonts w:ascii="Arial" w:cs="Arial" w:eastAsia="Arial" w:hAnsi="Arial"/>
          <w:sz w:val="17"/>
          <w:szCs w:val="17"/>
          <w:color w:val="auto"/>
        </w:rPr>
        <w:t>Mr. Bergeron’s expertise in the financial services sector, FinTech in particular, and the technology industry spans over 35 years, including 12 years as the Chief Executive Officer of Verifone Systems, Inc., a provider of technology for electronic payment transactions and value-added services at the point-of-sale. In 2001, Mr. Bergeron led the acquisition of Verifone, in partnership with the private equity firm The Gores Group, from Hewlett Packard for $50 million and was named Verifone’s Chief Executive Officer. The following year, Mr. Bergeron partnered with GTCR, another private equity firm, to acquire Verifone from The Gores Group, and continued as Chief Executive Officer of Verifone. Prior to leading Verifone, Mr. Bergeron held several senior roles at SunGard Data Systems and ultimately became Chief Executive Officer of SunGard Brokerage Systems Group and President of SunGard Futures Systems, which provided software and services to a variety of trading institutions, banks, futures brokerages, derivatives exchanges and clearing and settlement services providers.</w:t>
      </w:r>
    </w:p>
    <w:p>
      <w:pPr>
        <w:spacing w:after="0" w:line="18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b w:val="1"/>
          <w:bCs w:val="1"/>
          <w:i w:val="1"/>
          <w:iCs w:val="1"/>
          <w:color w:val="auto"/>
        </w:rPr>
        <w:t xml:space="preserve">Jonathan Dobres </w:t>
      </w:r>
      <w:r>
        <w:rPr>
          <w:rFonts w:ascii="Arial" w:cs="Arial" w:eastAsia="Arial" w:hAnsi="Arial"/>
          <w:sz w:val="16"/>
          <w:szCs w:val="16"/>
          <w:color w:val="auto"/>
        </w:rPr>
        <w:t>has been our Chief Financial Officer since February 2020. Mr. Dobres is currently an investment professional at Hudson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Prior to joining Hudson Executive Capital, Mr. Dobres was a Managing Director of Flexis Capital LLC, a private equity firm concentrating on middle market investments. Additionally, Mr. Dobres has been a Vice President at P. Schoenfeld Asset Management, a multi-strategy hedge fund from April 2008 to June 2009 and a Vice President in the Technology, Media &amp; Telecommunications Investment Banking group at Bear, Stearns &amp; Co. from August 2005 to April 2008. From August 2002 to August 2005, Mr. Dobres was an attorney in the financial services group at Sullivan &amp; Cromwell LLP. He received his B.B.A. from Emory University in 1999 and his J.D. from Georgetown University Law Center in 2002.</w:t>
      </w:r>
    </w:p>
    <w:p>
      <w:pPr>
        <w:spacing w:after="0" w:line="164"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b w:val="1"/>
          <w:bCs w:val="1"/>
          <w:i w:val="1"/>
          <w:iCs w:val="1"/>
          <w:color w:val="auto"/>
        </w:rPr>
        <w:t xml:space="preserve">Robert Greifeld </w:t>
      </w:r>
      <w:r>
        <w:rPr>
          <w:rFonts w:ascii="Arial" w:cs="Arial" w:eastAsia="Arial" w:hAnsi="Arial"/>
          <w:sz w:val="17"/>
          <w:szCs w:val="17"/>
          <w:color w:val="auto"/>
        </w:rPr>
        <w:t>is a director. Mr. Greifeld is currently the Chairman of Virtu Financial, a leading financial technology and trading firm,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and Co-Founder at Cornerstone Investment Capital, a financial technology investment firm, and a Board Member at Capital Rock and Financeware. Mr. Greifeld previously served as Chairman of the Board of Directors of Nasdaq from January 2017 until May 2017 and as a Chief Executive Officer of Nasdaq from 2003 to 2016. During his tenure, he quadrupled revenue and increased market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value over 20 times. Prior to joining Nasdaq, Mr. Greifeld was an Executive Vice President with SunGard Data Systems and a District Manager for Unisys. Mr. Greifeld founded and chairs the USA Track &amp; Field Foundation, which supports emerging athletes and inner-city youth athletics.</w:t>
      </w:r>
    </w:p>
    <w:p>
      <w:pPr>
        <w:ind w:left="120" w:right="360"/>
        <w:spacing w:after="0" w:line="260" w:lineRule="auto"/>
        <w:rPr>
          <w:sz w:val="20"/>
          <w:szCs w:val="20"/>
          <w:color w:val="auto"/>
        </w:rPr>
      </w:pPr>
      <w:r>
        <w:rPr>
          <w:rFonts w:ascii="Arial" w:cs="Arial" w:eastAsia="Arial" w:hAnsi="Arial"/>
          <w:sz w:val="18"/>
          <w:szCs w:val="18"/>
          <w:color w:val="auto"/>
        </w:rPr>
        <w:t>Mr. Greifeld is a member of the NYU Stern Board of Overseers and a CNBC Contributor. Mr. Greifeld holds a Masters in Business from New York University, Stern School of Business, and a B.A. in English from Iona College.</w:t>
      </w:r>
    </w:p>
    <w:p>
      <w:pPr>
        <w:spacing w:after="0" w:line="18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b w:val="1"/>
          <w:bCs w:val="1"/>
          <w:i w:val="1"/>
          <w:iCs w:val="1"/>
          <w:color w:val="auto"/>
        </w:rPr>
        <w:t xml:space="preserve">Amy Schulman </w:t>
      </w:r>
      <w:r>
        <w:rPr>
          <w:rFonts w:ascii="Arial" w:cs="Arial" w:eastAsia="Arial" w:hAnsi="Arial"/>
          <w:sz w:val="16"/>
          <w:szCs w:val="16"/>
          <w:color w:val="auto"/>
        </w:rPr>
        <w:t>is a director. Ms. Schulman has been a managing partner at Polaris Partners, a healthcare and technology focused investment fund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she focuses on investments in healthcare companies, since August 2014. She also manages the LS Polaris Innovation Fund, which was formed in 2017 to accelerate the commercial and therapeutic potential of early-stage academic research. In addition, Ms. Schulman currently serves as a director of Cyclerion Therapeutics (Nasdaq: CYCN), Alnylam Pharmaceuticals (Nasdaq: ALNY), Dewpoint Therapeutics, Kallyope, Volastra, Fractyl Laboratories, Glympse Bio, Candesant, Cardurion, Thirty Madison and ByHeart. She currently serves as the executive chair of SQZ Biotech, as well as Lyndra Therapeutics, where she was co-founder and the company’s initial CEO. When she joined Polaris, she assumed the role of CEO of Arsia Therapeutics, a Polaris-backed company later acquired by Eagle Pharmaceuticals. Prior to joining Polaris, Ms. Schulman was the general counsel of Pfizer, president of Pfizer Nutrition. Ms. Schulman is currently a Senior Lecturer at Harvard Business School and has previously served as a director of Ironwood Pharmaceuticals, Quentis Therapeutics, Suono Bio, BIND Therapeutics, Inc., Blue Buffalo Pet Products, Inc. and Olivo Laboratories. She is a Phi Beta Kappa graduate of Wesleyan University and earned her J.D. from Yale Law School in 1989.</w:t>
      </w:r>
    </w:p>
    <w:p>
      <w:pPr>
        <w:spacing w:after="0" w:line="168" w:lineRule="exact"/>
        <w:rPr>
          <w:sz w:val="20"/>
          <w:szCs w:val="20"/>
          <w:color w:val="auto"/>
        </w:rPr>
      </w:pPr>
    </w:p>
    <w:p>
      <w:pPr>
        <w:ind w:left="120" w:right="240"/>
        <w:spacing w:after="0" w:line="290" w:lineRule="auto"/>
        <w:rPr>
          <w:sz w:val="20"/>
          <w:szCs w:val="20"/>
          <w:color w:val="auto"/>
        </w:rPr>
      </w:pPr>
      <w:r>
        <w:rPr>
          <w:rFonts w:ascii="Arial" w:cs="Arial" w:eastAsia="Arial" w:hAnsi="Arial"/>
          <w:sz w:val="16"/>
          <w:szCs w:val="16"/>
          <w:b w:val="1"/>
          <w:bCs w:val="1"/>
          <w:i w:val="1"/>
          <w:iCs w:val="1"/>
          <w:color w:val="auto"/>
        </w:rPr>
        <w:t xml:space="preserve">Thelma Duggin </w:t>
      </w:r>
      <w:r>
        <w:rPr>
          <w:rFonts w:ascii="Arial" w:cs="Arial" w:eastAsia="Arial" w:hAnsi="Arial"/>
          <w:sz w:val="16"/>
          <w:szCs w:val="16"/>
          <w:color w:val="auto"/>
        </w:rPr>
        <w:t>is a director. Ms. Duggin has been the President of the AnBryce Foundation, which provides long-term academic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enrichment programs to underserved youth, since May 2010. Prior to her role with the AnBryce Foundation, Ms. Duggin served as a Senior Vice President for the public sector line of business at UnitedHealth Group (NYSE: UNH) from 2002 to 2010. She spent more than 15 years with AmeriChoice, before they were acquired by UnitedHealth Group, in various senior management positions including CEO of its largest health plans, AmeriChoice of New York and AmeriChoice of New Jersey. Ms. Duggin is a Trustee of the Aspen Institute and a member of the Woodrow Wilson International Center for Scholars Board of Trustees. Ms. Duggin is also secretary and board member of Somatus, a kidney disease care provider company. Ms. Duggin has been a Resident Fellow at the John F. Kennedy School of Government at Harvard University and the General Management Program at Harvard Business School. She received her B.S. from Edgewood College and an honorary doctorate from Morris Brown College.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rules of the Nasdaq require that a majority of the HEC Board be independent. An “independent director” is defined generally as a person other than an executive officer or employee of HEC or its subsidiaries or any other individual having a relationship, which in the opinion of the HEC Board, would interfere with the director’s exercise of independent judgment in carrying out the responsibilities of a director. The HEC Board has determined that each of Mr. Greifeld, Ms. Schulman and Ms. Duggin is an independent director under applicable SEC and Nasdaq rules. Our independent directors will have regularly scheduled meetings at which only independent directors are present.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HEC Board consists of five members. The HEC Board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Amy Schulman and Robert Greifeld, will expire at our first annual meeting of stockholders. The term of office of the second class of directors, consisting of Doug Braunstein and Thelma Duggin, will expire at the second annual meeting of stockholders. The term of office of the third class of directors, consisting of Doug Bergeron, will expire at the third annual meeting of stockholders. We may not hold an annual meeting of stockholders until after we consummate our initial business combination.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any other special rights applicable to our stockholders, any vacancies on the HEC Board of directors may be filled by the affirmative vote of a majority of the directors present and voting at the meeting of the HEC Board that includes any directors representing the Sponsor then on the HEC Board, or by a majority of the holders of our founder shares.</w:t>
      </w:r>
    </w:p>
    <w:p>
      <w:pPr>
        <w:spacing w:after="0" w:line="184"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Our officers are appointed by the HEC Board and serve at the discretion of the HEC Board, rather than for specific terms of office. The HEC Board is authorized to appoint persons to the offices set forth in our bylaws as it deems appropriate. Our bylaws provide that our officers may consist of a Chief Executive Officer, a President, a Chief Financial Officer, Vice Presidents, a Secretary, Assistant Secretaries, a Treasurer, Assistant Treasurers and such other offices as may be determined by the HEC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HEC Board has two standing committees: an audit committee and a compensation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operates under a charter that was approved by the HEC Board and has the composition and responsibilities described below. The charter of each committee is available on our website.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The members of our audit committee are Mr. Braunstein, Ms. Duggin and Ms. Schulman, and Mr. Braunstein serves as chair of the audit committee. Each member of the audit committee is financially literate and the HEC Board has determined that each member qualifies as an “audit committee financial expert” as defined in applicable SEC rules and has accounting or related financial management expertise.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adopted an audit committee charter, which details the purpose and principal functions of the audit committee, including:</w:t>
      </w:r>
    </w:p>
    <w:p>
      <w:pPr>
        <w:spacing w:after="0" w:line="131" w:lineRule="exact"/>
        <w:rPr>
          <w:sz w:val="20"/>
          <w:szCs w:val="20"/>
          <w:color w:val="auto"/>
        </w:rPr>
      </w:pPr>
    </w:p>
    <w:p>
      <w:pPr>
        <w:ind w:left="540" w:right="80" w:hanging="316"/>
        <w:spacing w:after="0" w:line="27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oversight of the independent auditor, including retention, assessment of independence, evaluation of quality and performance and oversight of the work of the independent auditor;</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financial statements and other financial disclosures;</w:t>
      </w:r>
    </w:p>
    <w:p>
      <w:pPr>
        <w:spacing w:after="0" w:line="130" w:lineRule="exact"/>
        <w:rPr>
          <w:rFonts w:ascii="Arial" w:cs="Arial" w:eastAsia="Arial" w:hAnsi="Arial"/>
          <w:sz w:val="18"/>
          <w:szCs w:val="18"/>
          <w:color w:val="auto"/>
        </w:rPr>
      </w:pPr>
    </w:p>
    <w:p>
      <w:pPr>
        <w:ind w:left="540" w:right="20" w:hanging="316"/>
        <w:spacing w:after="0" w:line="25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quality and integrity of the financial statements, reviewing and discussing with management and the independent auditor, before the issuance of the audit report, the financial statements and related notes and the “Management’s Discussion and Analysis of Financial Condition and Results of Operations” proposed to be included in HEC’s Annual Report on Form 10-K/A, annually preparing an audit committee report for inclusion where necessary in the proxy statement/prospectus relating to the annual meeting of stockholders and/or annual report of HEC;</w:t>
      </w:r>
    </w:p>
    <w:p>
      <w:pPr>
        <w:spacing w:after="0" w:line="93" w:lineRule="exact"/>
        <w:rPr>
          <w:rFonts w:ascii="Arial" w:cs="Arial" w:eastAsia="Arial" w:hAnsi="Arial"/>
          <w:sz w:val="18"/>
          <w:szCs w:val="18"/>
          <w:color w:val="auto"/>
        </w:rPr>
      </w:pPr>
    </w:p>
    <w:p>
      <w:pPr>
        <w:ind w:left="540" w:hanging="316"/>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quarterly financial statements and related notes and the</w:t>
      </w:r>
    </w:p>
    <w:p>
      <w:pPr>
        <w:spacing w:after="0" w:line="23" w:lineRule="exact"/>
        <w:rPr>
          <w:rFonts w:ascii="Arial" w:cs="Arial" w:eastAsia="Arial" w:hAnsi="Arial"/>
          <w:sz w:val="18"/>
          <w:szCs w:val="18"/>
          <w:color w:val="auto"/>
        </w:rPr>
      </w:pPr>
    </w:p>
    <w:p>
      <w:pPr>
        <w:ind w:left="540" w:right="140"/>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proposed to be included in HEC’s Quarterly Reports on Form 10-Q;</w:t>
      </w:r>
    </w:p>
    <w:p>
      <w:pPr>
        <w:spacing w:after="0" w:line="90" w:lineRule="exact"/>
        <w:rPr>
          <w:rFonts w:ascii="Arial" w:cs="Arial" w:eastAsia="Arial" w:hAnsi="Arial"/>
          <w:sz w:val="18"/>
          <w:szCs w:val="18"/>
          <w:color w:val="auto"/>
        </w:rPr>
      </w:pPr>
    </w:p>
    <w:p>
      <w:pPr>
        <w:ind w:left="540" w:right="40" w:hanging="316"/>
        <w:spacing w:after="0" w:line="311" w:lineRule="auto"/>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discussing with management and the independent auditor and, prior to issuance, review and approve HEC’s earnings releases, including the financial information, use of any “pro forma” or “adjusted” non-GAAP information, and earnings guidance (if such is provided) to be disclosed in such releases; and reviewing on a quarterly basis all payments made to Sponsor, officers or directors, or to HEC’s or their affiliates;</w:t>
      </w:r>
    </w:p>
    <w:p>
      <w:pPr>
        <w:spacing w:after="0" w:line="54" w:lineRule="exact"/>
        <w:rPr>
          <w:rFonts w:ascii="Arial" w:cs="Arial" w:eastAsia="Arial" w:hAnsi="Arial"/>
          <w:sz w:val="16"/>
          <w:szCs w:val="16"/>
          <w:color w:val="auto"/>
        </w:rPr>
      </w:pPr>
    </w:p>
    <w:p>
      <w:pPr>
        <w:ind w:left="540" w:right="480" w:hanging="316"/>
        <w:spacing w:after="0" w:line="27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providing oversight of management’s design and maintenance of HEC’s internal control over financial reporting and disclosure controls and procedures;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75"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auditor the certifications and any related disclosures made by HEC’s Chief Executive Officer and Chief Financial Officer in HEC’s periodic reports about the results of their evaluation of the effectiveness of disclosure controls and procedures and any significant deficiencies or material weaknesses in the design or operation of internal control over financial reporting, and any fraud involving management or other employees who have a significant role in HEC’s internal control over financial reporting, prior to the filing of HEC’s Annual Reports on Form 10-K/A and Quarterly Reports on Form 10-Q;</w:t>
      </w:r>
    </w:p>
    <w:p>
      <w:pPr>
        <w:spacing w:after="0" w:line="81" w:lineRule="exact"/>
        <w:rPr>
          <w:rFonts w:ascii="Arial" w:cs="Arial" w:eastAsia="Arial" w:hAnsi="Arial"/>
          <w:sz w:val="17"/>
          <w:szCs w:val="17"/>
          <w:color w:val="auto"/>
        </w:rPr>
      </w:pPr>
    </w:p>
    <w:p>
      <w:pPr>
        <w:ind w:left="540" w:right="140" w:hanging="316"/>
        <w:spacing w:after="0" w:line="263"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with the independent auditor the responsibilities, budget, staffing, effectiveness and performance of the internal audit function, if any, including the structure, qualification and activities of the internal audit function and the scope of internal audit responsibilities in relation to the independent auditor’s duties;</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establishing clear policies regarding the hiring of employees and former employees of HEC’s independent auditor;</w:t>
      </w:r>
    </w:p>
    <w:p>
      <w:pPr>
        <w:spacing w:after="0" w:line="130" w:lineRule="exact"/>
        <w:rPr>
          <w:rFonts w:ascii="Arial" w:cs="Arial" w:eastAsia="Arial" w:hAnsi="Arial"/>
          <w:sz w:val="18"/>
          <w:szCs w:val="18"/>
          <w:color w:val="auto"/>
        </w:rPr>
      </w:pPr>
    </w:p>
    <w:p>
      <w:pPr>
        <w:ind w:left="540" w:right="60" w:hanging="316"/>
        <w:spacing w:after="0" w:line="301"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reviewing and discussing with management, the head of the internal audit function, if any, and the independent auditor any significant risks or exposures and HEC’s policies and processes with respect to risk assessment and risk management, and shall assess the steps management has taken to monitor and control such risks, except with respect to those risks for which oversight has been assigned to other committees of the board or retained by the board. the committee shall review HEC’s annual disclosures concerning the role of the board in the risk oversight of HEC;</w:t>
      </w:r>
    </w:p>
    <w:p>
      <w:pPr>
        <w:spacing w:after="0" w:line="62" w:lineRule="exact"/>
        <w:rPr>
          <w:rFonts w:ascii="Arial" w:cs="Arial" w:eastAsia="Arial" w:hAnsi="Arial"/>
          <w:sz w:val="16"/>
          <w:szCs w:val="16"/>
          <w:color w:val="auto"/>
        </w:rPr>
      </w:pPr>
    </w:p>
    <w:p>
      <w:pPr>
        <w:ind w:left="540" w:right="44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assessing with the chairman, co-chairman or co-executive chairman of the board or outside counsel, as appropriate, legal and regulatory matters that may have a material impact on HEC’s financial statements;</w:t>
      </w:r>
    </w:p>
    <w:p>
      <w:pPr>
        <w:spacing w:after="0" w:line="75"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reviewing and recommending for board approval the code of business conduct and ethics and any other appropriate compliance policies, and will review requests for waivers under the code of business conduct and ethics sought with respect to any executive officer or director;</w:t>
      </w:r>
    </w:p>
    <w:p>
      <w:pPr>
        <w:spacing w:after="0" w:line="51" w:lineRule="exact"/>
        <w:rPr>
          <w:rFonts w:ascii="Arial" w:cs="Arial" w:eastAsia="Arial" w:hAnsi="Arial"/>
          <w:sz w:val="17"/>
          <w:szCs w:val="17"/>
          <w:color w:val="auto"/>
        </w:rPr>
      </w:pPr>
    </w:p>
    <w:p>
      <w:pPr>
        <w:ind w:left="540" w:right="120" w:hanging="316"/>
        <w:spacing w:after="0" w:line="286"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reviewing annually with the chairman, co- chairman or co-executive chairman of the board or outside counsel, as appropriate, the scope, implementation and effectiveness of the ethics and compliance program, and any significant deviations by officers and employees from the code of business conduct and ethics or other compliance policies, and other matters pertaining to the integrity of management;</w:t>
      </w:r>
    </w:p>
    <w:p>
      <w:pPr>
        <w:spacing w:after="0" w:line="70" w:lineRule="exact"/>
        <w:rPr>
          <w:rFonts w:ascii="Arial" w:cs="Arial" w:eastAsia="Arial" w:hAnsi="Arial"/>
          <w:sz w:val="17"/>
          <w:szCs w:val="17"/>
          <w:color w:val="auto"/>
        </w:rPr>
      </w:pPr>
    </w:p>
    <w:p>
      <w:pPr>
        <w:ind w:left="540" w:right="420" w:hanging="316"/>
        <w:spacing w:after="0" w:line="263"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establishing “whistleblowing” procedures for (a) the receipt, retention and treatment of complaints received by HEC regarding accounting, internal accounting controls or auditing matters and (b) the confidential, anonymous submission by HEC’s employees of concerns regarding questionable accounting or auditing matters;</w:t>
      </w:r>
    </w:p>
    <w:p>
      <w:pPr>
        <w:spacing w:after="0" w:line="89" w:lineRule="exact"/>
        <w:rPr>
          <w:rFonts w:ascii="Arial" w:cs="Arial" w:eastAsia="Arial" w:hAnsi="Arial"/>
          <w:sz w:val="18"/>
          <w:szCs w:val="18"/>
          <w:color w:val="auto"/>
        </w:rPr>
      </w:pPr>
    </w:p>
    <w:p>
      <w:pPr>
        <w:ind w:left="540" w:right="280" w:hanging="316"/>
        <w:spacing w:after="0" w:line="263"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approve HEC’s decision to enter into swaps and other derivative transactions that are exempt from exchange-execution and clearance requirements under “end- user exception” regulations, and review and discuss with management applicable HEC policies governing HEC’s use of swaps subject to the end-user exception;</w:t>
      </w:r>
    </w:p>
    <w:p>
      <w:pPr>
        <w:spacing w:after="0" w:line="89"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if appropriate, approving or ratifying any related person transactions and other significant conflicts of interest, in each case in accordance with HEC’s code of business conduct and ethics and related party transactions policy;</w:t>
      </w:r>
    </w:p>
    <w:p>
      <w:pPr>
        <w:spacing w:after="0" w:line="75"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conducting an annual self-evaluation of the performance of the committee, including its effectiveness and compliance with this charter, and recommend to the board such amendments of this charter as the committee deems appropriate; and</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reporting regularly to the board on committee findings and recommendations and any other matters the committee deems appropriate or the board requests, and maintain minutes or other records of committee meetings and activities.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60"/>
          </w:cols>
          <w:pgMar w:left="320" w:top="459"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HEC Board has established a compensation committee. The members of our compensation committee are Mr. Greifeld and Ms. Schulman and Mr. Greifeld serves as chair of the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adopted a compensation committee charter, which details the purpose and responsibility of the compensation committee, including:</w:t>
      </w:r>
    </w:p>
    <w:p>
      <w:pPr>
        <w:spacing w:after="0" w:line="142" w:lineRule="exact"/>
        <w:rPr>
          <w:sz w:val="20"/>
          <w:szCs w:val="20"/>
          <w:color w:val="auto"/>
        </w:rPr>
      </w:pPr>
    </w:p>
    <w:p>
      <w:pPr>
        <w:ind w:left="540" w:hanging="316"/>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establishing and reviewing the objectives of HEC’s management compensation programs and its basic compensation policies;</w:t>
      </w:r>
    </w:p>
    <w:p>
      <w:pPr>
        <w:spacing w:after="0" w:line="130"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the CEO and other executive officers, including annual and long-term performance goals and objectives;</w:t>
      </w:r>
    </w:p>
    <w:p>
      <w:pPr>
        <w:spacing w:after="0" w:line="75"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subject to such further action of the board as the board shall determine, any employment, compensation, benefit or severance agreement with any executive officer;</w:t>
      </w:r>
    </w:p>
    <w:p>
      <w:pPr>
        <w:spacing w:after="0" w:line="75" w:lineRule="exact"/>
        <w:rPr>
          <w:rFonts w:ascii="Arial" w:cs="Arial" w:eastAsia="Arial" w:hAnsi="Arial"/>
          <w:sz w:val="18"/>
          <w:szCs w:val="18"/>
          <w:color w:val="auto"/>
        </w:rPr>
      </w:pPr>
    </w:p>
    <w:p>
      <w:pPr>
        <w:ind w:left="540" w:right="40" w:hanging="316"/>
        <w:spacing w:after="0" w:line="279"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evaluating at least annually the performance of the CEO and other executive officers against corporate goals and objectives including the annual performance objectives and, based on this evaluation, determine and approve, subject to such further action of the board as the board shall determine, the compensation (including any awards under any equity-based compensation or non-equity-based incentive compensation plan of the HEC and any material perquisites) for the executive officers based on this evaluation;</w:t>
      </w:r>
    </w:p>
    <w:p>
      <w:pPr>
        <w:spacing w:after="0" w:line="76" w:lineRule="exact"/>
        <w:rPr>
          <w:rFonts w:ascii="Arial" w:cs="Arial" w:eastAsia="Arial" w:hAnsi="Arial"/>
          <w:sz w:val="17"/>
          <w:szCs w:val="17"/>
          <w:color w:val="auto"/>
        </w:rPr>
      </w:pPr>
    </w:p>
    <w:p>
      <w:pPr>
        <w:jc w:val="both"/>
        <w:ind w:left="540" w:right="320" w:hanging="316"/>
        <w:spacing w:after="0" w:line="263"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determining and approving the compensation level (including any awards under any equity-based compensation or non-equity-based incentive compensation plan of HEC and any material perquisites) for other members of senior management of HEC as the committee or the board may from time to time determine to be appropriate;</w:t>
      </w:r>
    </w:p>
    <w:p>
      <w:pPr>
        <w:spacing w:after="0" w:line="89" w:lineRule="exact"/>
        <w:rPr>
          <w:rFonts w:ascii="Arial" w:cs="Arial" w:eastAsia="Arial" w:hAnsi="Arial"/>
          <w:sz w:val="18"/>
          <w:szCs w:val="18"/>
          <w:color w:val="auto"/>
        </w:rPr>
      </w:pPr>
    </w:p>
    <w:p>
      <w:pPr>
        <w:ind w:left="540" w:right="140" w:hanging="316"/>
        <w:spacing w:after="0" w:line="308"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reviewing at least annually the compensation of other employees as the committee determines to be appropriate (including any awards under any equity-based compensation or non-equity-based incentive compensation plan of HEC and any material perquisites);</w:t>
      </w:r>
    </w:p>
    <w:p>
      <w:pPr>
        <w:spacing w:after="0" w:line="51" w:lineRule="exact"/>
        <w:rPr>
          <w:rFonts w:ascii="Arial" w:cs="Arial" w:eastAsia="Arial" w:hAnsi="Arial"/>
          <w:sz w:val="17"/>
          <w:szCs w:val="17"/>
          <w:color w:val="auto"/>
        </w:rPr>
      </w:pPr>
    </w:p>
    <w:p>
      <w:pPr>
        <w:ind w:left="540" w:right="20" w:hanging="316"/>
        <w:spacing w:after="0" w:line="263"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on a periodic basis HEC’s management compensation programs, including any management incentive compensation plans as well as plans and policies pertaining to perquisites, to determine whether they are appropriate, properly coordinated and achieve their intended purpose(s), and recommend to the board any appropriate modifications or new plans, programs or policies;</w:t>
      </w:r>
    </w:p>
    <w:p>
      <w:pPr>
        <w:spacing w:after="0" w:line="89"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adoption of any equity-based compensation plan for employees of or consultants to HEC and any modification of any such plan;</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administering HEC’s equity-based compensation plans for employees of and consultants to HEC as provided by the terms of such plans, including authorizing all awards made pursuant to such plans;</w:t>
      </w:r>
    </w:p>
    <w:p>
      <w:pPr>
        <w:spacing w:after="0" w:line="75" w:lineRule="exact"/>
        <w:rPr>
          <w:rFonts w:ascii="Arial" w:cs="Arial" w:eastAsia="Arial" w:hAnsi="Arial"/>
          <w:sz w:val="18"/>
          <w:szCs w:val="18"/>
          <w:color w:val="auto"/>
        </w:rPr>
      </w:pPr>
    </w:p>
    <w:p>
      <w:pPr>
        <w:ind w:left="540" w:right="140" w:hanging="316"/>
        <w:spacing w:after="0" w:line="308"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review, approve and recommend to the Board the adoption of any non-equity-based incentive compensation plan for employees of or consultants to HEC and any material modification of any such plan and review at least annually the awards made pursuant to such plans;</w:t>
      </w:r>
    </w:p>
    <w:p>
      <w:pPr>
        <w:spacing w:after="0" w:line="51" w:lineRule="exact"/>
        <w:rPr>
          <w:rFonts w:ascii="Arial" w:cs="Arial" w:eastAsia="Arial" w:hAnsi="Arial"/>
          <w:sz w:val="17"/>
          <w:szCs w:val="17"/>
          <w:color w:val="auto"/>
        </w:rPr>
      </w:pPr>
    </w:p>
    <w:p>
      <w:pPr>
        <w:ind w:left="540" w:right="28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adoption of any employee retirement plan, and other material employee benefit plan, and any material modification of any such plan;</w:t>
      </w:r>
    </w:p>
    <w:p>
      <w:pPr>
        <w:spacing w:after="0" w:line="75" w:lineRule="exact"/>
        <w:rPr>
          <w:rFonts w:ascii="Arial" w:cs="Arial" w:eastAsia="Arial" w:hAnsi="Arial"/>
          <w:sz w:val="18"/>
          <w:szCs w:val="18"/>
          <w:color w:val="auto"/>
        </w:rPr>
      </w:pPr>
    </w:p>
    <w:p>
      <w:pPr>
        <w:ind w:left="540" w:right="40" w:hanging="316"/>
        <w:spacing w:after="0" w:line="311"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reviewing at least annually (a) HEC’s compensation policies and practices for executives, management employees and employees generally to assess whether such policies and practices could lead to excessive risk taking behavior and (b) the manner in which any risks arising out of HEC’s compensation policies and practices are monitored and mitigated and adjustments necessary to address changes in HEC’s risk profile;</w:t>
      </w:r>
    </w:p>
    <w:p>
      <w:pPr>
        <w:spacing w:after="0" w:line="54" w:lineRule="exact"/>
        <w:rPr>
          <w:rFonts w:ascii="Arial" w:cs="Arial" w:eastAsia="Arial" w:hAnsi="Arial"/>
          <w:sz w:val="16"/>
          <w:szCs w:val="16"/>
          <w:color w:val="auto"/>
        </w:rPr>
      </w:pPr>
    </w:p>
    <w:p>
      <w:pPr>
        <w:ind w:left="540" w:right="340" w:hanging="316"/>
        <w:spacing w:after="0" w:line="311"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 respect to any compensation consultant who has been engaged to make determinations or recommendations on the amount or form of executive or director compensation: (a) annually, or from time to time as the committee deems appropriate, assessing whether the work of any such compensation consultant (whether retained by the compensation committee or management) has raised any conflicts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color w:val="auto"/>
        </w:rPr>
        <w:t>interest; and (b) reviewing the engagement and the nature of any additional services provided by such compensation consultant to the committee or to management, as well as all remuneration provided to such consultant;</w:t>
      </w:r>
    </w:p>
    <w:p>
      <w:pPr>
        <w:spacing w:after="0" w:line="76" w:lineRule="exact"/>
        <w:rPr>
          <w:sz w:val="20"/>
          <w:szCs w:val="20"/>
          <w:color w:val="auto"/>
        </w:rPr>
      </w:pPr>
    </w:p>
    <w:p>
      <w:pPr>
        <w:ind w:left="540" w:right="80" w:hanging="316"/>
        <w:spacing w:after="0" w:line="286" w:lineRule="auto"/>
        <w:tabs>
          <w:tab w:leader="none" w:pos="5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annually, or from time to time as the committee deems appropriate and prior to retention of any advisers to the committee, assessing the independence of compensation consultants, legal and other advisers to the Committee, taking into consideration all relevant factors the committee deems appropriate to such adviser’s independence, including factors specified in the listing standards of the Nasdaq;</w:t>
      </w:r>
    </w:p>
    <w:p>
      <w:pPr>
        <w:spacing w:after="0" w:line="70" w:lineRule="exact"/>
        <w:rPr>
          <w:rFonts w:ascii="Arial" w:cs="Arial" w:eastAsia="Arial" w:hAnsi="Arial"/>
          <w:sz w:val="17"/>
          <w:szCs w:val="17"/>
          <w:color w:val="auto"/>
        </w:rPr>
      </w:pPr>
    </w:p>
    <w:p>
      <w:pPr>
        <w:ind w:left="540" w:hanging="316"/>
        <w:spacing w:after="0" w:line="301"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disclosure required by SEC regulations and determine whether to recommend to the Board, as part of a report of the committee to the Board, that such disclosure be included in HEC’s Annual Report on Form 10-K/A and any proxy statement/prospectus for the election of directors; as part of this review, the committee shall consider the results of the most recent stockholder advisory vote on executive compensation (“say- on-pay” vote) required by Section 14A of the Exchange Act;</w:t>
      </w:r>
    </w:p>
    <w:p>
      <w:pPr>
        <w:spacing w:after="0" w:line="62"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least every six years or more frequently as appropriate, recommending to the board regarding the frequency with which HEC will conduct a say-on- pay vote;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reviewing the form and amount of director compensation at least annually, and make recommendations thereon to the Board;</w:t>
      </w:r>
    </w:p>
    <w:p>
      <w:pPr>
        <w:spacing w:after="0" w:line="130" w:lineRule="exact"/>
        <w:rPr>
          <w:rFonts w:ascii="Arial" w:cs="Arial" w:eastAsia="Arial" w:hAnsi="Arial"/>
          <w:sz w:val="18"/>
          <w:szCs w:val="18"/>
          <w:color w:val="auto"/>
        </w:rPr>
      </w:pPr>
    </w:p>
    <w:p>
      <w:pPr>
        <w:ind w:left="540" w:right="40" w:hanging="316"/>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overseeing and monitoring other compensation related policies and practices of HEC, including: (i) HEC’s stock ownership guidelines for directors and executive officers; (ii) compliance by management with rules regarding equity-based compensation plans for employees and consultants pursuant to the terms of such plans, and the guidelines for issuance of awards as the board or committee may establish; and (iii) HEC’s recoupment policy and procedures;</w:t>
      </w:r>
    </w:p>
    <w:p>
      <w:pPr>
        <w:spacing w:after="0" w:line="92"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overseeing stockholder communications relating to executive compensation and review and making recommendations with respect to stockholder proposals related to compensation matters;</w:t>
      </w:r>
    </w:p>
    <w:p>
      <w:pPr>
        <w:spacing w:after="0" w:line="75"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conducting an annual self-evaluation of the performance of the Committee, including its effectiveness and compliance with this charter, and recommend to the board such amendments of this charter as the Committee deems appropriate;</w:t>
      </w:r>
    </w:p>
    <w:p>
      <w:pPr>
        <w:spacing w:after="0" w:line="75"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reporting regularly to the Board on Committee findings and recommendations and any other matters the Committee deems appropriate or the Board requests, and maintain minutes or other records of Committee meetings and activities;</w:t>
      </w:r>
    </w:p>
    <w:p>
      <w:pPr>
        <w:spacing w:after="0" w:line="75" w:lineRule="exact"/>
        <w:rPr>
          <w:rFonts w:ascii="Arial" w:cs="Arial" w:eastAsia="Arial" w:hAnsi="Arial"/>
          <w:sz w:val="18"/>
          <w:szCs w:val="18"/>
          <w:color w:val="auto"/>
        </w:rPr>
      </w:pPr>
    </w:p>
    <w:p>
      <w:pPr>
        <w:ind w:left="540" w:right="120" w:hanging="316"/>
        <w:spacing w:after="0" w:line="263"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from and after the completion of HEC’s initial business combination, in consultation with the CEO, annually reporting to the board on succession planning, which shall include emergency CEO succession, CEO succession in the ordinary course and succession for other members of senior management, working with the entire Board to evaluate potential successors to the CEO; and</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undertaking such other responsibilities or tasks as the Board may delegate or assign to the Committee from time to time.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adopted a Code of Ethics applicable to our directors, officers and employees. We have previously filed a copy of our form of Code of Ethics and our audit committee charter as exhibits to the registration statement in connection with the HEC IPO. You can review these documents by accessing our public filings at the SEC’s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website at www.sec.gov. In addition, a copy of the Code of Ethics will be provided without charge upon request from us. We intend to disclose any amendments to or waivers of certain provisions of our Code of Ethics by posting such information on our website rather than by filing a Current Report on Form 8-K. Please see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There is no material litigation, arbitration, governmental proceeding or any other legal proceeding currently pending or known to be contemplated against HEC, and HEC has not been subject to any such proceeding in the 12 months preceding the date of this proxy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HEC has registered its securities under the Exchange Act and has reporting obligations, including the requirement to file annual and quarterly reports with the SEC. In accordance with the requirements of the Exchange Act, HEC’s annual reports contain financial statements audited and reported on by HEC’s independent registered public accounting firm.</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40"/>
          </w:cols>
          <w:pgMar w:left="320" w:top="459" w:right="5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HEC’S MANAGEMENT’S DISCUSSION AND ANALYSIS OF FINANCIAL CONDITION AND RESULTS OF OPERATIONS</w:t>
      </w:r>
    </w:p>
    <w:p>
      <w:pPr>
        <w:spacing w:after="0" w:line="229" w:lineRule="exact"/>
        <w:rPr>
          <w:sz w:val="20"/>
          <w:szCs w:val="20"/>
          <w:color w:val="auto"/>
        </w:rPr>
      </w:pPr>
    </w:p>
    <w:p>
      <w:pPr>
        <w:ind w:left="120" w:right="300"/>
        <w:spacing w:after="0" w:line="273"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“our, “ the “Company” or “HEC” refer to HEC prior to the consummation of the Transactions. The following discussion and analysis of HEC’s financial condition and results of operations should be read in conjunction with HEC’s audited financial statements and the notes related thereto which are included in this proxy statement/prospectus. Certain information contained in the discussion and analysis set forth below includes forward-looking statements. HEC’s actual results may differ materially from those anticipated in these forward-looking statements as a result of many factors. Please see the section entitled “Cautionary Note Regarding Forward-Looking Statements” and “Risk Factors” in this proxy statement/prospectus.</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has been amended and restated to give effect to the restatement and revision of our financial statements as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a blank check company incorporated on February 6,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the HEC IPO, the sale of the private placement warrants that occurred simultaneously with the completion of the HEC IPO and the sale of the Forward Purchase Units, the sale of shares in a private placement to certain investors (including the PIPE Investment), shares issued to the owners of the target, debt issued to bank or other lenders or the owners of the target, or a combination of the foregoing.</w:t>
      </w:r>
    </w:p>
    <w:p>
      <w:pPr>
        <w:spacing w:after="0" w:line="1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January 12, 2021, HEC entered into the Merger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Merger Agreement, the parties thereto will enter into a business combination transaction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by which,</w:t>
      </w:r>
    </w:p>
    <w:p>
      <w:pPr>
        <w:spacing w:after="0" w:line="35" w:lineRule="exact"/>
        <w:rPr>
          <w:sz w:val="20"/>
          <w:szCs w:val="20"/>
          <w:color w:val="auto"/>
        </w:rPr>
      </w:pPr>
    </w:p>
    <w:p>
      <w:pPr>
        <w:ind w:left="340" w:hanging="224"/>
        <w:spacing w:after="0"/>
        <w:tabs>
          <w:tab w:leader="none" w:pos="3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First Merger Sub will merge with and into the Company with the Company being the surviving corporation in the merger (the “</w:t>
      </w:r>
      <w:r>
        <w:rPr>
          <w:rFonts w:ascii="Arial" w:cs="Arial" w:eastAsia="Arial" w:hAnsi="Arial"/>
          <w:sz w:val="17"/>
          <w:szCs w:val="17"/>
          <w:i w:val="1"/>
          <w:iCs w:val="1"/>
          <w:color w:val="auto"/>
        </w:rPr>
        <w:t>First Merger</w:t>
      </w:r>
      <w:r>
        <w:rPr>
          <w:rFonts w:ascii="Arial" w:cs="Arial" w:eastAsia="Arial" w:hAnsi="Arial"/>
          <w:sz w:val="17"/>
          <w:szCs w:val="17"/>
          <w:color w:val="auto"/>
        </w:rPr>
        <w:t>”) and</w:t>
      </w:r>
    </w:p>
    <w:p>
      <w:pPr>
        <w:spacing w:after="0" w:line="20" w:lineRule="exact"/>
        <w:rPr>
          <w:rFonts w:ascii="Arial" w:cs="Arial" w:eastAsia="Arial" w:hAnsi="Arial"/>
          <w:sz w:val="17"/>
          <w:szCs w:val="17"/>
          <w:color w:val="auto"/>
        </w:rPr>
      </w:pPr>
    </w:p>
    <w:p>
      <w:pPr>
        <w:ind w:left="380" w:hanging="264"/>
        <w:spacing w:after="0"/>
        <w:tabs>
          <w:tab w:leader="none" w:pos="3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w:t>
      </w:r>
    </w:p>
    <w:p>
      <w:pPr>
        <w:spacing w:after="0" w:line="21" w:lineRule="exact"/>
        <w:rPr>
          <w:sz w:val="20"/>
          <w:szCs w:val="20"/>
          <w:color w:val="auto"/>
        </w:rPr>
      </w:pPr>
    </w:p>
    <w:p>
      <w:pPr>
        <w:ind w:left="120" w:right="8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and, together with the First Merger, being collectively referred to as the “Mergers” and, together with the other transactions contemplated by the Merger Agreement, the “</w:t>
      </w:r>
      <w:r>
        <w:rPr>
          <w:rFonts w:ascii="Arial" w:cs="Arial" w:eastAsia="Arial" w:hAnsi="Arial"/>
          <w:sz w:val="18"/>
          <w:szCs w:val="18"/>
          <w:i w:val="1"/>
          <w:iCs w:val="1"/>
          <w:color w:val="auto"/>
        </w:rPr>
        <w:t>Transactions</w:t>
      </w:r>
      <w:r>
        <w:rPr>
          <w:rFonts w:ascii="Arial" w:cs="Arial" w:eastAsia="Arial" w:hAnsi="Arial"/>
          <w:sz w:val="18"/>
          <w:szCs w:val="18"/>
          <w:color w:val="auto"/>
        </w:rPr>
        <w:t>” and the closing of the Transactions, the “</w:t>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1080" w:hanging="532"/>
        <w:spacing w:after="0" w:line="273"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w:t>
      </w:r>
      <w:r>
        <w:rPr>
          <w:rFonts w:ascii="Arial" w:cs="Arial" w:eastAsia="Arial" w:hAnsi="Arial"/>
          <w:sz w:val="17"/>
          <w:szCs w:val="17"/>
          <w:i w:val="1"/>
          <w:iCs w:val="1"/>
          <w:color w:val="auto"/>
        </w:rPr>
        <w:t>HEC Common Stock</w:t>
      </w:r>
      <w:r>
        <w:rPr>
          <w:rFonts w:ascii="Arial" w:cs="Arial" w:eastAsia="Arial" w:hAnsi="Arial"/>
          <w:sz w:val="17"/>
          <w:szCs w:val="17"/>
          <w:color w:val="auto"/>
        </w:rPr>
        <w:t>”)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532"/>
        <w:spacing w:after="0" w:line="275" w:lineRule="auto"/>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maximum amount of cash (the “</w:t>
      </w:r>
      <w:r>
        <w:rPr>
          <w:rFonts w:ascii="Arial" w:cs="Arial" w:eastAsia="Arial" w:hAnsi="Arial"/>
          <w:sz w:val="17"/>
          <w:szCs w:val="17"/>
          <w:i w:val="1"/>
          <w:iCs w:val="1"/>
          <w:color w:val="auto"/>
        </w:rPr>
        <w:t>Closing Cash Consideration</w:t>
      </w:r>
      <w:r>
        <w:rPr>
          <w:rFonts w:ascii="Arial" w:cs="Arial" w:eastAsia="Arial" w:hAnsi="Arial"/>
          <w:sz w:val="17"/>
          <w:szCs w:val="17"/>
          <w:color w:val="auto"/>
        </w:rPr>
        <w:t xml:space="preserve">”) that may be paid to pre-closing holders of the Company’s stock and vested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(iii) $250,000,000,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(iv) the transaction expenses of the parties to the Merger Agreement;</w:t>
      </w:r>
    </w:p>
    <w:p>
      <w:pPr>
        <w:spacing w:after="0" w:line="81" w:lineRule="exact"/>
        <w:rPr>
          <w:rFonts w:ascii="Arial" w:cs="Arial" w:eastAsia="Arial" w:hAnsi="Arial"/>
          <w:sz w:val="17"/>
          <w:szCs w:val="17"/>
          <w:color w:val="auto"/>
        </w:rPr>
      </w:pPr>
    </w:p>
    <w:p>
      <w:pPr>
        <w:ind w:left="1080" w:right="280" w:hanging="532"/>
        <w:spacing w:after="0" w:line="291"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maximum number of shares of HEC Common Stock that may be issued to pre-closing holders of the Company’s stock and options, including HEC Common Shares underlying any assumed options, pursuant to the foregoing is equal to a number determined dividing</w:t>
      </w:r>
    </w:p>
    <w:p>
      <w:pPr>
        <w:ind w:left="1080" w:right="740" w:firstLine="8"/>
        <w:spacing w:after="0" w:line="260" w:lineRule="auto"/>
        <w:tabs>
          <w:tab w:leader="none" w:pos="132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on January 12, 2021, concurrently with the execution of the Merger Agreement, HEC entered into subscription agreements (the</w:t>
      </w:r>
    </w:p>
    <w:p>
      <w:pPr>
        <w:spacing w:after="0" w:line="35"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investors (collectively, the “</w:t>
      </w:r>
      <w:r>
        <w:rPr>
          <w:rFonts w:ascii="Arial" w:cs="Arial" w:eastAsia="Arial" w:hAnsi="Arial"/>
          <w:sz w:val="17"/>
          <w:szCs w:val="17"/>
          <w:i w:val="1"/>
          <w:iCs w:val="1"/>
          <w:color w:val="auto"/>
        </w:rPr>
        <w:t>PIPE Investors</w:t>
      </w:r>
      <w:r>
        <w:rPr>
          <w:rFonts w:ascii="Arial" w:cs="Arial" w:eastAsia="Arial" w:hAnsi="Arial"/>
          <w:sz w:val="17"/>
          <w:szCs w:val="17"/>
          <w:color w:val="auto"/>
        </w:rPr>
        <w:t>”), pursuant to, and on the terms and subject to the conditions of which, the PIPE Investors have collectively subscribed for 30,000,000 shares of HEC Common Stock for an aggregate purchase price equal to $300 million (the “</w:t>
      </w:r>
      <w:r>
        <w:rPr>
          <w:rFonts w:ascii="Arial" w:cs="Arial" w:eastAsia="Arial" w:hAnsi="Arial"/>
          <w:sz w:val="17"/>
          <w:szCs w:val="17"/>
          <w:i w:val="1"/>
          <w:iCs w:val="1"/>
          <w:color w:val="auto"/>
        </w:rPr>
        <w:t>PIPE Investment</w:t>
      </w:r>
      <w:r>
        <w:rPr>
          <w:rFonts w:ascii="Arial" w:cs="Arial" w:eastAsia="Arial" w:hAnsi="Arial"/>
          <w:sz w:val="17"/>
          <w:szCs w:val="17"/>
          <w:color w:val="auto"/>
        </w:rPr>
        <w:t>”). The PIPE Investment will be consummated substantially concurrently with the Closing. The Subscription Agreements will terminate with no further force and effect upon the earliest to occur of: (i) 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have neither engaged in any operations nor generated any revenues to date. Our only activities from inception to March 31, 2021 were organizational activities, those necessary to prepare for the HEC IPO, described below, and, following the HEC IPO, identifying a target company for a Business Combination and completing activities related to the Business Combination Agreement.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78"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For the three months ended March 31, 2021, we had a net income of $10,361,129, which consisted of the change in the value of our warrant and FPA liabilities of $11,042,400 and interest earned on the marketable securities of $47,151, offset by operating costs of $728,422.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from February 6, 2020 (inception) through March 31, 2020, we had a net loss of $1,000, which consists of formation costs.</w:t>
      </w:r>
    </w:p>
    <w:p>
      <w:pPr>
        <w:spacing w:after="0" w:line="22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For the period from February 6, 2020 (inception) through December 31, 2020, we had a net loss of $27,235,908, which consists of operating costs of $1,776,306, a charge related to the initial classification of the HEC Forward Purchase Agreement of $350,000, a change in the fair value of the HEC Forward Purchase Agreement of $3,875,000, a change in the fair value of the Warrants of $18,896,400, compensation expense of $1,233,600 related to the excess of the fair value of the Private Placement Warrants over their purchase price, transaction costs in the amount of $1,322,813 attributed to the Warrants and a provision for income taxes of $10,070, offset by interest income on marketable securities held in the trust account of $228,281.</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June 11, 2020, we consummated the HEC IPO of 41,400,000 units, which included the full exercise by the underwriters of the over-allotment option to purchase an additional 5,400,000 units, at $10.00 per unit, generating gross proceeds of $414,000,000. Simultaneously with the closing of the HEC IPO, we consummated the sale of 10,280,000 Private Placement Warrants to our Sponsor at a price of $1.00 per warrant, generating gross proceeds of $10,280,000.</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Following the HEC IPO, the exercise of the over-allotment option and the sale of the Private Placement Warrants, a total of $414,000,000 was placed in the trust account. We incurred $23,353,182 in transaction costs, including $8,280,000 of underwriting fees, $14,490,000 of deferred underwriting fees and $583,182 of other offering costs.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three months ended March 31, 2021, cash used in operating activities was $801,083. Net income of $10,361,129 was offset by a non-cash charge for the change in the fair value of warrant and FPA liabilities of $11,042,400 interest earned on marketable securities held in the Trust Account of $47,151, and increased by operating costs paid through promissory note proceeds of $2,586. Changes in operating assets and liabilities provided $75,247 of cash from operating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from February 6, 2020 (inception) through March 31, 2020, cash used in operating activities was $1,000.</w:t>
      </w:r>
    </w:p>
    <w:p>
      <w:pPr>
        <w:spacing w:after="0" w:line="22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For the period from February 6, 2020 (inception) through December 31, 2020, cash used in operating activities was $261,316. Net loss of $27,235,908 was affected by the non-cash loss on the change in fair value of the Warrants of $18,896,400, a non-cash loss on the change in the fair value of the HEC Forward Purchase Agreement of $3,875,000, a non-cash compensation expense of $1,233,600 related to the excess of the fair value of the Private Placement Warrants over their purchase price, transaction costs in the amount $1,322,813 attributable to the Warrants, interest earned on marketable securities held in the trust account of $228,281, formation costs paid by the Sponsor of $2,125 and changes in operating assets and liabilities. The non-cash loss on the change in valuation of the Private Placement Warrants is included in the loss on the change in fair value of Warrants in their statement of operations.</w:t>
      </w:r>
    </w:p>
    <w:p>
      <w:pPr>
        <w:spacing w:after="0" w:line="19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March 31, 2021 and December 31, 2020, we had cash and marketable securities held in the Trust Account of $414,275,432 and $414,228,281, respectively.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For each of the periods ended March 31, 2021 and December 31, 2020, we did not withdraw any interest income from the trust account.</w:t>
      </w:r>
    </w:p>
    <w:p>
      <w:pPr>
        <w:spacing w:after="0" w:line="16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As of March 31, 2021 and December 31, 2020, we had $377,294 and $1,178,377, respectively,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order to fund working capital deficiencies or finance transaction costs in connection with our initial Business Combination, the Sponsor or an affiliate of the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be used for such repayment. Up to $1,500,000 of such loans may be convertible into warrants identical to the private placement warrants, at a price of $1.00 per warrant at the option of the lender.</w:t>
      </w:r>
    </w:p>
    <w:p>
      <w:pPr>
        <w:spacing w:after="0" w:line="170"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Company intends to complete a Business Combination as further discussed in this filing.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 No adjustments have been made to the carrying amounts of assets or liabilities should the Company be unable to continue as a going concern.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the Sponsor a monthly fee of $10,000 for office space, utilities and secretarial and administrative services to HEC. We began incurring these fees on June 8, 2020 and will continue to incur these fees monthly until the earlier of the completion of our Business Combination and HEC’s liquidation.</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underwriters are entitled to a deferred fee of $0.35 per unit, or $14,490,000 in the aggregate. The deferred fee will be forfeited by the underwriters in the event that HEC fails to complete a Business Combination, subject to the terms of the underwriting agreement.</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we entered into a forward purchase agreement with HEC Master pursuant to which HEC Master has committed to purchase from us up to 5,000,000 Forward Purchase Units, for $10.00 per unit, or an aggregate amount of up to $50,000,000, in a private placement that will close concurrently with the closing of a Business Combination. The proceeds from the sale of these Forward Purchase Units, together with the amounts available to us from the trust account (after giving effect to any redemptions of Public Shares) and any other equity or debt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us entering into a definitive agreement for the initial Business Combination, of its investment committee. Pursuant to the terms of the forward purchase agreement, HEC Master will have the option to assign its commitment to one of its affiliates and up to $2,500,000 to members of our management team. The Forward Purchase Shares will be identical to the shares of Class A common stock included in the units sold in the HEC IPO,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connection with the signing of the Merger Agreement, the Company and HEC Master amended the HEC Forward Purchase Agreement. Pursuant to the First Amendment to the HEC Forward Purchase Agreement, dated January 12, 2021, HEC Master’s purchase obligations were amended such that HEC Master is obligated to purchase 2,500,000 Forward Purchase Units and backstop up to $25,000,000 of redemptions by our stockholders through the purchase of additional Forward Purchase Units, in each case valued at $10.00 per Forward Purchase Unit, in a private placement that will close concurrently with the closing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 and Forward Purchase Agreement Liabilities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account for the Warrants and the HEC Forward Purchase Agreement in accordance with the guidance contained in the ASC 815 under which the Warrants and the HEC Forward Purchase Agreement do not meet the criteria for equity treatment and must be recorded as liabilities. Accordingly, we classify the Warrants and the HEC Forward Purchase Agreement as liabilities at their fair value and adjust the Warrants and the HEC Forward Purchase Agreement to fair value at each reporting period. These liabilities are subject to remeasurement at each balance sheet date until exercised, and any change in fair value is recognized in our statement of operations. The fair value of the Public Warrants has been estimated using the Public Warrants’ quoted market price. The Private Placement Warrants and the HEC Forward Purchase Agreement are valued using a Modified Black Scholes Option Pricing Model.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w:t>
      </w:r>
    </w:p>
    <w:p>
      <w:pPr>
        <w:spacing w:after="0" w:line="3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 Topic 480 “Distinguishing Liabilities from Equity.” Shares of Class A common stock subject to mandatory redemption (if any)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shares of Class A common stock subject to possible redemption are presented as temporary equity, outside of the stockholders’ equity section of our balance sheet.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As of March 31, 2021, we were not subject to any market or interest rate risk. The net proceeds received into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solely due to the HEC’s restatement of its financial statements to reclassify HEC’s warrants and the HEC Forward Purchase Agreement as described in the Explanatory Note to HEC’s Annual Report on Form 10-K/A, our disclosure controls and procedures were not effective as of December 31, 2020 or March 31, 2021, and that the foregoing arose as a result of a material weakness in HEC’s internal control over financial reporting. In light of this material weakness, we performed additional analysis as deemed necessary to ensure that our financial statements were prepared in accordance with U.S. generally accepted accounting principles. Accordingly, management believes that the financial statements included in the proxy statement/prospectus present fairly in all material respects our financial position, results of operations and cash flows for the periods presented.</w:t>
      </w:r>
    </w:p>
    <w:p>
      <w:pPr>
        <w:spacing w:after="0" w:line="168"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1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This proxy/statement prospectus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as the circumstances that led to the restatement by HEC of its financial statements as described in HEC’s Annual Report on Form 10-K/A had not yet been identified. However, as management has identified a material weakness in our internal control over financial reporting with respect to the classification of HEC’s warrants and the HEC Forward Purchase Agreement as components of equity instead of liabilities, as well as the related determination of fair value of warrant liabilities, additional paid-in capital and accumulated deficit, and related financial disclosures, HEC intends to address this material weakness by enhancing its processes to identify and appropriately apply applicable accounting requirements to better evaluate its research and understanding of the nuances of the complex accounting standards that apply to its financial statements. HEC’s current plans include providing enhanced access to accounting literature, research materials and documents and increased communication among its personnel and third-party professionals with whom it consults regarding complex accounting applications. HEC has also retained the services of a valuation expert to assist in valuation analysis of the warrants and the HEC Forward Purchase Agreement on a quarterly basis.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Pre-Approval Policy</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audit committee was formed upon the consummation of our HEC IPO. As a result, the audit committee did not pre-approve all of the foregoing services, although any services rendered prior to the formation of our audit committee were approved by the HEC Board.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TALKSPACE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References in this section to “we,” “our,” “us,” the “Company” or “Talkspace” generally refer to Talkspace and its consolidated subsidiaries.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mission is to democratize access to high quality behavioral healthcare, so that those in need live a happier and healthier life.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B2C channel, comprised of individual consumers who subscribe directly to our platform, and our B2B channel, comprised of large enterprise clients such as Google and Expedia and large health plans and employee assistance programs (collectively, “health plan clients”) such as Aetna, Cigna, Premera, Humana and Optum (collectively, our “clients”), who offer their employees and insured members access to our platform for free or at in-network reimbursement rates, respectively.</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 the year ended December 31, 2020, we provided therapy to approximately 200,000 members on our platform, as compared to approximately 92,000 members for the year ended December 31, 2019, and for the three months ended March 31, 2021, we provided therapy to approximately 65,000 members on our platform, as compared to approximately 39,000 members for the three months ended March 31, 2020. As of March 31, 2021, we had over 60,000 active members receiving care through our B2C and B2B channels, including approximately 35,000 B2C active members, and nearly 42 million B2B eligible lives. As of May 1, 2021, our B2B eligible lives grew to over 55 million.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 For the years ended December 31, 2019 and 2020, approximately 66% and 62% of our B2C members, respectively, and for the three months ended March 31, 2020 and 2021, approximately 60% and 58% of our B2C members, respectively, remained active on our platform beyond the initial term of their subscription.</w:t>
      </w:r>
    </w:p>
    <w:p>
      <w:pPr>
        <w:spacing w:after="0" w:line="18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92"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patient demographic, including those who may have pharmacological needs. Like the traditional face-to-face models, Talkspace providers are able to treat a wide range of mental health conditions, such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7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state of behavioral health is characterized by the following key factors:</w:t>
      </w:r>
    </w:p>
    <w:p>
      <w:pPr>
        <w:spacing w:after="0" w:line="131" w:lineRule="exact"/>
        <w:rPr>
          <w:sz w:val="20"/>
          <w:szCs w:val="20"/>
          <w:color w:val="auto"/>
        </w:rPr>
      </w:pPr>
    </w:p>
    <w:p>
      <w:pPr>
        <w:ind w:left="1080" w:hanging="424"/>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Growing incidence</w:t>
      </w:r>
      <w:r>
        <w:rPr>
          <w:rFonts w:ascii="Arial" w:cs="Arial" w:eastAsia="Arial" w:hAnsi="Arial"/>
          <w:sz w:val="18"/>
          <w:szCs w:val="18"/>
          <w:color w:val="auto"/>
        </w:rPr>
        <w:t>: There are rapidly rising occurrences of behavioral health conditions across the entire global population.</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Limited access due to factors such as stigma, physical hurdles and prohibitive cost</w:t>
      </w:r>
      <w:r>
        <w:rPr>
          <w:rFonts w:ascii="Arial" w:cs="Arial" w:eastAsia="Arial" w:hAnsi="Arial"/>
          <w:sz w:val="18"/>
          <w:szCs w:val="18"/>
          <w:color w:val="auto"/>
        </w:rPr>
        <w:t>: According to the National Alliance on Mental Illness,</w:t>
      </w:r>
      <w:r>
        <w:rPr>
          <w:rFonts w:ascii="Arial" w:cs="Arial" w:eastAsia="Arial" w:hAnsi="Arial"/>
          <w:sz w:val="18"/>
          <w:szCs w:val="18"/>
          <w:i w:val="1"/>
          <w:iCs w:val="1"/>
          <w:color w:val="auto"/>
        </w:rPr>
        <w:t xml:space="preserve"> </w:t>
      </w:r>
      <w:r>
        <w:rPr>
          <w:rFonts w:ascii="Arial" w:cs="Arial" w:eastAsia="Arial" w:hAnsi="Arial"/>
          <w:sz w:val="18"/>
          <w:szCs w:val="18"/>
          <w:color w:val="auto"/>
        </w:rPr>
        <w:t>only approximately 43% of adults with a mental illness receive treatment in a given year. Moreover, approximately 60% of our members have indicated they are in therapy for the first time.</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Inability to match demand for mental health services with therapists’ supply</w:t>
      </w:r>
      <w:r>
        <w:rPr>
          <w:rFonts w:ascii="Arial" w:cs="Arial" w:eastAsia="Arial" w:hAnsi="Arial"/>
          <w:sz w:val="18"/>
          <w:szCs w:val="18"/>
          <w:color w:val="auto"/>
        </w:rPr>
        <w:t>: Patients face difficulties accessing providers, despite there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approximately 600,000 licensed providers in the United States.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Poor clinical outcomes and lack of care continuity</w:t>
      </w:r>
      <w:r>
        <w:rPr>
          <w:rFonts w:ascii="Arial" w:cs="Arial" w:eastAsia="Arial" w:hAnsi="Arial"/>
          <w:sz w:val="18"/>
          <w:szCs w:val="18"/>
          <w:color w:val="auto"/>
        </w:rPr>
        <w:t>: According to a 2017 study, only 44% of patients return for a second in-person visits.</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approximately 76% of patients relapse when medications are withdrawn, according to a 2005 study.</w:t>
      </w:r>
    </w:p>
    <w:p>
      <w:pPr>
        <w:spacing w:after="0" w:line="75" w:lineRule="exact"/>
        <w:rPr>
          <w:rFonts w:ascii="Arial" w:cs="Arial" w:eastAsia="Arial" w:hAnsi="Arial"/>
          <w:sz w:val="18"/>
          <w:szCs w:val="18"/>
          <w:color w:val="auto"/>
        </w:rPr>
      </w:pPr>
    </w:p>
    <w:p>
      <w:pPr>
        <w:ind w:left="1080" w:right="640" w:hanging="424"/>
        <w:spacing w:after="0" w:line="308" w:lineRule="auto"/>
        <w:tabs>
          <w:tab w:leader="none" w:pos="1080"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Enormous societal cost</w:t>
      </w:r>
      <w:r>
        <w:rPr>
          <w:rFonts w:ascii="Arial" w:cs="Arial" w:eastAsia="Arial" w:hAnsi="Arial"/>
          <w:sz w:val="17"/>
          <w:szCs w:val="17"/>
          <w:color w:val="auto"/>
        </w:rPr>
        <w:t>: According to a 2008 study by the National Institute of Mental Health, major mental disorders cost society</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$192 billion annually in estimated lost earnings in the United States as a result of reduced productivity.</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Elevated healthcare system spend</w:t>
      </w:r>
      <w:r>
        <w:rPr>
          <w:rFonts w:ascii="Arial" w:cs="Arial" w:eastAsia="Arial" w:hAnsi="Arial"/>
          <w:sz w:val="18"/>
          <w:szCs w:val="18"/>
          <w:color w:val="auto"/>
        </w:rPr>
        <w:t>: There is increased healthcare spending associated with behavioral health issues, with costs of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mental health disorders more than 70% higher than those without, according to a 2019 study.</w:t>
      </w:r>
    </w:p>
    <w:p>
      <w:pPr>
        <w:spacing w:after="0" w:line="170"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believe virtual is the ideal modality for mental health treatment, and our platform is purpose-built to address the traditional constraints through a full range of virtual services exclusively focused on behavioral health. Our offering is highly differentiated, and we believe we are well-positioned to address the unmet needs in behavioral health, delivering significantly enhanced access at attractive price points and delivering meaningful clinical outcomes.</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believe the total global addressable market opportunity for our services is approximately $480 billion, driven in part by the access we believe our model provides to unlock unaddressed patient populations. In the United States alone, it is estimated that approximately 70 million Americans suffer from mental illness every year, spread across all ethnic, socio-economic and age ranges, and that less than half of those in need receive care. This mental health pandemic has only been exacerbated by the COVID-19 pandemic, with a 2020 study finding that the prevalence of depression symptoms grew three-fold since the COVID-19 pandemic began.</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believe this market opportunity exists due in part to structural limitations in the traditional behavioral healthcare model such as slow adoption of technology to treat and monitor patients, reactive-to-care delivery which can lead to inconsistent outcomes, difficulties quantifying outcomes, and lack of reimbursement and insurance coverage leading to misaligned incentives.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To overcome these hurdles and achieve our mission of providing more people with convenient access to quality, affordable behavioral healthcare, we built a technology platform with the belief that the right solution can make care more personalized and effective. Our position as innovators in behavioral health is demonstrated by a series of major achievements since our formation in 2012:</w:t>
      </w:r>
    </w:p>
    <w:p>
      <w:pPr>
        <w:spacing w:after="0" w:line="89" w:lineRule="exact"/>
        <w:rPr>
          <w:sz w:val="20"/>
          <w:szCs w:val="20"/>
          <w:color w:val="auto"/>
        </w:rPr>
      </w:pPr>
    </w:p>
    <w:p>
      <w:pPr>
        <w:ind w:left="1080" w:right="16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A leading consumer brand in behavioral healthcare</w:t>
      </w:r>
      <w:r>
        <w:rPr>
          <w:rFonts w:ascii="Arial" w:cs="Arial" w:eastAsia="Arial" w:hAnsi="Arial"/>
          <w:sz w:val="18"/>
          <w:szCs w:val="18"/>
          <w:color w:val="auto"/>
        </w:rPr>
        <w:t>: Our brand awareness continues to be instrumental in driving patient penetration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Addressing a wide spectrum of care</w:t>
      </w:r>
      <w:r>
        <w:rPr>
          <w:rFonts w:ascii="Arial" w:cs="Arial" w:eastAsia="Arial" w:hAnsi="Arial"/>
          <w:sz w:val="17"/>
          <w:szCs w:val="17"/>
          <w:color w:val="auto"/>
        </w:rPr>
        <w:t>: We offer virtual psychotherapy and psychiatry services at scale across B2C and B2B channels.</w:t>
      </w:r>
    </w:p>
    <w:p>
      <w:pPr>
        <w:spacing w:after="0" w:line="142" w:lineRule="exact"/>
        <w:rPr>
          <w:rFonts w:ascii="Arial" w:cs="Arial" w:eastAsia="Arial" w:hAnsi="Arial"/>
          <w:sz w:val="17"/>
          <w:szCs w:val="17"/>
          <w:color w:val="auto"/>
        </w:rPr>
      </w:pPr>
    </w:p>
    <w:p>
      <w:pPr>
        <w:ind w:left="1080" w:right="70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Cost</w:t>
      </w:r>
      <w:r>
        <w:rPr>
          <w:rFonts w:ascii="Arial" w:cs="Arial" w:eastAsia="Arial" w:hAnsi="Arial"/>
          <w:sz w:val="18"/>
          <w:szCs w:val="18"/>
          <w:color w:val="auto"/>
        </w:rPr>
        <w:t>-</w:t>
      </w:r>
      <w:r>
        <w:rPr>
          <w:rFonts w:ascii="Arial" w:cs="Arial" w:eastAsia="Arial" w:hAnsi="Arial"/>
          <w:sz w:val="18"/>
          <w:szCs w:val="18"/>
          <w:i w:val="1"/>
          <w:iCs w:val="1"/>
          <w:color w:val="auto"/>
        </w:rPr>
        <w:t>effective solution</w:t>
      </w:r>
      <w:r>
        <w:rPr>
          <w:rFonts w:ascii="Arial" w:cs="Arial" w:eastAsia="Arial" w:hAnsi="Arial"/>
          <w:sz w:val="18"/>
          <w:szCs w:val="18"/>
          <w:color w:val="auto"/>
        </w:rPr>
        <w:t>: We offer affordable care with a transparent pricing model and a clear commitment to high-quality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behavioral care access to underserved populations.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Integrated technology platform</w:t>
      </w:r>
      <w:r>
        <w:rPr>
          <w:rFonts w:ascii="Arial" w:cs="Arial" w:eastAsia="Arial" w:hAnsi="Arial"/>
          <w:sz w:val="18"/>
          <w:szCs w:val="18"/>
          <w:color w:val="auto"/>
        </w:rPr>
        <w:t>: Our proprietary matching algorithm and machine-learning tools provide real-time engagement insights,</w:t>
      </w:r>
      <w:r>
        <w:rPr>
          <w:rFonts w:ascii="Arial" w:cs="Arial" w:eastAsia="Arial" w:hAnsi="Arial"/>
          <w:sz w:val="18"/>
          <w:szCs w:val="18"/>
          <w:i w:val="1"/>
          <w:iCs w:val="1"/>
          <w:color w:val="auto"/>
        </w:rPr>
        <w:t xml:space="preserve"> </w:t>
      </w:r>
      <w:r>
        <w:rPr>
          <w:rFonts w:ascii="Arial" w:cs="Arial" w:eastAsia="Arial" w:hAnsi="Arial"/>
          <w:sz w:val="18"/>
          <w:szCs w:val="18"/>
          <w:color w:val="auto"/>
        </w:rPr>
        <w:t>inform treatment and track clinical progress.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Machine-learning powered clinicians’ sourcing and credentialing</w:t>
      </w:r>
      <w:r>
        <w:rPr>
          <w:rFonts w:ascii="Arial" w:cs="Arial" w:eastAsia="Arial" w:hAnsi="Arial"/>
          <w:sz w:val="18"/>
          <w:szCs w:val="18"/>
          <w:color w:val="auto"/>
        </w:rPr>
        <w:t>: This process has allowed us to build a national network of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providers</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No overhead and administrative costs for clinicians</w:t>
      </w:r>
      <w:r>
        <w:rPr>
          <w:rFonts w:ascii="Arial" w:cs="Arial" w:eastAsia="Arial" w:hAnsi="Arial"/>
          <w:sz w:val="17"/>
          <w:szCs w:val="17"/>
          <w:color w:val="auto"/>
        </w:rPr>
        <w:t>: Our platform enables providers to spend less time in administrative tasks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scheduling, invoicing and taking notes, vis-a-vis private practices, and spend more time treating patients.</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Privacy and stigma-free access</w:t>
      </w:r>
      <w:r>
        <w:rPr>
          <w:rFonts w:ascii="Arial" w:cs="Arial" w:eastAsia="Arial" w:hAnsi="Arial"/>
          <w:sz w:val="18"/>
          <w:szCs w:val="18"/>
          <w:color w:val="auto"/>
        </w:rPr>
        <w:t>: Talkspace data is fully encrypted, consistent with HIPAA and other state regulatory requirements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assessed annually by external privacy and security advisors.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Collaborations with mental health champions</w:t>
      </w:r>
      <w:r>
        <w:rPr>
          <w:rFonts w:ascii="Arial" w:cs="Arial" w:eastAsia="Arial" w:hAnsi="Arial"/>
          <w:sz w:val="18"/>
          <w:szCs w:val="18"/>
          <w:color w:val="auto"/>
        </w:rPr>
        <w:t>: Our collaborations with Demi Lovato and Michael Phelps draw awareness and seek to</w:t>
      </w:r>
      <w:r>
        <w:rPr>
          <w:rFonts w:ascii="Arial" w:cs="Arial" w:eastAsia="Arial" w:hAnsi="Arial"/>
          <w:sz w:val="18"/>
          <w:szCs w:val="18"/>
          <w:i w:val="1"/>
          <w:iCs w:val="1"/>
          <w:color w:val="auto"/>
        </w:rPr>
        <w:t xml:space="preserve"> </w:t>
      </w:r>
      <w:r>
        <w:rPr>
          <w:rFonts w:ascii="Arial" w:cs="Arial" w:eastAsia="Arial" w:hAnsi="Arial"/>
          <w:sz w:val="18"/>
          <w:szCs w:val="18"/>
          <w:color w:val="auto"/>
        </w:rPr>
        <w:t>humanize the day-to-day battle with mental illness.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platform is purpose-built to personalize treatment and drive outcomes with technology encompassing every step of our members’ treatment journey, which we believe is critical to drive care continuity and impact. Beginning with our secure mobile app, members are able to seamlessly provide information so that we can assess their condition and incorporate their preferences. We then leverage our proprietary algorithm to match members and providers, allowing for an optimized start of the relationship, which we believe is a key factor in delivering care continuity. Communication then occurs via live video and private messaging in a fully-encrypted virtual chat room. If deemed necessary, providers can decide to administer standardized tests to diagnose the disease and identify the best treatment plan. Throughout these patient interactions, our providers have access to our exclusive care delivery platform built for improving outcomes, featuring provider tools for case management, enhanced diagnosis, treatment planning, stress and resilience programming, risk mitigation, and clinical progress tracking. Providing multilayer insights through our data dashboards, providers can make informed, outcome-driven decisions to enhance the quality of care. In addition, since inception, we have expanded to support medication management and a variety of behavioral conditions for adults, adolescents, and couples.</w:t>
      </w:r>
    </w:p>
    <w:p>
      <w:pPr>
        <w:spacing w:after="0" w:line="18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believe that, through our platform, our providers are empowered with unique insights and capabilities that enable meaningful clinical outcomes. Additionally, our technology analyzes and manages our scaled provider network through a host of outcomes and satisfaction-focused metrics, providing an opportunity to chart both the patient and provider simultaneously in order to drive meaningful outcomes. Our platform capabilities also enable and continuously enhance evidence of care, care continuity, outcomes metrics and data-based learnings, built into a robust electronic health record (“EHR”) network. The depth of capabilities of this EHR network are only possible in part because of our virtual delivery model, whereas we believe much of this would be unachievable in traditional behavioral care settings.</w:t>
      </w:r>
    </w:p>
    <w:p>
      <w:pPr>
        <w:spacing w:after="0" w:line="192"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have a vast nationwide network of approximately 3,000 fully-credentialed providers, consisting of both psychotherapists and psychiatrists, across all 50 U.S. states. We have high and consistent standards for our providers, with 100% currently having a Master’s degree or higher, and an average of eight years of experience. To ensure a high degree of success with our initial provider and member matching, we have built a diverse network inclusive of 21</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clinical specialties, over 25 languages spoken, approximately 25% people of color, and approximately 35% at or under the age of 35. Our network is sustained and enhanced by an attractive value proposition to our providers, including flexibility, convenience, efficiency, professional development opportunities and income. We designed our provider network to be scalable and to leverage a hybrid model of both employee providers and independently contracted providers to support multiple growth scenarios. While we currently contract with most of our providers on an independent contractor basis, we plan to increase the number of employee providers going forward.</w:t>
      </w:r>
    </w:p>
    <w:p>
      <w:pPr>
        <w:spacing w:after="0" w:line="17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We believe another differentiating feature of our value proposition is that it aligns the incentives of all stakeholders across members, providers, plans and employers by simultaneously delivering (1) meaningful clinical outcomes and improved access to care; (2) affordable treatment with a platform designed to elevate member experience and engagement; (3) expanded reach to patients, providing lower administrative costs and flexibility to providers; (4) enhanced productivity of employees and higher retention and (5) lower overall public healthcare costs through improved chronic-disease and co-morbidity incidence. According to a Journal of Telemedicine and e-Health 2017 study of 57 adults receiving treatment through SMS text messaging on Talkspace’s platform, 80% of our members viewed our offering as more effective than traditional, face-to-face therapy. In addition, according to the same study, 98% of our members viewed our offering as more convenient than traditional therapy and 68% of our members saw improvement in their symptoms. We believe these results, coupled with our model that drives benefits to all, is instrumental in achieving our growth objectives.</w:t>
      </w:r>
    </w:p>
    <w:p>
      <w:pPr>
        <w:spacing w:after="0" w:line="19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revenues were $76.2 million and $38.2 million for the years ended December 31, 2020 and 2019, respectively, representing a period-over-period increase of 99.6%, and $27.1 million and $11.1 million for the three months ended March 31, 2021 and 2020, respectively, representing a period-over-period increase of 144.2%. In recent periods, we have seen an improvement in our utilization rates for our services and expect this trend to continue post-COVID-19. We incurred net losses of $21.8 million for the year ended December 31, 2020 and $12.7 million for the three months ended March 31, 2021, primarily due to our investments in growth initiatives.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outpatient behavioral health market is large and underserved, with growth driven by secular trends primarily including increased incidence and higher penetration of utilization. We believe that mental illness is the next global pandemic: today, it is estimated that approximately 70 million Americans suffer from mental illness every year, spread across all ethnic, socio-economic and age ranges, and that less than half of those in need receive some form of care. In addition, 17 million U.S. adults have had at least one major depressive episode in the past year, according to a 2017 study. We believe legacy behavioral health treatment has failed, as evidenced by a 30% increase in annual U.S. suicide rates since 2001, $4.6 billion annual spend in the United States on emergency room visits for mental illness, which we believe could be effectively targeted through convenient access to behavioral healthcare, and an estimated $192 billion of annual lost earnings and productivity in the United States as a result of major mental disorders. Despite this gap in effective treatment, conventional behavioral healthcare has been slow to evolve, with traditional inpatient face-to-face therapy and treatment practices still widely accepted as the standard of care, since their establishment nearly a century ago.</w:t>
      </w:r>
    </w:p>
    <w:p>
      <w:pPr>
        <w:spacing w:after="0" w:line="18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virtual care offerings, powered by safe and effective technology, effectively respond to many of the challenges historically faced in behavioral health. We believe the increased public acceptance and utilization of virtual care, including as result of the COVID-19 pandemic, coupled with the heightened awareness of behavioral issues, will persist, creating strong tailwinds and lasting changes to further increase our addressable market opportunity. This has been evidenced by the massive increase of virtual healthcare visits delivered in the United States in 2020. Although growing widespread adoption has pushed traditional providers to supplement in-person visits with virtual sessions, we believe there has been limited attempts or success in expanding the offerings of these platforms beyond clinicians’ aggregation and connectivity. Through our artificial intelligence and machine learning technology built from datasets of millions of interactions, we are well-positioned to augment providers’ training and experience in order to better understand patients and provide more personalized treatment protocols. As a result, unlike other forms of healthcare delivery that offer virtual care as a secondary alternative, we believe virtual care is the primary and optimal course of treatment for many behavioral health patients.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22713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right="420" w:hanging="424"/>
        <w:spacing w:after="0" w:line="342" w:lineRule="auto"/>
        <w:tabs>
          <w:tab w:leader="none" w:pos="5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Assuming one-week on our platform is equivalent to one session per week in the traditional face-to-face model, approximately 80% of B2C members return for a second visit on our platform, whereas only 44% of patients return for second in-person visits according to a 2015 study.</w:t>
      </w:r>
    </w:p>
    <w:p>
      <w:pPr>
        <w:spacing w:after="0" w:line="124"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We believe that our strong brand identity, which promotes therapy as a stigma-free lifestyle choice and not as a one-time event, will continue to drive further awareness and frequency of access to virtual behavioral care. We believe the convenient, on-demand 24/7 access to our platform will also continue to highlight and reinforce the ideal suitability and differentiated impact of the virtual modality for treating behavioral conditions, further positioning our model as the behavioral care channel of choice.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COVID-19 pandemic’s impact on virtual care and behavioral health landscape</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COVID-19 pandemic has had a significant impact on the broader virtual care market by increasing utilization, awareness and acceptance among patients and providers. In the current environment, telemedicine has become one of the highest priorities for governments both domestically and internationally, being promoted as a key tool for ongoing healthcare delivery while infection control and government orders require individuals to adhere to restrictive measures such as shelter in-place. Virtual care provides convenient, safe and immediate access to care when access to healthcare facilities is limited or patients are in high-risk categories. Moreover, as clinicians themselves must quarantine or otherwise remain at home, virtual care channels provide a solution for remote access to continue care for patients and for facilities to access additional specialists to augment staff. During the COVID-19 public health emergency, the U.S. Congress and the Centers for Medicare and Medicaid Services (“CMS”) significantly reduced the heavy regulatory and reimbursement barriers for virtual care. As a result, since the COVID-19 pandemic, virtual care spending has increased and we expect this increased spending to continue after the public health emergency subsides. In addition to the federal government and CMS, many U.S. states have issued executive orders or even passed permanent legislation removing or reducing the regulatory and reimbursement barriers for virtual care, which we also expect to be sustained.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further evidence of how the COVID-19 pandemic has accelerated virtual healthcare adoption, according to a 2020 consumer study:</w:t>
      </w:r>
    </w:p>
    <w:p>
      <w:pPr>
        <w:spacing w:after="0" w:line="131"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76% of people surveyed indicated they are now interested in virtual care going forward compared to 11% use of telehealth in 2019;</w:t>
      </w:r>
    </w:p>
    <w:p>
      <w:pPr>
        <w:spacing w:after="0" w:line="142" w:lineRule="exact"/>
        <w:rPr>
          <w:rFonts w:ascii="Arial" w:cs="Arial" w:eastAsia="Arial" w:hAnsi="Arial"/>
          <w:sz w:val="17"/>
          <w:szCs w:val="17"/>
          <w:color w:val="auto"/>
        </w:rPr>
      </w:pPr>
    </w:p>
    <w:p>
      <w:pPr>
        <w:ind w:left="5480" w:right="440" w:hanging="4824"/>
        <w:spacing w:after="0" w:line="449" w:lineRule="auto"/>
        <w:tabs>
          <w:tab w:leader="none" w:pos="10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64% of providers surveyed indicated they are more comfortable using telehealth than they were before the COVID-19 pandemic; and 203</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types of services available for telehealth are expanding, with CMS temporarily approving more than 80 new virtual care services.</w:t>
      </w:r>
    </w:p>
    <w:p>
      <w:pPr>
        <w:spacing w:after="0" w:line="237" w:lineRule="exact"/>
        <w:rPr>
          <w:sz w:val="20"/>
          <w:szCs w:val="20"/>
          <w:color w:val="auto"/>
        </w:rPr>
      </w:pPr>
    </w:p>
    <w:p>
      <w:pPr>
        <w:ind w:left="120" w:right="220"/>
        <w:spacing w:after="0" w:line="271" w:lineRule="auto"/>
        <w:rPr>
          <w:sz w:val="20"/>
          <w:szCs w:val="20"/>
          <w:color w:val="auto"/>
        </w:rPr>
      </w:pPr>
      <w:r>
        <w:rPr>
          <w:rFonts w:ascii="Arial" w:cs="Arial" w:eastAsia="Arial" w:hAnsi="Arial"/>
          <w:sz w:val="17"/>
          <w:szCs w:val="17"/>
          <w:color w:val="auto"/>
        </w:rPr>
        <w:t>We believe the pace and scope of virtual care adoption is even greater for mental health than the broader telehealth market, as the virtual modality is well-suited to administer behavioral care services. As depicted in the chart below, psychiatry has had the highest telehealth penetration rate (approximately 65%) from May 2020 through November 2020, with approximately double the percentage of telehealth visits as compared to the next medical specialty between August 2020 and November 2020. Unlike many medical specialties, the incidence of telehealth for behavioral services has not subsided but has continued to increase steadily since the pandemic. We believe psychiatry visits will likely continue to trend towards virtual modalities and away from face-to-face therapy for the foreseeable future. Employers are increasingly bundling behavioral health services into their contracts with specialist providers such as Talkspace, and we believe these trends will continue driven by more efficient and effective care, higher engagement and reduction of direct and indirect mental health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139700</wp:posOffset>
            </wp:positionV>
            <wp:extent cx="4911725" cy="2828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117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 xml:space="preserve">Source: </w:t>
      </w:r>
      <w:r>
        <w:rPr>
          <w:rFonts w:ascii="Arial" w:cs="Arial" w:eastAsia="Arial" w:hAnsi="Arial"/>
          <w:sz w:val="18"/>
          <w:szCs w:val="18"/>
          <w:color w:val="auto"/>
        </w:rPr>
        <w:t>The Chartis Group, Telehealth Adoption Tracker (February 2020 to December 2020)</w:t>
      </w:r>
    </w:p>
    <w:p>
      <w:pPr>
        <w:spacing w:after="0" w:line="117"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The COVID-19 pandemic has been and continues to be an unprecedented and unpredictable event, resulting in serious and lasting consequences. This global pandemic has affected everyone both directly and indirectly, with many of these adverse impacts causing or exacerbating behavioral health conditions. Clear and widespread effects of the pandemic affecting mental health include: (1) break-down of interpersonal and social relationships,</w:t>
      </w:r>
    </w:p>
    <w:p>
      <w:pPr>
        <w:spacing w:after="0" w:line="2" w:lineRule="exact"/>
        <w:rPr>
          <w:sz w:val="20"/>
          <w:szCs w:val="20"/>
          <w:color w:val="auto"/>
        </w:rPr>
      </w:pPr>
    </w:p>
    <w:p>
      <w:pPr>
        <w:ind w:left="380" w:hanging="264"/>
        <w:spacing w:after="0"/>
        <w:tabs>
          <w:tab w:leader="none" w:pos="3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deterioration of work and professional relationships, (3) heightened anxiety, stress, and bereavement related to personal and family health status,</w:t>
      </w:r>
    </w:p>
    <w:p>
      <w:pPr>
        <w:spacing w:after="0" w:line="32" w:lineRule="exact"/>
        <w:rPr>
          <w:rFonts w:ascii="Arial" w:cs="Arial" w:eastAsia="Arial" w:hAnsi="Arial"/>
          <w:sz w:val="16"/>
          <w:szCs w:val="16"/>
          <w:color w:val="auto"/>
        </w:rPr>
      </w:pPr>
    </w:p>
    <w:p>
      <w:pPr>
        <w:ind w:left="120" w:hanging="4"/>
        <w:spacing w:after="0" w:line="253" w:lineRule="auto"/>
        <w:tabs>
          <w:tab w:leader="none" w:pos="37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financial stress due to major unemployment and other adverse economic trends, (5) exacerbation and magnification of existing common conditions such as seasonal depression, and (6) increasing acceleration of duress-induced triggers. The propensity of growing behavioral health issues is not only expected to surface in a more highly acute and wider swathe of the population, but also is anticipated to be chronic in nature and remain well beyond the end of the global health crisis. This is evidenced through the high rates of depression, anxiety and PTSD—42%, 45% and 32% respectively—among Generation Z.</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expect that these major trends will permanently change the behavioral care landscape, and we believe we are optimally positioned to address both the problems and opportunities that have resulted from this change through:</w:t>
      </w:r>
    </w:p>
    <w:p>
      <w:pPr>
        <w:spacing w:after="0" w:line="72"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Improved access:</w:t>
      </w:r>
    </w:p>
    <w:p>
      <w:pPr>
        <w:spacing w:after="0" w:line="134" w:lineRule="exact"/>
        <w:rPr>
          <w:rFonts w:ascii="Arial" w:cs="Arial" w:eastAsia="Arial" w:hAnsi="Arial"/>
          <w:sz w:val="18"/>
          <w:szCs w:val="18"/>
          <w:color w:val="auto"/>
        </w:rPr>
      </w:pPr>
    </w:p>
    <w:p>
      <w:pPr>
        <w:ind w:left="1540" w:hanging="439"/>
        <w:spacing w:after="0"/>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Members can quickly, privately and conveniently access care on-demand.</w:t>
      </w:r>
    </w:p>
    <w:p>
      <w:pPr>
        <w:spacing w:after="0" w:line="130" w:lineRule="exact"/>
        <w:rPr>
          <w:rFonts w:ascii="Arial" w:cs="Arial" w:eastAsia="Arial" w:hAnsi="Arial"/>
          <w:sz w:val="18"/>
          <w:szCs w:val="18"/>
          <w:color w:val="auto"/>
        </w:rPr>
      </w:pPr>
    </w:p>
    <w:p>
      <w:pPr>
        <w:ind w:left="154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Providers can safely and effectively provide care, and overcome geographical limitations, including reaching members outside of the states in which they are currently licensed (where permitted by applicable law).</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Reduced costs:</w:t>
      </w:r>
    </w:p>
    <w:p>
      <w:pPr>
        <w:spacing w:after="0" w:line="134" w:lineRule="exact"/>
        <w:rPr>
          <w:rFonts w:ascii="Arial" w:cs="Arial" w:eastAsia="Arial" w:hAnsi="Arial"/>
          <w:sz w:val="18"/>
          <w:szCs w:val="18"/>
          <w:color w:val="auto"/>
        </w:rPr>
      </w:pPr>
    </w:p>
    <w:p>
      <w:pPr>
        <w:ind w:left="1540" w:right="4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a time of need and economic uncertainty, we offer members access to affordable care with a transparent pricing model and a clear commitment to service.</w:t>
      </w:r>
    </w:p>
    <w:p>
      <w:pPr>
        <w:spacing w:after="0" w:line="75"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Providers can more efficiently allocate their time, working simultaneously with dozens of patients while reducing time and money spent on administrative tasks.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Enhanced care impact and clinical outcomes:</w:t>
      </w:r>
    </w:p>
    <w:p>
      <w:pPr>
        <w:spacing w:after="0" w:line="134" w:lineRule="exact"/>
        <w:rPr>
          <w:rFonts w:ascii="Arial" w:cs="Arial" w:eastAsia="Arial" w:hAnsi="Arial"/>
          <w:sz w:val="18"/>
          <w:szCs w:val="18"/>
          <w:color w:val="auto"/>
        </w:rPr>
      </w:pPr>
    </w:p>
    <w:p>
      <w:pPr>
        <w:ind w:left="1540" w:right="2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Members can start treatment without delay and may experience results quickly, often forgoing long wait times and other hurdles that can exacerbate existing conditions and present additional barriers to effective treatment.</w:t>
      </w:r>
    </w:p>
    <w:p>
      <w:pPr>
        <w:spacing w:after="0" w:line="75" w:lineRule="exact"/>
        <w:rPr>
          <w:rFonts w:ascii="Arial" w:cs="Arial" w:eastAsia="Arial" w:hAnsi="Arial"/>
          <w:sz w:val="18"/>
          <w:szCs w:val="18"/>
          <w:color w:val="auto"/>
        </w:rPr>
      </w:pPr>
    </w:p>
    <w:p>
      <w:pPr>
        <w:ind w:left="1540" w:right="60" w:hanging="439"/>
        <w:spacing w:after="0" w:line="311" w:lineRule="auto"/>
        <w:tabs>
          <w:tab w:leader="none" w:pos="154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Our platform, including its machine-learning and training tools, empowers providers with expanded reach to patients, lower administrative costs, increased member interaction capabilities and data-driven insights, which we believe enables an enhanced care journey, higher member lifetime engagement, meaningful outcomes and greater margins compared to face-to-face treatment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Fully Treated Total Addressable Market</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total addressable market (“TAM”) consists of three groups: (1) domestic TAM, (2) international TAM, and (3) illustrative fully-treated global TAM. According to industry reports, U.S. patients spent approximately $76 billion on behavioral health expenditures in 2019, which represents our domestic TAM, whereas international patients spent approximately $138 billion. Although currently we primarily serve U.S. members, we also have international members and believe domestic and international expansion will both be instrumental in achieving our future growth objectives, subject to applicable local regulations and laws governing therapy services and telehealth services. To date, we have primarily focused on growing our U.S. member base, with approximately $3.3 million and $5.0 million of our revenues generated from non-U.S. members in 2019 and 2020, respectively, and we are only in the preliminary stages of evaluating international expansion opportunities, however, we are undertaking regulatory review of these targeted markets and are undergoing further privacy and security reviews by outside experts to meet any additional regulatory requirements. See “Risk Factors—Risks Related to Talkspace’s Business and Industry—With respect to our plans for expansion of international operations, we may face political, legal and compliance, operational, regulatory, economic and other risks that we do not face or that are more significant than in our domestic operations” for a discussion of the risks we may face in connection with international expansion.</w:t>
      </w:r>
    </w:p>
    <w:p>
      <w:pPr>
        <w:spacing w:after="0" w:line="18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Unlike other forms of healthcare delivery, we believe virtual behavioral care is exportable on a global basis due to the nature of the care delivery model and less restrictive regulatory hurdles when compared to physical care. In addition, we believe our technology platform is highly adaptable, which will further facilitate our ability to address a wide and growing spectrum of behavioral patient populations across the United States and the world. With our platform built to be both a virtual access channel, as well as a provider of high-quality behavioral care, we are strategically positioned for geographic expansion, positioning us to be accessible anywhere in the world, subject to applicable local regulations and laws governing therapy services and telehealth services.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believe the fractured nature and lack of access inherent in the current delivery of behavioral healthcare, coupled with inconsistent clinical outcomes at scale, has led to a significantly underpenetrated addressable market. Our illustrative fully-treated global TAM represents the TAM if the entire prevalent population were to receive care (while it is estimated only 43% of patients with a behavioral illness currently receive care). Approximately 60% of our members have indicated they are in therapy for the very first time, illustrating the existing barriers to care associated to legacy models and highlighting the potential we believe our platform unlocks. In addition, driving heightened access and care continuity are essential components in improving outcomes, reducing overall behavioral condition occurrences and severity across patient populations.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calculate our TAM by dividing the global TAM of those who receive treatment by the percentage of the total treatable population who receive care. As a result, we estimated our fully-treated global TAM in 2020 to be approximately $496 billion. Based on government and corporate projected spending growth on an individual country basis, we believe this addressable market will increase at a pace of 3.5% annually, reaching approximately $588 billion by 2025.</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Offerings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Through our platform, we provide psychotherapy and psychiatry services to individuals, employers and health plans through both B2C and B2B channels. In psychotherapy, or “talk therapy”, members work with a licensed therapist or counselor to treat specific mental health conditions like depression or anxiety, trauma and other human challenges, including by developing positive thinking and coping skills. In psychiatry, members receive personalized, expert care from a prescriber who specializes in mental healthcare and prescription management.</w:t>
      </w:r>
    </w:p>
    <w:p>
      <w:pPr>
        <w:spacing w:after="0" w:line="17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w:t>
      </w:r>
    </w:p>
    <w:p>
      <w:pPr>
        <w:spacing w:after="0" w:line="146"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i w:val="1"/>
          <w:iCs w:val="1"/>
          <w:color w:val="auto"/>
        </w:rPr>
        <w:t>Psychotherapy</w:t>
      </w:r>
      <w:r>
        <w:rPr>
          <w:rFonts w:ascii="Arial" w:cs="Arial" w:eastAsia="Arial" w:hAnsi="Arial"/>
          <w:sz w:val="18"/>
          <w:szCs w:val="18"/>
          <w:color w:val="auto"/>
        </w:rPr>
        <w:t>: We offer text, audio and video-based psychotherapy from licensed therapists directly to consumers in the B2C channel.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sign up for individual plans (i.e., Unlimited Messaging Therapy Plus, Unlimited Messaging Therapy Premium, Unlimited Messaging Therapy Ultimate, Talkspace Couples Therapy and Talkspace Teens Therapy) inclusive of text, video and audio messaging. In the B2B channel, psychotherapy services are offered through both employers and health plans.</w:t>
      </w:r>
    </w:p>
    <w:p>
      <w:pPr>
        <w:spacing w:after="0" w:line="18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i w:val="1"/>
          <w:iCs w:val="1"/>
          <w:color w:val="auto"/>
        </w:rPr>
        <w:t>Talkspace for Business</w:t>
      </w:r>
      <w:r>
        <w:rPr>
          <w:rFonts w:ascii="Arial" w:cs="Arial" w:eastAsia="Arial" w:hAnsi="Arial"/>
          <w:sz w:val="18"/>
          <w:szCs w:val="18"/>
          <w:color w:val="auto"/>
        </w:rPr>
        <w:t xml:space="preserve">, employees access our platform services on a benefit plan paid by the employer. Through </w:t>
      </w:r>
      <w:r>
        <w:rPr>
          <w:rFonts w:ascii="Arial" w:cs="Arial" w:eastAsia="Arial" w:hAnsi="Arial"/>
          <w:sz w:val="18"/>
          <w:szCs w:val="18"/>
          <w:i w:val="1"/>
          <w:iCs w:val="1"/>
          <w:color w:val="auto"/>
        </w:rPr>
        <w:t>Talkspace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Assistance Program </w:t>
      </w:r>
      <w:r>
        <w:rPr>
          <w:rFonts w:ascii="Arial" w:cs="Arial" w:eastAsia="Arial" w:hAnsi="Arial"/>
          <w:sz w:val="18"/>
          <w:szCs w:val="18"/>
          <w:color w:val="auto"/>
        </w:rPr>
        <w:t>(“EAP”) and</w:t>
      </w:r>
      <w:r>
        <w:rPr>
          <w:rFonts w:ascii="Arial" w:cs="Arial" w:eastAsia="Arial" w:hAnsi="Arial"/>
          <w:sz w:val="18"/>
          <w:szCs w:val="18"/>
          <w:i w:val="1"/>
          <w:iCs w:val="1"/>
          <w:color w:val="auto"/>
        </w:rPr>
        <w:t xml:space="preserve"> Talkspace Behavioral Health plan </w:t>
      </w:r>
      <w:r>
        <w:rPr>
          <w:rFonts w:ascii="Arial" w:cs="Arial" w:eastAsia="Arial" w:hAnsi="Arial"/>
          <w:sz w:val="18"/>
          <w:szCs w:val="18"/>
          <w:color w:val="auto"/>
        </w:rPr>
        <w:t>(“BH”), we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20"/>
          </w:cols>
          <w:pgMar w:left="320" w:top="459" w:right="5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contract with a number of U.S. health plans to provide online therapy to employees through EAP and behavioral health benefits. These programs provide support and resources to enhance employees’ well-being and productivity, such as mental health, financial planning and work/life balance. Talkspace is also an accepted provider of behavioral health services by several large healthcare payors, including Aetna, Cigna, Premera, Humana and Optum.</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Psychiatry</w:t>
      </w:r>
      <w:r>
        <w:rPr>
          <w:rFonts w:ascii="Arial" w:cs="Arial" w:eastAsia="Arial" w:hAnsi="Arial"/>
          <w:sz w:val="17"/>
          <w:szCs w:val="17"/>
          <w:color w:val="auto"/>
        </w:rPr>
        <w:t>: Services are provided both to B2C consumers via the Talkspace platform, and through B2B health plans and employers. In both the B2C and</w:t>
      </w:r>
      <w:r>
        <w:rPr>
          <w:rFonts w:ascii="Arial" w:cs="Arial" w:eastAsia="Arial" w:hAnsi="Arial"/>
          <w:sz w:val="17"/>
          <w:szCs w:val="17"/>
          <w:i w:val="1"/>
          <w:iCs w:val="1"/>
          <w:color w:val="auto"/>
        </w:rPr>
        <w:t xml:space="preserve"> </w:t>
      </w:r>
      <w:r>
        <w:rPr>
          <w:rFonts w:ascii="Arial" w:cs="Arial" w:eastAsia="Arial" w:hAnsi="Arial"/>
          <w:sz w:val="17"/>
          <w:szCs w:val="17"/>
          <w:color w:val="auto"/>
        </w:rPr>
        <w:t>B2B channels, typical packages include one initial video consultation, with follow-up video appointments as needed. Like the traditional face-to-face model, Talkspace providers can prescribe medication they deem necessary up and until the point, that in the providers discretion, the member requires a face-to-face provider for potential need of those prescriptions labeled a “controlled substance” under the federal Controlled Substances Act. Our psychiatry services are comprised of board-certified psychiatrists, as well as prescription-eligible nurse practitioners who may supplement the psychiatrist in follow-up visits and act in a medication management capacity.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In pursuit of our mission to expand access to all individuals in need of behavioral services, we strive to deliver effective care to a broad range of customers through both our B2C and B2B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134620</wp:posOffset>
            </wp:positionV>
            <wp:extent cx="5048885" cy="43973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4888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Within our B2C channel, we serve a diverse customer base, with our members coming from all socioeconomic backgrounds, ages, genders, ethnicities, geographies and income level. Further, with both psychotherapy and psychiatry professionals, along with a comprehensive suite of self-help tools, our platform is designed to address the needs of members across a broad range of acuities. Our provider base has a diverse range of clinical expertise, with over 21 specializations, and is able to provide high quality care to all behavioral conditions. As of February 28, 2021, we had approximately 32,000 B2C active members located across all 50 U.S. states and select international markets.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our B2B channel, we serve our health plan clients and enterprise clients and their respective employees and members through multiple offerings.</w:t>
      </w:r>
    </w:p>
    <w:p>
      <w:pPr>
        <w:spacing w:after="0" w:line="154" w:lineRule="exact"/>
        <w:rPr>
          <w:sz w:val="20"/>
          <w:szCs w:val="20"/>
          <w:color w:val="auto"/>
        </w:rPr>
      </w:pPr>
    </w:p>
    <w:p>
      <w:pPr>
        <w:ind w:left="1080" w:right="18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Health Plan Clients</w:t>
      </w:r>
      <w:r>
        <w:rPr>
          <w:rFonts w:ascii="Arial" w:cs="Arial" w:eastAsia="Arial" w:hAnsi="Arial"/>
          <w:sz w:val="18"/>
          <w:szCs w:val="18"/>
          <w:color w:val="auto"/>
        </w:rPr>
        <w:t>: Through our EAP offering, we contract with major payor clients who are contracted with employers to deliver care.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this solution, we are able to provide therapy and psychiatry services for our clients’ employees, who then pay a flat rate per session or interaction, of which we receive a portion of the fee.</w:t>
      </w:r>
    </w:p>
    <w:p>
      <w:pPr>
        <w:spacing w:after="0" w:line="75" w:lineRule="exact"/>
        <w:rPr>
          <w:rFonts w:ascii="Arial" w:cs="Arial" w:eastAsia="Arial" w:hAnsi="Arial"/>
          <w:sz w:val="18"/>
          <w:szCs w:val="18"/>
          <w:color w:val="auto"/>
        </w:rPr>
      </w:pPr>
    </w:p>
    <w:p>
      <w:pPr>
        <w:ind w:left="1100"/>
        <w:spacing w:after="0" w:line="263" w:lineRule="auto"/>
        <w:rPr>
          <w:rFonts w:ascii="Arial" w:cs="Arial" w:eastAsia="Arial" w:hAnsi="Arial"/>
          <w:sz w:val="18"/>
          <w:szCs w:val="18"/>
          <w:color w:val="auto"/>
        </w:rPr>
      </w:pPr>
      <w:r>
        <w:rPr>
          <w:rFonts w:ascii="Arial" w:cs="Arial" w:eastAsia="Arial" w:hAnsi="Arial"/>
          <w:sz w:val="18"/>
          <w:szCs w:val="18"/>
          <w:color w:val="auto"/>
        </w:rPr>
        <w:t>Through our BH offering, our members receive care directly covered through their individual health plan where our providers are considered in-network. Our members pay a flat co-pay per session or interaction, of which we receive a portion of the fee. A representative sample of our health plan clients include Aetna, Cigna, Humana, Optum and Premera.</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Enterprise Clients</w:t>
      </w:r>
      <w:r>
        <w:rPr>
          <w:rFonts w:ascii="Arial" w:cs="Arial" w:eastAsia="Arial" w:hAnsi="Arial"/>
          <w:sz w:val="18"/>
          <w:szCs w:val="18"/>
          <w:color w:val="auto"/>
        </w:rPr>
        <w:t>: Through our direct-to-employer offering, we contract directly with employers to provide their employees unlimited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asynchronous care on a per-member-per-month (“PMPM”) basis. A representative sample of our enterprise clients include Accenture, Blackstone, Expedia and Google.</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we are increasingly chosen as a preferred vendor for higher education and government clients. Through our contracts with colleges, universities and Greek letter organizations, we provide mental health solutions to students and student athletes across the United States. We additionally hold a number of employer benefits and EAP relationships with municipalities and government agencies across the United States. As of February 28, 2021, we had over 40 million eligible lives within our B2B channel.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Value Proposition to Stakeholders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believe that we are differentiated as a virtual behavioral healthcare provider in our ability to deliver value to all our stakeholders across members, providers, health plans and employers.</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i w:val="1"/>
          <w:iCs w:val="1"/>
          <w:color w:val="auto"/>
        </w:rPr>
        <w:t>Members</w:t>
      </w:r>
      <w:r>
        <w:rPr>
          <w:rFonts w:ascii="Arial" w:cs="Arial" w:eastAsia="Arial" w:hAnsi="Arial"/>
          <w:sz w:val="16"/>
          <w:szCs w:val="16"/>
          <w:color w:val="auto"/>
        </w:rPr>
        <w:t>: We provide our members with convenient, on-demand, confidential and secure virtual behavioral healthcare at more attractive price points</w:t>
      </w:r>
      <w:r>
        <w:rPr>
          <w:rFonts w:ascii="Arial" w:cs="Arial" w:eastAsia="Arial" w:hAnsi="Arial"/>
          <w:sz w:val="16"/>
          <w:szCs w:val="16"/>
          <w:i w:val="1"/>
          <w:iCs w:val="1"/>
          <w:color w:val="auto"/>
        </w:rPr>
        <w:t xml:space="preserve"> </w:t>
      </w:r>
      <w:r>
        <w:rPr>
          <w:rFonts w:ascii="Arial" w:cs="Arial" w:eastAsia="Arial" w:hAnsi="Arial"/>
          <w:sz w:val="16"/>
          <w:szCs w:val="16"/>
          <w:color w:val="auto"/>
        </w:rPr>
        <w:t>than traditional face-to-face therapy. Our platform aims to provide reliable, immediate access to high-quality providers optimally matched to the clinical needs and preferences of each member. These elements of our model, coupled with the ongoing relationship members have with their providers, we believe result in increased provider-member engagement and meaningful clinical outcomes from using our platform. In addition, we believe the option for an asynchronous mode of delivery of therapy with Talkspace holds significant advantages over face-to-face therapy, fostering higher engagement and utilization rates driven by members having the ability to reach out to providers at any point and receive a guaranteed, timely response.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80135" cy="28371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80135" cy="28371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248285</wp:posOffset>
            </wp:positionV>
            <wp:extent cx="874395" cy="27946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74395" cy="279463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231140</wp:posOffset>
            </wp:positionV>
            <wp:extent cx="1354455" cy="28117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5445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Providers</w:t>
      </w:r>
      <w:r>
        <w:rPr>
          <w:rFonts w:ascii="Arial" w:cs="Arial" w:eastAsia="Arial" w:hAnsi="Arial"/>
          <w:sz w:val="18"/>
          <w:szCs w:val="18"/>
          <w:color w:val="auto"/>
        </w:rPr>
        <w:t>: We enable providers to have expanded access to continuous new members with reduced overhead or other administrative burdens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private practices, such as scheduling, invoicing, payment collection and taking notes. Additionally, we provide training and professional growth opportunities to support their career development and foster a sense of community among therapists. We have recently introduced a variable incentive bonus that is designed to financially reward the best performers and further increase retention. During the years ended December 31, 2020 and 2019, our monthly provider retention rate generally ranged from 97% to 98%, resulting in an annual provider retention rate of approximately 74% and 81% for the same periods, respectively. During the three months ended March 31, 2021 and 2020, our monthly provider retention rate generally ranged from 95% and 97%.</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Health plans</w:t>
      </w:r>
      <w:r>
        <w:rPr>
          <w:rFonts w:ascii="Arial" w:cs="Arial" w:eastAsia="Arial" w:hAnsi="Arial"/>
          <w:sz w:val="18"/>
          <w:szCs w:val="18"/>
          <w:color w:val="auto"/>
        </w:rPr>
        <w:t>: We enable health plans to improve the experience of their members through convenient access, increased patient engagement and better</w:t>
      </w:r>
      <w:r>
        <w:rPr>
          <w:rFonts w:ascii="Arial" w:cs="Arial" w:eastAsia="Arial" w:hAnsi="Arial"/>
          <w:sz w:val="18"/>
          <w:szCs w:val="18"/>
          <w:i w:val="1"/>
          <w:iCs w:val="1"/>
          <w:color w:val="auto"/>
        </w:rPr>
        <w:t xml:space="preserve"> </w:t>
      </w:r>
      <w:r>
        <w:rPr>
          <w:rFonts w:ascii="Arial" w:cs="Arial" w:eastAsia="Arial" w:hAnsi="Arial"/>
          <w:sz w:val="18"/>
          <w:szCs w:val="18"/>
          <w:color w:val="auto"/>
        </w:rPr>
        <w:t>care consistency. Our cost-effective, preventative care model is designed to deliver meaningful behavioral outcomes, which results in lowering overall healthcare costs. Additionally, we believe our brand awareness delivers significantly higher utilization rates compared to competitors, making our value proposition most appealing to payors.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Enterprise clients</w:t>
      </w:r>
      <w:r>
        <w:rPr>
          <w:rFonts w:ascii="Arial" w:cs="Arial" w:eastAsia="Arial" w:hAnsi="Arial"/>
          <w:sz w:val="18"/>
          <w:szCs w:val="18"/>
          <w:color w:val="auto"/>
        </w:rPr>
        <w:t>: Similar to health plans, we enable employers to improve the healthcare experience of their employees with enhanced access to care,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leading to reduced employee absenteeism and higher retention, and employees becoming more productive.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Platform</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believe that virtual therapy offers an attractive opportunity to improve behavioral health through data science and machine learning. Through digital phenotyping and predictive modeling, the data imprint left by interactions on our platform opens a new, quantitative viewpoint into the behavioral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will use and disclose the protected health information of the members who utilize our technology platform or therapeutic services, (ii) implement reasonable administrative, physical, and technical safeguards to protect such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from misuse, and (ii) assist our customers with certain duties such as access to information under the privacy standards, among other program elements. We require our agents and subcontractors who have access to such information to enter into written agreements to meet the same standards for security and privacy. We obtain third-party examinations of our controls relating to security and data privacy. Certain examinations are conducted under Statement on Standards for Attestation Engagements, or SSAE, No. 16 (Reporting on Controls at a Service Organization). In particular, we regularly obtain a Type II Service Organization Control SOC 2 report (Reporting on Controls at a Service Organization relevant to security, availability and privacy), most recently in September 2020. We also retain outside consultants to assess our compliance with the HIPAA Security Rule, including performing assessments of our risks and vulnerabilities.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92075</wp:posOffset>
            </wp:positionV>
            <wp:extent cx="5340350" cy="22542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4035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Matching algorithm</w:t>
      </w:r>
      <w:r>
        <w:rPr>
          <w:rFonts w:ascii="Arial" w:cs="Arial" w:eastAsia="Arial" w:hAnsi="Arial"/>
          <w:sz w:val="18"/>
          <w:szCs w:val="18"/>
          <w:color w:val="auto"/>
        </w:rPr>
        <w:t>: We utilize machine learning to predict a provider’s efficacy at onboarding. Our matching algorithm combines information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both structured and unstructured sources to predict which therapists have the greatest chance of success with each patient. Our matching model concurrently gathers client and therapist data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60"/>
          </w:cols>
          <w:pgMar w:left="320" w:top="459"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7686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i w:val="1"/>
          <w:iCs w:val="1"/>
          <w:color w:val="auto"/>
        </w:rPr>
        <w:t>Robust data ecosystem</w:t>
      </w:r>
      <w:r>
        <w:rPr>
          <w:rFonts w:ascii="Arial" w:cs="Arial" w:eastAsia="Arial" w:hAnsi="Arial"/>
          <w:sz w:val="17"/>
          <w:szCs w:val="17"/>
          <w:color w:val="auto"/>
        </w:rPr>
        <w:t>: We have a closed-loop data ecosystem providing a multi-dimensional view of the individuals who seek treatment on our</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This data provides a holistic picture of each user – the problems they manifest, diagnoses, treatment plans, medical history, personal history, and clinical outcomes. Our data contain over 4 billion words sent by millions of users over 80 million anonymized messages. We have over 500,000 completed psychological assessments containing a total of over 3 million measurements. Our data contain information about members collected by therapists, including over 250,000 diagnoses and 200,000 progress and psychotherapy notes. Our data also contains information about therapists reported by members, including over 220,000 therapist ratings. We believe the size and depth of our clinical data is vast relative to the industry and is a differentiating element of our digitally-native modality.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Empowering providers to deliver enhanced care</w:t>
      </w:r>
      <w:r>
        <w:rPr>
          <w:rFonts w:ascii="Arial" w:cs="Arial" w:eastAsia="Arial" w:hAnsi="Arial"/>
          <w:sz w:val="18"/>
          <w:szCs w:val="18"/>
          <w:color w:val="auto"/>
        </w:rPr>
        <w:t>: Our providers are equipped with tools that allow them to optimize time utilization and improve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One of the leading challenges in behavioral healthcare is a patient’s premature termination of engagement with the provider and, thus, a core focus of our machine learning strategy is to drive member 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artificial intelligence platform, help providers to deliver effective treatments to their patients, and raise members’ awareness when tracking their own clinical progress.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822960" cy="23660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2960" cy="236601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205740</wp:posOffset>
            </wp:positionV>
            <wp:extent cx="3874770" cy="2442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477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Performance tracking and feedback</w:t>
      </w:r>
      <w:r>
        <w:rPr>
          <w:rFonts w:ascii="Arial" w:cs="Arial" w:eastAsia="Arial" w:hAnsi="Arial"/>
          <w:sz w:val="18"/>
          <w:szCs w:val="18"/>
          <w:color w:val="auto"/>
        </w:rPr>
        <w:t>: Our “Intro and Expectations” system detects whether providers have followed best practices in the crucial</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 Our “Patient Engagement Monitor system” processes each new message sent on the platform and updates the projected probability of patient engagement based on previous behavior and the content of each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71120</wp:posOffset>
            </wp:positionV>
            <wp:extent cx="4080510" cy="258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805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Talkspace is a leading consumer brand in behavioral healthcare</w:t>
      </w:r>
      <w:r>
        <w:rPr>
          <w:rFonts w:ascii="Arial" w:cs="Arial" w:eastAsia="Arial" w:hAnsi="Arial"/>
          <w:sz w:val="18"/>
          <w:szCs w:val="18"/>
          <w:color w:val="auto"/>
        </w:rPr>
        <w:t>: According to a July 2020 Qualtrics brand health survey, Talkspace brand awareness</w:t>
      </w:r>
      <w:r>
        <w:rPr>
          <w:rFonts w:ascii="Arial" w:cs="Arial" w:eastAsia="Arial" w:hAnsi="Arial"/>
          <w:sz w:val="18"/>
          <w:szCs w:val="18"/>
          <w:i w:val="1"/>
          <w:iCs w:val="1"/>
          <w:color w:val="auto"/>
        </w:rPr>
        <w:t xml:space="preserve"> </w:t>
      </w:r>
      <w:r>
        <w:rPr>
          <w:rFonts w:ascii="Arial" w:cs="Arial" w:eastAsia="Arial" w:hAnsi="Arial"/>
          <w:sz w:val="18"/>
          <w:szCs w:val="18"/>
          <w:color w:val="auto"/>
        </w:rPr>
        <w:t>among adults is approximately 26%, the highest among our</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0900"/>
          </w:cols>
          <w:pgMar w:left="320" w:top="459" w:right="6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competitors—MD Live, Doctor on Demand, BetterHelp and Teladoc. We believe our brand awareness is a key factor in driving patient penetration and engagement, and delivers significantly higher utilization rates compared to competitors, making our value proposition most appealing to payors. We believe that our strong brand identity, which promotes therapy as a stigma-free lifestyle choice and not as a one-time event, will continue to drive further awareness and frequency of access. Our spokesperson engagements with mental health champions such as Demi Lovato and Michael Phelps seek to draw awareness and humanize the day-to-day battle with mental illness.</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i w:val="1"/>
          <w:iCs w:val="1"/>
          <w:color w:val="auto"/>
        </w:rPr>
        <w:t>Scalable operating model through cross fertilization of our B2C and B2B offerings</w:t>
      </w:r>
      <w:r>
        <w:rPr>
          <w:rFonts w:ascii="Arial" w:cs="Arial" w:eastAsia="Arial" w:hAnsi="Arial"/>
          <w:sz w:val="18"/>
          <w:szCs w:val="18"/>
          <w:color w:val="auto"/>
        </w:rPr>
        <w:t>: We utilize our strong brand positioning created by our direct-to-consumer channel to drive penetration and utilization within our enterprise member base. Expansion into the B2B channel continues to be achieved at significantly lower incremental costs, generating high incremental variable margins.</w:t>
      </w:r>
    </w:p>
    <w:p>
      <w:pPr>
        <w:spacing w:after="0" w:line="184"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i w:val="1"/>
          <w:iCs w:val="1"/>
          <w:color w:val="auto"/>
        </w:rPr>
        <w:t>Exclusive focus on mental health, addressing a wide spectrum of clinical needs</w:t>
      </w:r>
      <w:r>
        <w:rPr>
          <w:rFonts w:ascii="Arial" w:cs="Arial" w:eastAsia="Arial" w:hAnsi="Arial"/>
          <w:sz w:val="17"/>
          <w:szCs w:val="17"/>
          <w:color w:val="auto"/>
        </w:rPr>
        <w:t>: We believe one of our key differentiators is our exclusive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behavioral healthcare, offering a wide spectrum of care through virtual counseling, psychotherapy and psychiatry. With both psychotherapy and psychiatry professionals, along with a comprehensive suite of self-help tools, our platform is designed to address the needs of members across a wide range of behavioral acuities. With over 21 specializations, our provider base has a diverse range of clinical expertise and is able to provide high quality care across behavioral conditions. Specifically, through the expansion of our psychiatry offerings, our platform has evolved to treat a higher acuity patient demographic, including those who may have pharmacological needs. This expansion creates a holistic solution to a broader reach of patients, whose needs may evolve over time, and allows them the continuity of a single-source solution.</w:t>
      </w:r>
    </w:p>
    <w:p>
      <w:pPr>
        <w:spacing w:after="0" w:line="17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Ability to leverage our unique dataset</w:t>
      </w:r>
      <w:r>
        <w:rPr>
          <w:rFonts w:ascii="Arial" w:cs="Arial" w:eastAsia="Arial" w:hAnsi="Arial"/>
          <w:sz w:val="17"/>
          <w:szCs w:val="17"/>
          <w:color w:val="auto"/>
        </w:rPr>
        <w:t>: Our B2C and B2B successes continuously bolster our platform, and through increased scale, data and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 capabilities, we strive to offer incrementally better service with every interaction. The outcomes of our B2C business create meaningful data analytics and aggregated insights that we use to optimize our platform and improve care outcomes. We believe this is translated into success for our health plan and enterprise clients, who can track immediate improvement in their members and employees’ well-being and satisfaction. This is evidenced by our Journal of Technology in Behavioral Science 2018 study that investigated the effectiveness of messaging therapy in improving employees’ depression and anxiety symptoms, as well as to assess changes in employee productivity post-treatment. In the study of 51 adults receiving treatment through text, audio and video messaging on Talkspace’s platform, members reported an approximately 36% increase in work productivity, an approximately 68% improvement in activities done outside of work and an approximately 50% reduction in hours of work missed, in each case based on the Workplace Outcome Suite, a validated measure of work-related behavior and outcomes.</w:t>
      </w:r>
    </w:p>
    <w:p>
      <w:pPr>
        <w:spacing w:after="0" w:line="18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Large network of credentialed providers meeting the highest standards of care quality and consistency</w:t>
      </w:r>
      <w:r>
        <w:rPr>
          <w:rFonts w:ascii="Arial" w:cs="Arial" w:eastAsia="Arial" w:hAnsi="Arial"/>
          <w:sz w:val="17"/>
          <w:szCs w:val="17"/>
          <w:color w:val="auto"/>
        </w:rPr>
        <w:t>: We designed our provider network to be scalable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leverage a hybrid model of both employee providers and independently contracted providers to support multiple growth scenarios. While we currently contract with most of our providers on an independent contractor basis, we plan to increase the number of employee providers going forward. In each case, we maintain strict quality control metrics to ensure an optimal level of care for our members. We monitor our provider performance through average provider response times, customer service reviews and patient-reported scoring amongst other methods. This is further reinforced by our matching algorithm, which promotes providers with high quality and compliance scores to be paired with more members. We have an average provider acceptance rate of less than 10%, highlighting our care in selecting providers to collaborate with.</w:t>
      </w:r>
    </w:p>
    <w:p>
      <w:pPr>
        <w:spacing w:after="0" w:line="17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i w:val="1"/>
          <w:iCs w:val="1"/>
          <w:color w:val="auto"/>
        </w:rPr>
        <w:t>Digitally-native technology platform constantly enhancing patient experience</w:t>
      </w:r>
      <w:r>
        <w:rPr>
          <w:rFonts w:ascii="Arial" w:cs="Arial" w:eastAsia="Arial" w:hAnsi="Arial"/>
          <w:sz w:val="16"/>
          <w:szCs w:val="16"/>
          <w:color w:val="auto"/>
        </w:rPr>
        <w:t>: Our technology has been designed to maximize engagement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outcomes in a virtual-only ecosystem, not as a supplement to in-person visits. By integrating hundreds of thousands of interactions, our platform allows us to better match members with the proper provider, create member-specific treatment plans, and provide analytics to augment, measure and predict treatment progress. This deep understanding of our member base allows us to better engage and increase treatment adherence,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evidenced by our member engagement. Assuming one-week on our platform is equivalent to one session per week in the traditional face-to-face model, approximately 80% of B2C members return for a second visit on our platform, whereas only 44% of patients return for second in-person visits according to a 2017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6995160" cy="3566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Clear, transparent and meaningful clinical impact</w:t>
      </w:r>
      <w:r>
        <w:rPr>
          <w:rFonts w:ascii="Arial" w:cs="Arial" w:eastAsia="Arial" w:hAnsi="Arial"/>
          <w:sz w:val="17"/>
          <w:szCs w:val="17"/>
          <w:color w:val="auto"/>
        </w:rPr>
        <w:t>: Our ability to deliver high quality behavioral care is backed by clinically validated metrics,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real-time to providers and members alike. This allows for immediate feedback, promotes care adherence and allows for treatment plan flexibility where necessary. Our clinical impact is evidenced by the 53% and 48% improvement in depression and anxiety symptoms observed among members receiving treatment through text, audio and video messaging on Talkspace’s platform in a 2020 BMC Psychiatry study of 10,718 subjects based on PHQ-9 score reductions of 5 or more points and falling below the established threshold for probable depression and GAD-7 score decreases of 5 or more points and falling below the established threshold for probable anxiety, respectively, as compared to the 54% and 48% improvement in depression and anxiety observed in traditional face-to-face therapy, according to a 2017 and a 2018 study, respectively. Furthermore, our clinical impact is exemplified by our average member tenure, which exceeds five months, whereas face-to-face therapy tenure is under approximately two weeks. We believe tangible, statistically-significant results are rare across behavioral healthcare providers and believe this is a highly compelling element of our model.</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Findings of peer-reviewed studies incorporated into patient care and experience</w:t>
      </w:r>
      <w:r>
        <w:rPr>
          <w:rFonts w:ascii="Arial" w:cs="Arial" w:eastAsia="Arial" w:hAnsi="Arial"/>
          <w:sz w:val="18"/>
          <w:szCs w:val="18"/>
          <w:color w:val="auto"/>
        </w:rPr>
        <w:t>: We have an extensive and growing library of clinically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peer-reviewed studies that guide and support our clinical mission, as well as further validate the impact of our care model. We continuously perform and publish studies at both the enterprise level and the individual level, as we seek to be a leading educational resource to those seeking help. By establishing ourselves as thought leaders, we create immediate credibility with members, which benefits our enterprise and consumer marketing and branding efforts. We have over ten clinically significant peer-reviewed articles published to date, which we believe to be industry leading among our virtual therapy competitors.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i w:val="1"/>
          <w:iCs w:val="1"/>
          <w:color w:val="auto"/>
        </w:rPr>
        <w:t>Highly experienced management team</w:t>
      </w:r>
      <w:r>
        <w:rPr>
          <w:rFonts w:ascii="Arial" w:cs="Arial" w:eastAsia="Arial" w:hAnsi="Arial"/>
          <w:sz w:val="18"/>
          <w:szCs w:val="18"/>
          <w:color w:val="auto"/>
        </w:rPr>
        <w:t>: Our founder-led management team has extensive experience across the healthcare, technology, and behavioral</w:t>
      </w:r>
      <w:r>
        <w:rPr>
          <w:rFonts w:ascii="Arial" w:cs="Arial" w:eastAsia="Arial" w:hAnsi="Arial"/>
          <w:sz w:val="18"/>
          <w:szCs w:val="18"/>
          <w:i w:val="1"/>
          <w:iCs w:val="1"/>
          <w:color w:val="auto"/>
        </w:rPr>
        <w:t xml:space="preserve"> </w:t>
      </w:r>
      <w:r>
        <w:rPr>
          <w:rFonts w:ascii="Arial" w:cs="Arial" w:eastAsia="Arial" w:hAnsi="Arial"/>
          <w:sz w:val="18"/>
          <w:szCs w:val="18"/>
          <w:color w:val="auto"/>
        </w:rPr>
        <w:t>care sectors, and brings a deep culture of innovation, which is crucial for our success. Our team is equipped with extensive clinical expertise, a robust understanding of technology development and a demonstrated track record of designing and scaling B2C and B2B virtual care channels. Most importantly, our leadership team is mission-driven and focused on bringing accessible, highly effective and affordable behavioral healthcare to as many lives as possible.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Opportunities</w:t>
      </w:r>
    </w:p>
    <w:p>
      <w:pPr>
        <w:spacing w:after="0" w:line="121"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i w:val="1"/>
          <w:iCs w:val="1"/>
          <w:color w:val="auto"/>
        </w:rPr>
        <w:t xml:space="preserve">Continue expanding B2C user base and increase engagement. </w:t>
      </w:r>
      <w:r>
        <w:rPr>
          <w:rFonts w:ascii="Arial" w:cs="Arial" w:eastAsia="Arial" w:hAnsi="Arial"/>
          <w:sz w:val="17"/>
          <w:szCs w:val="17"/>
          <w:color w:val="auto"/>
        </w:rPr>
        <w:t>Through our expanding network and successful customer adoption strategy,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focus on growing consumer member adoption. We expect this strategy to be further complemented by sustained investment in our platform capabilities, as well as through continuing to leverage our industry-leading brand awareness. We believe our growth opportunity in both psychotherapy and psychiatry to be substantial. In addition, as a result of the end-to-end nature of our platform, we believe we are well-positioned to transition a portion of our existing therapy-focused member base in need of psychiatry services to create care continuity for our members across a broader range of behavioral acuities. We plan to drive further engagement of our existing member base by expanding our offerings beyond episodic-based treatment to holistic programs in order to drive higher member lifetime engagement. With 36% of Americans open to seeing a therapist, according to a 2017 consumer study, and 80% of our members viewing our platform as more effective than traditional face-to-face therapy according to a 2017 study, we view our organic growth opportunity within the United States to be substantial. We use a strategic and disciplined approach to building our marketing budget, and are able to achieve efficient spend levels on a per-customer basis by leveraging our brand and strong relationships with outbound and inbound marketing channels. As of March 31, 2021, we had approximately 35,000 B2C active members, up from approximately 22,000 as of March 31, 2020. For the years ended December 31, 2019 and 2020, our average member acquisition cost was approximately $344 and $297 per member, respectively, and for the three months ended March 31, 2020 and 2021, our average member acquisition cost was approximately $423 and $449 per member, respectively.</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 xml:space="preserve">Expand clients and B2B offering. </w:t>
      </w:r>
      <w:r>
        <w:rPr>
          <w:rFonts w:ascii="Arial" w:cs="Arial" w:eastAsia="Arial" w:hAnsi="Arial"/>
          <w:sz w:val="17"/>
          <w:szCs w:val="17"/>
          <w:color w:val="auto"/>
        </w:rPr>
        <w:t>We expect to meaningfully expand our B2B channel through both the addition of new employer and health plan</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as well as a focus on driving deeper penetration rates within our existing clients. We have a demonstrated track record of executing our “land-and-expand” strategy with enterprise clients, significantly expanding our B2B eligible lives in-client within the first year of contract. We plan to add new B2B clients by contracting with additional regional and national health plans, accelerating our outbound marketing efforts, leveraging our broker and consultant relationships and continuing to penetrate the massively underserved college and university market. Additionally, we are focused on further developing our dedicated internal B2B sales team solely focused on expanding our B2B client base as well as driving penetration within existing contracts–an effort we expect to drive significant traction within the near-term. Within our existing enterprise base, we plan drive penetration and engagement with an invested focus on client success. Additionally, because of our embedded position serving the B2B customer base, we believe we are well-positioned to innovate and lay the groundwork for additional services that drive value for their members such as navigation across the ever-changing behavioral health landscape. We believe access to this service will continue to grow in importance as a larger patient population is unveiled through our increased access and focus on destigmatization of behavioral health treatment. Our B2B eligible lives was nearly 42 million as of March 31, 2021, up from approximately two million eligible lives in March 31, 2019.</w:t>
      </w:r>
    </w:p>
    <w:p>
      <w:pPr>
        <w:spacing w:after="0" w:line="17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 xml:space="preserve">International expansion. </w:t>
      </w:r>
      <w:r>
        <w:rPr>
          <w:rFonts w:ascii="Arial" w:cs="Arial" w:eastAsia="Arial" w:hAnsi="Arial"/>
          <w:sz w:val="16"/>
          <w:szCs w:val="16"/>
          <w:color w:val="auto"/>
        </w:rPr>
        <w:t>Our platform is built to be rapidly scaled and we believe it is highly exportable between geographies, and our services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address the mental health needs of patients worldwide, subject to applicable local regulations and laws governing therapy services and telehealth services. We believe our solutions will translate rapidly to other English speaking markets with little investment and infrastructure spend and we view international markets as a major opportunity. We have identified several international markets as highly attractive and in demand of our service. We have a near-term focus on English-speaking countries, and we have prioritized those markets where we have a clear perspective on regulatory and clinical requirements to enter. We are undertaking regulatory review of these targeted markets and are undergoing further privacy and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security reviews by outside experts to meet any additional regulatory requirements. Within our near-term pipeline, we believe we have an estimated $23 billion addressable market and view the size of the total international addressable market in excess of $130 billion.</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Platform adjacencies. </w:t>
      </w:r>
      <w:r>
        <w:rPr>
          <w:rFonts w:ascii="Arial" w:cs="Arial" w:eastAsia="Arial" w:hAnsi="Arial"/>
          <w:sz w:val="18"/>
          <w:szCs w:val="18"/>
          <w:color w:val="auto"/>
        </w:rPr>
        <w:t>We are well-positioned to further expand our solution set through opportunistic acquisitions or product development responsive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evolving and expanding needs of our client base. Our technology platform is built to easily integrate with non-native technologies and to offer a single cohesive platform. We plan to use a disciplined approach to strategically acquire complementary capabilities and service lines. These may include, but are not limited to, wellness and coaching platforms, chronic managed care platforms, virtual therapy and psychiatry competitors and face-to-face therapy and psychiatry platforms.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Category-defining Brand and Marketing Approach</w:t>
      </w:r>
    </w:p>
    <w:p>
      <w:pPr>
        <w:spacing w:after="0" w:line="132" w:lineRule="exact"/>
        <w:rPr>
          <w:sz w:val="20"/>
          <w:szCs w:val="20"/>
          <w:color w:val="auto"/>
        </w:rPr>
      </w:pPr>
    </w:p>
    <w:p>
      <w:pPr>
        <w:ind w:left="120"/>
        <w:spacing w:after="0"/>
        <w:tabs>
          <w:tab w:leader="none" w:pos="7260" w:val="left"/>
        </w:tabs>
        <w:rPr>
          <w:sz w:val="20"/>
          <w:szCs w:val="20"/>
          <w:color w:val="auto"/>
        </w:rPr>
      </w:pPr>
      <w:r>
        <w:rPr>
          <w:rFonts w:ascii="Arial" w:cs="Arial" w:eastAsia="Arial" w:hAnsi="Arial"/>
          <w:sz w:val="16"/>
          <w:szCs w:val="16"/>
          <w:b w:val="1"/>
          <w:bCs w:val="1"/>
          <w:u w:val="single" w:color="auto"/>
          <w:color w:val="auto"/>
        </w:rPr>
        <w:t>Instantly recognizable, highly influential spokespeople</w:t>
      </w:r>
      <w:r>
        <w:rPr>
          <w:sz w:val="20"/>
          <w:szCs w:val="20"/>
          <w:color w:val="auto"/>
        </w:rPr>
        <w:tab/>
      </w:r>
      <w:r>
        <w:rPr>
          <w:rFonts w:ascii="Arial" w:cs="Arial" w:eastAsia="Arial" w:hAnsi="Arial"/>
          <w:sz w:val="14"/>
          <w:szCs w:val="14"/>
          <w:b w:val="1"/>
          <w:bCs w:val="1"/>
          <w:color w:val="auto"/>
        </w:rPr>
        <w:t>Highest brand awareness</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 xml:space="preserve"> relative to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520065</wp:posOffset>
            </wp:positionV>
            <wp:extent cx="2065655" cy="900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65655" cy="90043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-27940</wp:posOffset>
            </wp:positionV>
            <wp:extent cx="2717165" cy="1448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1716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July 2020 Qualtrics brand health survey; measure of aided brand awareness.</w:t>
      </w:r>
    </w:p>
    <w:p>
      <w:pPr>
        <w:spacing w:after="0" w:line="22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believe we have a category-defining brand with broad appeal. We have spent years establishing our brand and building credibility and trust with our B2C consumers. We have been able to scale rapidly by leveraging our data-driven marketing and sales efforts. Our marketing is made more efficient by the significant word-of-mouth referrals from our B2C consumers, which has become one of our largest sales channels and has provided us entry points into the enterprise market with health plans. We have then leveraged the validation from health plans and the designation as a nation-wide network of providers under the Talkspace brand to expand our offering with employers. Employers appreciate that they are dealing with an entity that has created value for some of the nation’s largest health plans. We believe this virtuous cycle has been driven as part of the brand maturity.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859915" cy="3317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59915" cy="33172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205740</wp:posOffset>
            </wp:positionV>
            <wp:extent cx="1722755" cy="3343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2275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We view as competitors those companies whose primary business is developing and marketing telehealth and virtual behavioral health platforms and services. Competition focuses on, among other factors, technology, breadth and depth of functionality, range of associated services, operational experience, customer support, extent of client and member bases, and reputation. Our key competitors in the telehealth and teletherapy markets are American Well Corporation, Teladoc, Doctor On Demand, MDLive, BetterHelp, Lyra Health and Ginger, among other small industry participants.</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large, well-financed health systems and health plans have in some cases developed their own virtual behavioral health tools and may provide these solutions to their consumer at discounted prices. Competition may also increase from large technology companies, such as Apple, Amazon, Facebook, Verizon, or Microsoft, who may wish to develop their own virtual behavioral health solutions, as well as from large retailers like Amazon or Walmart. With the emergence of COVID-19, and in particular the relaxation of privacy and security requirements under the Health Insurance Portability and Accountability Act of 1996 (“HIPAA”), we have also seen increased competition from consumer-grade video solutions, such as Zoom Video and Twilio. We believe that the breadth of our existing client and member bases, the depth of our technology platform, and our business-to-business focus on promoting existing healthcare brands and integrating freely with multiple platforms increases the likelihood that stakeholders seeking to develop virtual behavioral healthcare solutions will choose instead to collaborate with Talkspace.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Therapists, Physicians and Healthcare Professionals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We are in the process of changing our structure with respect to our relationships with healthcare providers, transitioning to a structure where we will enter into various agreements with a Texas professional association entity, TPN, which in turn will contract with our affiliated professional entities and physicians, therapists, and other licensed professionals for clinical and professional services provided to our members. We expect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transition will commence in the third quarter of 2021 and will take up to 12 months to fully implement. This transition is in response to our expansion of service offerings to include telepsychiatry services provided through licensed physicians. Our business initially began with arranging the delivery of virtual counseling and psychotherapy services, which are predominantly provided by non-physician professionals. All telepsychiatry services are being provided through independent contractor arrangements with our network licensed physicians who maintain exclusive control and responsibility over all medical aspects of the services provided to our members during the period prior to the completion of the transition. Although we believe we were operating in compliance with applicable regulatory laws, including laws that prohibit business entities, such as us, from providing professional services, employing certain healthcare professionals and exercising control over professional judgment (such activities generally referred to as the “corporate practice of medicine”), with the addition of telepsychiatry as a service offering, we decided to transition our provider network structure to a model that was well-understood and common in jurisdictions that prohibit the corporate practice of medicine. We believe the transition to a structure where we would enter into various management services agreements (“MSA”) with TPN, or an entity authorized by state law to contract with our affiliated professionals to delivery teletherapy services to our members, will better ensure we will be able to comply with additional regulatory requirements, including the corporate practice of medicine and fee-splitting laws, that are necessarily implicated by engaging in telehealth care that can only be delivered by physicians. Specifically, the model will allow us to provide or arrange for physician and non-physician professional services without infringing the respective practitioner’s professional or medical judgment. Furthermore, under the MSAs, we will perform billing, scheduling and other non-clinical services. As consideration, TPN or the otherwise authorized entity will pay us for management services out of the fees they collect from individuals and third-party payors. Notably, because certain activities other than those directly related to the delivery of healthcare may be considered an element of the practice of medicine in certain states, we have structured the MSA in each state so as to not violate any of these unique restrictions.</w:t>
      </w:r>
    </w:p>
    <w:p>
      <w:pPr>
        <w:spacing w:after="0" w:line="17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discussed further below, the new model also contemplates that our financial statements will be consolidated with those of TPN and the authorized entities due to variable interest entity status. Specifically, because we will have the power to direct the activities of TPN and the other authorized entities in each state that will most significantly impact TPN’s and such other authorized entities’ economic performance as well as have the obligation to absorb significant losses and receive the benefits of TPN and the authorized entities. TPN is wholly owned by an independent Texas-licensed physician. Due to the prevalence of the corporate practice of medicine doctrine, including in the states where we predominantly conduct our business, we are finalizing certain agreements with TPN, including the MSA under which we will provide exclusive administrative, management and other business support services to TPN in exchange for a fee. The non-medical functions and services we will provide under the MSA include the maintenance of medical, billing and accounting records, legal, human resources and the administration of quality assurance, and administration of a risk management program. TPN reserves exclusive control and responsibility for all aspects of the practice of medicine and the delivery of medical services. TPN will also directly employ or contract other professional entities, physicians, therapists and other licensed professionals who will provide clinical and professional services to our members. These affiliated providers will also retain exclusive control and responsibility for all aspects of medical services provided to our members. Additionally, TPN is required to maintain medical malpractice insurance for covered providers as well as appropriate general liability, directors and officers, workers compensation and employment practices insurance. The MSA will have a long multi-year term unless earlier terminated upon mutual agreement of the parties or unilaterally by a party following a material default under the MSA by the non-terminating party.</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intend to sign MSAs with other TPN affiliated entities to provide similar administrative and management services for a management fee consistent with applicable corporate practice of medicine, fee-splitting and foreign entity requirements in each state.</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are also in the process of finalizing a stock transfer restriction agreement between TPN and its current owner, which outlines the conditions under which we can ensure a transfer of the ownership of TPN to a different licensed provider.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Once the transition with TPN is complete, TPN and its affiliated professional entities will collect revenue from (i) patients directly, (ii) patient’s health plans or (iii) enterprise clients for each consultation performed on telehealth and teletherapy platforms by its employed or contracted physicians, therapists and other licensed professionals. TPN in turn will pay the providers a per consult fee, or via an hourly or annual rate. Upon full implementation of the TPN transition, we will hold variable interests in TPN and its affiliated entities and consolidate all of the financial results, as all of these entities are variable interest entities (“VIEs”). These entities are considered VIEs since they do not have sufficient equity to finance their activities without additional financial support from us.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the contracting party under our current agreements with clients, members, providers and other business partners may change from Talkspace to TPN or an affiliated professional entity as a result of this transition, we do not anticipate that this transition will have a material financial impact on our operations. Through the mechanics set out in the MSAs and the management fee for administrative and management services set forth in our agreements with TPN, we do not expect there will be a material change in the overall economics of the business relationships we previously held with our clients, members, providers and other business partners. However, if there are regulatory challenges to our arrangements with TPN, we may have to restructure arrangements or enter into new agreements with other professional entities, which could result in changes to the economic relationships.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March 31, 2021, we had approximately 279 employees. None of our employees are represented by a labor union or party to a collective bargaining agreement. We have never experienced any work stoppages or strikes as a result of labor disputes. We consider our relationship with our employees to be good. Our human capital resources objectives include, as applicable, identifying, recruiting, retaining, incentivizing and integrating our existing and prospective employees. The principal purposes of our incentive plans are to attract, retain and motivate selected employees, executive officers and directors through the granting of stock-based compensation awards and cash-based performance bonus awards.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Since terminating our prior office lease in New York, New York in August 2020, we currently have no physical office space and our employees are working remotely. We may consider entering into a new office lease in the future although we have no current plans to do so. To the extent in the future we may need to add new facilities as we add employees, grow our infrastructure and evolve our business, we believe that suitable space will be available on commercially reasonable terms to meet our future needs.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Government Regulation</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response to the COVID-19 pandemic, state and federal regulatory authorities loosened or removed a number of regulatory requirements in order to increase the availability of telehealth and teletherapy services.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example, many state governors issued executive orders permitting physicians and other health care professionals to practice in their state without any additional licensure or by using a temporary, expedited or abbreviated licensure process so long as they hold a valid license in another state. In addition, changes were made to the Medicare and Medicaid programs (through waivers and other regulatory authority) to increase access to telehealth and teletherapy services by, among other things, increasing reimbursement, permitting the enrollment of out of state providers and eliminating prior authorization requirements. It is uncertain how long these COVID-19 related regulatory changes will remain in effect and whether they will continue beyond this public health emergency period.</w:t>
      </w:r>
    </w:p>
    <w:p>
      <w:pPr>
        <w:spacing w:after="0" w:line="19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believe that a return to the status quo would not have a material negative impact on any commercial agreements we have entered into during 2020 and 2021. Each of these agreements has a defined term and generally do not allow for immediate termination for convenience by the client in question. For many healthcare companies engaging in telehealth and teletherapy, the most significant potential concern about returning to the status quo is the restrictions on the reimbursement of telehealth and teletherapy visits to federal or state healthcare program beneficiaries, such as when a patient presents to a medical professional from a rural area or at a clinical site.</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Currently, TPN and our affiliated network providers does not perform these kinds of consultations. All patients who experienced a first-time visit with any network provider during the pandemic would be able to continue using the platform. In light of that, we do not believe that the visit volume on our platform or visit revenue will materially decrease based on a return to the status quo from a regulatory perspective. In fact, we believe that such a return would benefit the Company as the renewed enforcement of HIPAA regulations may force many marginal telehealth platforms out of the marketplace, thereby lessening our competition.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Telehealth and Teletherapy Provider Licensing, Medical Practice, Certification and Related Laws and Guidelines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(including the provision of remote care), equipment, personnel, operating policies and procedures and the prerequisites for the prescription of medication and ordering of tests. The application of some of these laws to telehealth and teletherapy is unclear and subject to differing interpretation.</w:t>
      </w:r>
    </w:p>
    <w:p>
      <w:pPr>
        <w:spacing w:after="0" w:line="17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TPN and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Practice of Medicine Laws in the U.S.; Fee Splitting</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contract with physicians or physician owned professional associations and professional corporations and therapists to provide access to our platform to them and their patients. We are in the process of finalizing a management services contract with TPN and may enter into direct management services contracts with other TPN 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including those of New York, Texas and California, that prohibit fee splitting or the corporate practice of medicine or professional services by lay entities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or persons and that are intended to prevent unlicensed persons from interfering with or influencing a physician’s or another licensed professional’s clinical judgment. Activities other than those directly related to the delivery of healthcare may be considered an element of the practice of medicine in many states. Under the corporate practice of medicine and other licensed profession restrictions of certain states, decisions and activities such as contracting, setting rates and the hiring and management of personnel may implicate the restrictions on the corporate practice of medicine or a licensed profession.</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State corporate practice of medicine or other licensed profession and fee splitting laws and rules vary from state to state and are not always consistent.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 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and State Fraud and Abuse Laws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Applicable and potentially applicable U.S. federal and state healthcare laws and regulations include, but are not limited, to the following.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Stark Law</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in the future some of our revenues come from federal health care programs, we will be subject to the federal self-referral prohibitions, commonly known as the Stark Law. Where applicable, this law prohibits a physician from referring Medicare patients for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$25,820 per claim submitted and exclusion from the federal health care programs. 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$172,137 for a circumvention scheme.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or our affiliated providers could have a material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Anti-Kickback Statute</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We will also be subject to the federal Anti-Kickback Statute if any of our services become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$104,330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False Claims Act</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$11,665 to $23,331 for each false claim, plus up to three times the amount of damages sustained by the federal government. An FCA violation may provide the basis for exclusion from the federally funded healthcare programs.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Fraud and Abuse Laws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HIPAA established several separate criminal penalties for making false or fraudulent claims to insurance companies and other non-governmental payers of healthcare services. Under HIPAA, these two additional federal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the Civil Monetary Penalties Law imposes civil administrative sanctions for, among other violations, inappropriate billing of services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federally funded healthcare programs and employing or contracting with individuals or entities who are excluded from participation in federally funded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healthcare programs. Moreover, a person who offers or transfers to a Medicare or Medicaid beneficiary any remuneration, including waivers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copayments and deductible amounts (or any part thereof), that the person knows or should know is likely to influence the beneficiary’s selection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particular provider, practitioner or supplier of Medicare or Medicaid payable items or services may be liable for civil monetary penalties of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for each wrongful act. Furthermore, in certain cases, providers who routinely waive copayments and deductibles for Medicare and Medicaid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can also be held liable under the Anti-Kickback Statute and civil False Claims Act, which can impose additional penalties associated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wrongful act. One of the statutory exceptions to the prohibition is non-routine, unadvertised waivers of copayments or deductible amounts based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individualized determinations of financial need or exhaustion of reasonable collection efforts. The OIG emphasizes, however, that this exception should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only be used occasionally to address special financial needs of a particular patient. Although this prohibition applies only to federal healthcare program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the routine waivers of copayments and deductibles offered to patients covered by commercial payers may implicate applicable state laws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to, among other things, unlawful schemes to defraud, excessive fees for services, tortious interference with patient contracts, and statutory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law fraud.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State and Federal Health Information Privacy and Security Laws</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There are numerous U.S. federal and state laws and regulations related to the privacy and security of PII, including health information. In particular, HIPAA imposes a number of requirements on covered entities and their business associates relating to the use, disclosure and safeguarding of protected health information. 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personally identifiable information.</w:t>
      </w:r>
    </w:p>
    <w:p>
      <w:pPr>
        <w:spacing w:after="0" w:line="16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Violations of HIPAA may result in civil and criminal penalties. The civil penalties include civil monetary penalties of up to $59,552 per violation, not to exceed approximately $1.8 million for violations of the same standard in a single calendar year (as of 2020, and subject to periodic adjustments for inflation), and in certain circumstances, criminal penalties with fines up to $250,000 per violation and/or imprisonment. However, a single breach incident can result in violations of multiple standards. Our management responsibilities to TPN include assisting it with its obligations under HIPAA’s breach notification rule. Under the breach notification rule, covered entities must notify affected individuals without unreasonable delay in the case of a breach of unsecured protected health information (“PHI”), which may compromise the privacy, security or integrity of the PHI. In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addition, notification must be provided to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18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7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HIPAA also required HHS to adopt national standards for electronic transactions that all healthcare providers must use when submitting or receiving certain healthcare transactions electronically. On January 16, 2009, HHS released the final rule mandating that everyone covered by HIPAA must implement ICD 10 for medical coding on October 1, 2013, which was subsequently extended to October 1, 2015 and is now in effect.</w:t>
      </w:r>
    </w:p>
    <w:p>
      <w:pPr>
        <w:spacing w:after="0" w:line="14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is discussion of a new federal privacy law or federal breach notification law, to which we may be subject.</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w:t>
      </w:r>
    </w:p>
    <w:p>
      <w:pPr>
        <w:spacing w:after="0" w:line="16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recent years, there have been a number of well 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International Regulation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expect over time to continue to expand our operations in foreign countries through both organic growth and acquisitions. In such a case, our international operations will be subject to different, and sometimes more stringent, legal and regulatory requirements, which vary widely by jurisdiction, including anti-corruption laws; economic sanctions laws; various data security insurance, tax, tariff and trade laws and regulations; corporate governance; various data security and data protection laws (including the EU’s General Data Protection Regulation and local implementing laws in the EEA and UK);labor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anti-bribery, anti-corruption and anti-money laundering provisions of U.S. law, including the FCPA, and corresponding foreign laws, including the UK Bribery Act.</w:t>
      </w:r>
    </w:p>
    <w:p>
      <w:pPr>
        <w:spacing w:after="0" w:line="178"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18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In addition, we may be subject to similar regulations in the non-U.S. jurisdictions in which we operate.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for two patents, and intend to continue to apply for additional patents, relating to our software and technology.</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own and use trademarks and service marks on or in connection with our services, including both unregistered common law marks and issued trademark registrations in the United States. In addition, we rely on certain intellectual property rights that we license from third parties and other forms of intellectual property rights,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We require our employees, consultants and certain of our contractors to execute confidentiality agreements in connection with their employment or consulting relationships with us. We also require our employees and consultants to disclose and assign to us inventions conceived during the term of their employment or engagement while using our property or which relate to our business.</w:t>
      </w:r>
    </w:p>
    <w:p>
      <w:pPr>
        <w:spacing w:after="0" w:line="192"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intellectual property arising in the ordinary course of our business, including oppositions to our applications for trademarks or patents, challenges to the validity of our intellectual property rights, and claims of intellectual property infringement. We are not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presently a party to any such legal proceedings that, in the opinion of our management, would individually or taken together have a material adverse effect on our business, financial condition, results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OF TALKSPACE, INC. FOLLOWING THE BUSINESS COMBINATION</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following sets forth certain information, as of May 28, 2021, concerning the persons who are anticipated to be the directors and executive officers of Talkspace, Inc. upon Closing and assuming the election of the nominees at the HEC special meeting as set forth in “</w:t>
      </w:r>
      <w:r>
        <w:rPr>
          <w:rFonts w:ascii="Arial" w:cs="Arial" w:eastAsia="Arial" w:hAnsi="Arial"/>
          <w:sz w:val="16"/>
          <w:szCs w:val="16"/>
          <w:i w:val="1"/>
          <w:iCs w:val="1"/>
          <w:color w:val="auto"/>
        </w:rPr>
        <w:t>director election proposal.</w:t>
      </w:r>
      <w:r>
        <w:rPr>
          <w:rFonts w:ascii="Arial" w:cs="Arial" w:eastAsia="Arial" w:hAnsi="Arial"/>
          <w:sz w:val="16"/>
          <w:szCs w:val="16"/>
          <w:color w:val="auto"/>
        </w:rPr>
        <w:t>”</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66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540" w:type="dxa"/>
            <w:vAlign w:val="bottom"/>
          </w:tcPr>
          <w:p>
            <w:pPr>
              <w:ind w:left="3120"/>
              <w:spacing w:after="0"/>
              <w:rPr>
                <w:sz w:val="20"/>
                <w:szCs w:val="20"/>
                <w:color w:val="auto"/>
              </w:rPr>
            </w:pPr>
            <w:r>
              <w:rPr>
                <w:rFonts w:ascii="Arial" w:cs="Arial" w:eastAsia="Arial" w:hAnsi="Arial"/>
                <w:sz w:val="14"/>
                <w:szCs w:val="14"/>
                <w:b w:val="1"/>
                <w:bCs w:val="1"/>
                <w:color w:val="auto"/>
              </w:rPr>
              <w:t>Title</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spacing w:after="0"/>
              <w:rPr>
                <w:sz w:val="17"/>
                <w:szCs w:val="17"/>
                <w:color w:val="auto"/>
              </w:rPr>
            </w:pPr>
          </w:p>
        </w:tc>
        <w:tc>
          <w:tcPr>
            <w:tcW w:w="6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Co-Founder and 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Mark Hirschhorn</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President, Chief Operating Officer and Chief Financial Officer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Co-founder, Head of Clinical Services, and 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Samara H. Braunstein</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Margolin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John C. Reilly</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Braunstein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Chairman and 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Jeffrey M. Crowe</w:t>
            </w:r>
          </w:p>
        </w:tc>
        <w:tc>
          <w:tcPr>
            <w:tcW w:w="240" w:type="dxa"/>
            <w:vAlign w:val="bottom"/>
          </w:tcPr>
          <w:p>
            <w:pPr>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Erez Shachar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Curtis Warfield</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Jacqueline Yeaney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Charles Berg</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Madhu Pawar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b w:val="1"/>
          <w:bCs w:val="1"/>
          <w:color w:val="auto"/>
        </w:rPr>
        <w:t xml:space="preserve">Oren Frank. </w:t>
      </w:r>
      <w:r>
        <w:rPr>
          <w:rFonts w:ascii="Arial" w:cs="Arial" w:eastAsia="Arial" w:hAnsi="Arial"/>
          <w:sz w:val="16"/>
          <w:szCs w:val="16"/>
          <w:color w:val="auto"/>
        </w:rPr>
        <w:t>Upon the Closing, Mr. Frank is expected to serve as Talkspace, Inc.’s Chief Executive Officer and as a member of Talkspace, Inc.’s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Mr. Frank co-founded Talkspace and has served as Talkspace’s Chief Executive Officer and as a member of Talkspace’s board of directors since April 2012 Prior to Talkspace, Mr. Frank held several roles at McCann Worldgroup (formerly McCann Erickson), a global marketing services company, including serving as Global Chief Creative Officer of MRM Worldwide from January 2008 to April 2011, Chief Executive Officer of Worldgroup Israel from March 2003 to November 2007, Chairman of McCann Digital from January 2005 to November 2007, and Chief Creative Officer, McCann Erickson EMEA from 2001 to March 2003. We believe that Mr. Frank is qualified to serve as a member of our board of directors due to the perspective and experience he brings as our Chief Executive Officer and as a co-founder of Talkspace and his industry knowledge and experience.</w:t>
      </w:r>
    </w:p>
    <w:p>
      <w:pPr>
        <w:spacing w:after="0" w:line="16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color w:val="auto"/>
        </w:rPr>
        <w:t xml:space="preserve">Mark Hirschhorn. </w:t>
      </w:r>
      <w:r>
        <w:rPr>
          <w:rFonts w:ascii="Arial" w:cs="Arial" w:eastAsia="Arial" w:hAnsi="Arial"/>
          <w:sz w:val="17"/>
          <w:szCs w:val="17"/>
          <w:color w:val="auto"/>
        </w:rPr>
        <w:t>Upon the Closing, Mr. Hirschhorn is expected to serve as President, Chief Financial Officer and Chief Operating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Talkspace, Inc. Mr. Hirschhorn has served as President, Chief Financial Officer and Chief Operating Officer of Talkspace since February 2020. Prior to Talkspace, Mr. Hirschhorn served as Chief Financial Officer of ArisGlobal, a life sciences cloud platform company, from February 2019 to January 2020. Prior to ArisGlobal, Mr. Hirschhorn served as Executive Vice President and Chief Financial Officer of Teladoc, Inc., a telemedicine and virtual healthcare company, from October 2012 to January 2019, and as Teladoc’s Chief Operating Officer from September 2016 to January 2019. From April 2004 to October 2012, Mr. Hirschhorn served as Executive Vice President and Chief Financial Officer of RCS/Media Monitors, an international software technology company that serves the media and entertainment markets. From 2000 to 2003, Mr. Hirschhorn served as the Chief Financial Officer for several technology companies, including BT Radianz. Mr. Hirschhorn began his professional career at Deloitte. Mr. Hirschhorn holds a B.A. from Rutgers University and an M.B.A. from Rutgers Business School. Mr. Hirschhorn is a CPA and a member of the American Institute of Certified Public Accountants.</w:t>
      </w:r>
    </w:p>
    <w:p>
      <w:pPr>
        <w:spacing w:after="0" w:line="177" w:lineRule="exact"/>
        <w:rPr>
          <w:sz w:val="20"/>
          <w:szCs w:val="20"/>
          <w:color w:val="auto"/>
        </w:rPr>
      </w:pPr>
    </w:p>
    <w:p>
      <w:pPr>
        <w:ind w:left="120" w:right="220"/>
        <w:spacing w:after="0" w:line="314" w:lineRule="auto"/>
        <w:rPr>
          <w:sz w:val="20"/>
          <w:szCs w:val="20"/>
          <w:color w:val="auto"/>
        </w:rPr>
      </w:pPr>
      <w:r>
        <w:rPr>
          <w:rFonts w:ascii="Arial" w:cs="Arial" w:eastAsia="Arial" w:hAnsi="Arial"/>
          <w:sz w:val="16"/>
          <w:szCs w:val="16"/>
          <w:b w:val="1"/>
          <w:bCs w:val="1"/>
          <w:color w:val="auto"/>
        </w:rPr>
        <w:t xml:space="preserve">Roni Frank. </w:t>
      </w:r>
      <w:r>
        <w:rPr>
          <w:rFonts w:ascii="Arial" w:cs="Arial" w:eastAsia="Arial" w:hAnsi="Arial"/>
          <w:sz w:val="16"/>
          <w:szCs w:val="16"/>
          <w:color w:val="auto"/>
        </w:rPr>
        <w:t>Upon the Closing, Ms. Frank is expected to serve as Head of Clinical Services of Talkspace, Inc. and as a member of Talkspace, Inc.’s</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Ms. Frank co-founded Talkspace and has served as the Head of Clinical Services at Talkspace since April 2012. Prior to Talkspace, Ms. Frank was a software developer in Research &amp; Development at Amdocs Limited, a software and services provider to communications and media</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companies, from 2001 to 2007. Ms. Frank holds a B.S. in Computer Science from IDC Herzliya. We believe that Ms. Frank is qualified to serve as a member of our board of directors due to the perspective and experience she brings as Head of Clinical Services and as a co-founder of Talkspace and her industry knowledge and experience.</w:t>
      </w:r>
    </w:p>
    <w:p>
      <w:pPr>
        <w:spacing w:after="0" w:line="18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b w:val="1"/>
          <w:bCs w:val="1"/>
          <w:color w:val="auto"/>
        </w:rPr>
        <w:t xml:space="preserve">Samara Braunstein. </w:t>
      </w:r>
      <w:r>
        <w:rPr>
          <w:rFonts w:ascii="Arial" w:cs="Arial" w:eastAsia="Arial" w:hAnsi="Arial"/>
          <w:sz w:val="18"/>
          <w:szCs w:val="18"/>
          <w:color w:val="auto"/>
        </w:rPr>
        <w:t>Upon the Closing, Ms. Braunstein is expected to serve as Chief Marketing Officer of Talkspace, Inc. Ms. Braunstein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Talkspace’s Chief Marketing Officer since December 2020. Prior to Talkspace, Ms. Braunstein served as Chief Revenue Officer for Concertiv, a decision-support platform that provides data analytics, group purchasing, and managed services to professional services firms and their key suppliers, from 2019 to 2020. Ms. Braunstein was the CEO and Founder of Wellgate Products, LLC, an orthopedic device company which grew to become one of the largest brands in its category before its sale to a strategic buyer, from 2004 to 2008. She has served in marketing and leadership roles at HigherOne Holdings, Inc, AOL TimeWarner, Warner Lambert, Revlon and HudsonView Group Associates LLC, and in Finance roles at predecessor companies to GTCR, LLC and Credit Suisse Group AG. Ms. Braunstein currently serves on the Board of Directors for Candesant Biomedical. Ms. Braunstein holds a B.A. from University of Michigan.</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color w:val="auto"/>
        </w:rPr>
        <w:t xml:space="preserve">Gil Margolin. </w:t>
      </w:r>
      <w:r>
        <w:rPr>
          <w:rFonts w:ascii="Arial" w:cs="Arial" w:eastAsia="Arial" w:hAnsi="Arial"/>
          <w:sz w:val="18"/>
          <w:szCs w:val="18"/>
          <w:color w:val="auto"/>
        </w:rPr>
        <w:t>Upon the Closing, Mr. Margolin is expected to serve as Chief Technology Officer of Talkspace, Inc. Mr. Margolin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Talkspace’s Chief Technology Officer since April 2014. Prior to Talkspace, Mr. Margolin served as the Director of Product Management at Deutsche Telekom AG, a telecommunications company, from October 2012 to April 2014. Prior to that, Mr. Margolin served as Director of Product Management at SupportSpace, a cloud-based remote services company, from October 2011 to November 2012. Mr. Margolin previously held several roles at Amdocs, a software and services provider to communications and media companies, including as Director of Product Management from October 2009 to November 2011, Architecture Manager from 2007 to 2009, and Engineering Manager from 2004 to 2007. Mr. Margolin holds a B.S. in Computer Science from the University of Tel Aviv.</w:t>
      </w:r>
    </w:p>
    <w:p>
      <w:pPr>
        <w:spacing w:after="0" w:line="18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b w:val="1"/>
          <w:bCs w:val="1"/>
          <w:color w:val="auto"/>
        </w:rPr>
        <w:t xml:space="preserve">John Reilly. </w:t>
      </w:r>
      <w:r>
        <w:rPr>
          <w:rFonts w:ascii="Arial" w:cs="Arial" w:eastAsia="Arial" w:hAnsi="Arial"/>
          <w:sz w:val="17"/>
          <w:szCs w:val="17"/>
          <w:color w:val="auto"/>
        </w:rPr>
        <w:t>Upon the Closing, Mr. Reilly is expected to serve as Talkspace, Inc.’s General Counsel. Mr. Reilly has served as Talkspace’s Corporate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then General Counsel since March 2011. Prior to Talkspace, Mr. Reilly was a partner of Hilltop Holdings from 2004-2011, where he managed hospitality and real estate investments for private portfolio investors and acted as a fractional general counsel to several start-up companies. Mr. Reilly previously served as President of Highland Development Corporation, a real estate development company, from 1999 to 2003 where he partnered to build and operate congregate care campuses. Mr. Reilly also previously held several roles at Kapson Senior Quarters Corp., a publicly traded assisted living company, including as Senior Vice President of Acquisitions and Development from 1998 to 1999, Vice President of Development from 1997 to 1998 and Corporate Counsel from 1996 to 1997. Mr. Reilly started his career as a legal associate at Squire, Sanders &amp; Dempsey in Washington DC. Mr. Reilly holds a J.D. from Boston College Law School and a B.A. from the University of Virginia.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Upon the consummation of the business combination, HEC anticipates the initial size of Talkspace, Inc.’s board of directors being nine directors, each of whom will be voted upon by HEC’s shareholders at the special meeting.</w:t>
      </w:r>
    </w:p>
    <w:p>
      <w:pPr>
        <w:spacing w:after="0" w:line="5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b w:val="1"/>
          <w:bCs w:val="1"/>
          <w:color w:val="auto"/>
        </w:rPr>
        <w:t xml:space="preserve">Douglas L. Braunstein. </w:t>
      </w:r>
      <w:r>
        <w:rPr>
          <w:rFonts w:ascii="Arial" w:cs="Arial" w:eastAsia="Arial" w:hAnsi="Arial"/>
          <w:sz w:val="17"/>
          <w:szCs w:val="17"/>
          <w:color w:val="auto"/>
        </w:rPr>
        <w:t>Upon the Closing, Mr. Braunstein is expected to serve as Chairman of the Talkspace, Inc. board of directors. Mr. Braunstein is</w:t>
      </w:r>
      <w:r>
        <w:rPr>
          <w:rFonts w:ascii="Arial" w:cs="Arial" w:eastAsia="Arial" w:hAnsi="Arial"/>
          <w:sz w:val="17"/>
          <w:szCs w:val="17"/>
          <w:b w:val="1"/>
          <w:bCs w:val="1"/>
          <w:color w:val="auto"/>
        </w:rPr>
        <w:t xml:space="preserve"> </w:t>
      </w:r>
      <w:r>
        <w:rPr>
          <w:rFonts w:ascii="Arial" w:cs="Arial" w:eastAsia="Arial" w:hAnsi="Arial"/>
          <w:sz w:val="17"/>
          <w:szCs w:val="17"/>
          <w:color w:val="auto"/>
        </w:rPr>
        <w:t>the Founder and a Managing Partner of Hudson Executive Capital.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Investment Banking, as well as serving on the Investment Bank Management Committee for over ten years. We believe that Mr. Braunstein is qualified to serve as a member of our board of directors due to his extensive financial background, including service as chief financial officer, experience as a director and knowledge of the industry.</w:t>
      </w:r>
    </w:p>
    <w:p>
      <w:pPr>
        <w:spacing w:after="0" w:line="18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color w:val="auto"/>
        </w:rPr>
        <w:t xml:space="preserve">Jeffrey Crowe. </w:t>
      </w:r>
      <w:r>
        <w:rPr>
          <w:rFonts w:ascii="Arial" w:cs="Arial" w:eastAsia="Arial" w:hAnsi="Arial"/>
          <w:sz w:val="16"/>
          <w:szCs w:val="16"/>
          <w:color w:val="auto"/>
        </w:rPr>
        <w:t>Upon the Closing, Mr. Crowe is expected to serve as a member of Talkspace, Inc.’s board of directors. Mr. Crowe has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Talkspace’s board of directors since May 2016. Mr. Crowe was CEO-in-residence with Norwest Venture Partners from January 2002 to December 2003, joined the firm as a Venture Partner in January 2004, became a General Partner in January 2005 and has served as Managing Partner of the firm since January 2013. From December 1999 to April 2001, Mr. Crowe served as President, Chief Operating Officer and Director of DoveBid, a privately held business auction firm. From May 1990 to November 1999, Mr. Crowe served as Chief Executive Officer of Edify Corporation (EDFY), a publicly traded enterprise software company. Mr. Crowe currently serves on the boards of several private companies. Mr. Crowe holds an M.B.A. from the Stanford Graduate School of Business and a B.A. in history from Dartmouth College. We believe that Mr. Crowe is qualified to serve as a member of our board of directors due to his extensive experience as an investor, director and officer of a number of technology companies.</w:t>
      </w:r>
    </w:p>
    <w:p>
      <w:pPr>
        <w:spacing w:after="0" w:line="15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color w:val="auto"/>
        </w:rPr>
        <w:t xml:space="preserve">Erez Shachar. </w:t>
      </w:r>
      <w:r>
        <w:rPr>
          <w:rFonts w:ascii="Arial" w:cs="Arial" w:eastAsia="Arial" w:hAnsi="Arial"/>
          <w:sz w:val="17"/>
          <w:szCs w:val="17"/>
          <w:color w:val="auto"/>
        </w:rPr>
        <w:t>Upon the Closing, Mr. Shachar is expected to serve as a member of Talkspace, Inc.’s board of directors. Mr. Shachar has served as a</w:t>
      </w:r>
      <w:r>
        <w:rPr>
          <w:rFonts w:ascii="Arial" w:cs="Arial" w:eastAsia="Arial" w:hAnsi="Arial"/>
          <w:sz w:val="17"/>
          <w:szCs w:val="17"/>
          <w:b w:val="1"/>
          <w:bCs w:val="1"/>
          <w:color w:val="auto"/>
        </w:rPr>
        <w:t xml:space="preserve"> </w:t>
      </w:r>
      <w:r>
        <w:rPr>
          <w:rFonts w:ascii="Arial" w:cs="Arial" w:eastAsia="Arial" w:hAnsi="Arial"/>
          <w:sz w:val="17"/>
          <w:szCs w:val="17"/>
          <w:color w:val="auto"/>
        </w:rPr>
        <w:t>member of Talkspace’s board of directors since August 2017. Mr. Shachar is the co-founder and managing partner of Qumra Capital Management Ltd., a venture capital firm founded in 2014. Since 2004, Mr. Shachar has also served as managing partner of Evergreen Venture Partners Ltd., a venture capital firm, focusing on investment opportunities in technology companies. Mr. Shachar currently serves as a member of the board of directors of several private companies. Mr. Shachar holds a B.Sc from Tel Aviv University in Israel and M.B.A. from the INSEAD Business School. We believe that Mr. Shachar is qualified to serve as a member of our board of directors due to his extensive experience as an investor in many technology, high-growth, companies and his service as a director of several public and private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Curtis Warfield</w:t>
      </w:r>
      <w:r>
        <w:rPr>
          <w:rFonts w:ascii="Arial" w:cs="Arial" w:eastAsia="Arial" w:hAnsi="Arial"/>
          <w:sz w:val="17"/>
          <w:szCs w:val="17"/>
          <w:color w:val="auto"/>
        </w:rPr>
        <w:t>. Upon the Closing, Mr. Warfield is expected to serve as a member of Talkspace, Inc.’s board of directors. Since August 2016,</w:t>
      </w:r>
    </w:p>
    <w:p>
      <w:pPr>
        <w:spacing w:after="0" w:line="3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Mr. Warfield has served as founder, President and Chief Executive Officer of Windham Advisors LLC, a management and strategic advisory firm that offers innovative business solutions for companies in the healthcare, BPO (Business Process Outsourcing) and other industries. Mr. Warfield previously served as part of the senior leadership team of Anthem, Inc., one of the nation’s largest health insurers from August 2017 to November 2019. From 2007 until 2015, Mr. Warfield served as CEO of NPAS, a healthcare services company. Since August 2018, Mr. Warfield has served on the board of directors of Texas Roadhouse, Inc., a restaurant company. Mr. Warfield holds a B.S. from the University of Louisville, Kentucky and is a Certified Public Accountant. We believe that Mr. Warfield is qualified to serve as a member of our board of directors due to his extensive experience as an executive of healthcare companies and his service as a director of a public company.</w:t>
      </w:r>
    </w:p>
    <w:p>
      <w:pPr>
        <w:spacing w:after="0" w:line="1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color w:val="auto"/>
        </w:rPr>
        <w:t>Jacqueline Yeaney</w:t>
      </w:r>
      <w:r>
        <w:rPr>
          <w:rFonts w:ascii="Arial" w:cs="Arial" w:eastAsia="Arial" w:hAnsi="Arial"/>
          <w:sz w:val="17"/>
          <w:szCs w:val="17"/>
          <w:color w:val="auto"/>
        </w:rPr>
        <w:t>. Upon the Closing, Ms. Yeaney is expected to serve as a member of Talkspace, Inc.’s board of directors. Since August 2019, Ms.</w:t>
      </w:r>
      <w:r>
        <w:rPr>
          <w:rFonts w:ascii="Arial" w:cs="Arial" w:eastAsia="Arial" w:hAnsi="Arial"/>
          <w:sz w:val="17"/>
          <w:szCs w:val="17"/>
          <w:b w:val="1"/>
          <w:bCs w:val="1"/>
          <w:color w:val="auto"/>
        </w:rPr>
        <w:t xml:space="preserve"> </w:t>
      </w:r>
      <w:r>
        <w:rPr>
          <w:rFonts w:ascii="Arial" w:cs="Arial" w:eastAsia="Arial" w:hAnsi="Arial"/>
          <w:sz w:val="17"/>
          <w:szCs w:val="17"/>
          <w:color w:val="auto"/>
        </w:rPr>
        <w:t>Yeaney has served as the Executive Vice President of Marketing at Tableau Software, LLC, a self-service analytics platform owned by Salesforce.com, Inc. From January 2017 until April 2019, Ms. Yeaney was the Chief Marketing Officer of Ellucian Inc., a provider of software and services for higher education management, and from May 2011 until December 2016, was the Executive Vice President of Strategy and Marketing of Red Hat, Inc, a provider of open source software solutions now owned by IBM. Ms. Yeaney started her career as an officer in the U.S. Air Force, and then spent several years as a management consultant at the Boston Consulting Group. Ms. Yeaney has served as a board member of Avaya Holdings Corp., a provider of digital communications products, solutions and services, since March 2019. Ms. Yeaney holds a B.S. in electrical engineering from Rensselaer Polytechnic Institute and an M.B.A. from the Massachusetts Institute of Technology. We believe that Ms. Yeaney is qualified to serve as a member of our board of directors due to her extensive experience as an executive of high-growth technology companies, her extensive experience as a management consultant and her experience as a board member of a public company.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color w:val="auto"/>
        </w:rPr>
        <w:t>Charles Berg</w:t>
      </w:r>
      <w:r>
        <w:rPr>
          <w:rFonts w:ascii="Arial" w:cs="Arial" w:eastAsia="Arial" w:hAnsi="Arial"/>
          <w:sz w:val="17"/>
          <w:szCs w:val="17"/>
          <w:color w:val="auto"/>
        </w:rPr>
        <w:t>. Upon the Closing, Mr. Berg is expected to serve as a member of Talkspace, Inc.’s board of directors. Since March 2007, Mr. Berg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 director of DaVita Inc., a publicly listed international dialysis provider, and between 2016 and 2017 he served as the Executive Chair of DaVita Medical Group. Mr. Berg currently sits on the board of directors of CareCentrix, Inc., a care management provider to health plan members who require post-acute or home care services. Mr. Berg currently serves as a member of the Operating Council &amp; Senior Advisory Board of Consonance Capital Partners, a private equity firm, and as a director of Justworks, Inc., a private human resources and payment company. From 2008 to 2013, Mr. Berg served as Executive Chairman of WellCare Health Plans, Inc., a provider of managed care services for government-sponsored healthcare programs. Prior to his role at WellCare Health Plans, Inc., Mr. Berg held various executive positions with Oxford Health Plans, Inc., a health benefit plan provider. He was executive vice president, medical delivery, and subsequently president and CEO when the plan was acquired by UnitedHealth Group. Mr. Berg then became an executive of UnitedHealth Group and was primarily responsible for integrating the Oxford business. Mr. Berg holds a J.D. from Georgetown University Law Center and a B.A. in political science from Macalester College. We believe that Mr. Berg is qualified to serve as a member of our board of directors due to his leadership experience throughout the healthcare industry, and will contribute senior-level experience in building and scaling payer and provider-centric businesses across the country.</w:t>
      </w:r>
    </w:p>
    <w:p>
      <w:pPr>
        <w:spacing w:after="0" w:line="17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b w:val="1"/>
          <w:bCs w:val="1"/>
          <w:color w:val="auto"/>
        </w:rPr>
        <w:t>Madhu Pawar</w:t>
      </w:r>
      <w:r>
        <w:rPr>
          <w:rFonts w:ascii="Arial" w:cs="Arial" w:eastAsia="Arial" w:hAnsi="Arial"/>
          <w:sz w:val="16"/>
          <w:szCs w:val="16"/>
          <w:color w:val="auto"/>
        </w:rPr>
        <w:t>. Upon the Closing, Madhu Pawar is expected to serve as a member of Talkspace, Inc.’s board of directors. Ms. Pawar is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at Google, where she has served since 2018, and is the Adjunct Professor of Analytics in Healthcare at Carnegie Mellon University, where she has served since 2020. At Google, Ms. Pawar manages the sales analytics and solutions organizations that drive the small and medium business (SMB) Adwords business, with a focus on machine learning and user experience. Prior to joining Google, Ms. Pawar worked at McKinsey &amp; Company for 12 years where she was a Partner in the healthcare systems and services practice. She began her career in software development as part of the Mobile Technologies division of Hewlett Packard’s Research &amp; Development Labs in Singapore. Ms. Pawar has previously served on the board of directors of Mensa Singapore and GirlVentures, a not-for-profit organization. Ms. Pawar holds a Master’s degree in Information Systems Management from Carnegie Mellon University and a Bachelor’s degree in Computer Science from Nanyang Technological University, Singapore.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Except for Oren Frank and Roni Frank who are married to one another, and Douglas Braunstein and Samara Braunstein, who are married to one another, there are no family relationships among our directors and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Composition of the Board of Directors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When considering whether directors and director nominees have the experience, qualifications, attributes and skills, taken as a whole, to enable Talkspace, Inc.’s board of directors to satisfy its oversight responsibilities effectively in light of its business and structure, the board of directors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As a result of Talkspace, Inc.’s common stock being listed on Nasdaq following consummation of the business combination, it will be required to comply with the applicable rules of such exchange in determining whether a director is independent. Prior to the completion of this business combination, the parties undertook a review of the independence of the individuals named above and have determined that each of Jeffrey Crowe, Madhu Pawar, Erez Shachar, Curtis Warfield, Charles Berg and Jacqueline Yeaney qualifies as “independent” as defined under the applicable Nasdaq rules.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Talkspace, Inc.’s board of directors will direct the management of its business and affairs, as provided by Delaware law, and will conduct its business through meetings of the board of directors and standing committees. Talkspace, Inc. will have a standing audit committee, compensation committee and nominating and corporate governance committee, each of which will operate under a written charter.</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addition, from time to time, special committees may be established under the direction of the board of directors when the board deems it necessary or advisable to address specific issues. Following the business combination, current copies of Talkspace, Inc.’s committee charters will be posted on its website, www.talkspace.com, as required by applicable SEC and Nasdaq rules. The information on or available through any of such website is not deemed incorporated in this proxy statement/prospectus and does not form part of this proxy statement/prospectus.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Upon the Closing, Talkspace, Inc.’s audit committee will consist of Jeffrey Crowe, Madhu Pawar, Curtis Warfield, and Jacqueline Yeaney, with Curtis Warfield serving as the chair of the committee. Talkspace, Inc.’s board of directors has determined that each of these individuals meets the independence requirements of the Sarbanes-Oxley Act of 2002, as amended, or the Sarbanes-Oxley Act, Rule 10A-3 under the Exchange Act and the applicable listing standards of Nasdaq. Each member of Talkspace, Inc.’s audit committee can read and understand fundamental financial statements in accordance with Nasdaq audit committee requirements. In arriving at this determination, the board has examined each audit committee member’s scope of experience and the nature of their prior and/or current employment.</w:t>
      </w:r>
    </w:p>
    <w:p>
      <w:pPr>
        <w:spacing w:after="0" w:line="17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Talkspace, Inc.’s board of directors has determined that Curtis Warfield qualifies as an audit committee financial expert within the meaning of SEC regulations and meets the financial sophistication requirements of the Nasdaq rules. In making this determination, Talkspace, Inc.’s board has considered Curtis Warfield’s formal education and previous and current experience in financial and accounting roles. Both Talkspace, Inc.’s independent registered public accounting firm and management periodically will meet privately with Talkspace, Inc.’s audit committee.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responsibilities will include, among other things:</w:t>
      </w:r>
    </w:p>
    <w:p>
      <w:pPr>
        <w:spacing w:after="0" w:line="131" w:lineRule="exact"/>
        <w:rPr>
          <w:sz w:val="20"/>
          <w:szCs w:val="20"/>
          <w:color w:val="auto"/>
        </w:rPr>
      </w:pPr>
    </w:p>
    <w:p>
      <w:pPr>
        <w:ind w:left="1080" w:right="30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Talkspace, Inc.’s independent registered public accounting firm;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discussing with Talkspace, Inc.’s independent registered public accounting firm their independence from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reviewing with Talkspace, Inc.’s independent registered public accounting firm the scope and results of their audit;</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pre-approving all audit and permissible non-audit services to be performed by Talkspace, Inc.’s independent registered public accounting firm;</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Talkspace, Inc.’s independent registered public accounting firm the interim and annual financial statements that Talkspace, Inc.’s files with the SEC;</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reviewing and monitoring Talkspace, Inc.’s accounting principles, accounting policies, financial and accounting controls and compliance with legal and regulatory requirements;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Upon the Closing, Talkspace, Inc.’s compensation committee will consist of Charles Berg, Jeffrey Crowe, Erez Shachar and Curtis Warfield, with Erez Shachar serving as the chair of the committee. Charles Berg, Jeffrey Crowe, Erez Shachar and Curtis Warfield are non-employee directors, as defined in Rule 16b-3 promulgated under the Exchange Act. Talkspace, Inc.’s board of directors has determined that each of these individuals is “independent” as defined under the applicable Nasdaq listing standards, including the standards specific to members of a compensation committee. The compensation committee’s responsibilities include, among other things:</w:t>
      </w:r>
    </w:p>
    <w:p>
      <w:pPr>
        <w:spacing w:after="0" w:line="82" w:lineRule="exact"/>
        <w:rPr>
          <w:sz w:val="20"/>
          <w:szCs w:val="20"/>
          <w:color w:val="auto"/>
        </w:rPr>
      </w:pPr>
    </w:p>
    <w:p>
      <w:pPr>
        <w:ind w:left="1080" w:right="12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Talkspace, Inc.’s board of directors regarding the compensation of Talkspace, Inc.’s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making recommendations to Talkspace, Inc.’s board of directors regarding the compensation of Talkspace, Inc.’s directors;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Talkspace, Inc.’s board of directors regarding Talkspace, Inc.’s incentive compensation and equity-based plans and arrangements;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believe that the composition and functioning of Talkspace, Inc.’s compensation committee meets the requirements for independence under the current Nasdaq listing standards.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Upon the Closing, Talkspace, Inc.’s nominating and corporate governance committee will consist of Charles Berg, Erez Shachar and Jacqueline Yeaney, with Jacqueline Yeaney serving as the chair of the committee. Talkspace, Inc.’s board of directors has determined that each of these individuals is “independent” as defined under the applicable listing standards of Nasdaq and SEC rules and regulations.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committee’s responsibilities include, among other things:</w:t>
      </w:r>
    </w:p>
    <w:p>
      <w:pPr>
        <w:spacing w:after="0" w:line="131" w:lineRule="exact"/>
        <w:rPr>
          <w:sz w:val="20"/>
          <w:szCs w:val="20"/>
          <w:color w:val="auto"/>
        </w:rPr>
      </w:pPr>
    </w:p>
    <w:p>
      <w:pPr>
        <w:ind w:left="1080" w:right="76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Talkspace, Inc.’s board of directors, consistent with criteria approved by Talkspace, Inc.’s board of directors;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recommending to Talkspace, Inc.’s board of directors the nominees for election to Talkspace, Inc.’s board of directors at annual meetings of Talkspace, Inc.’s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overseeing an evaluation of Talkspace, Inc.’s board of directors and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developing and recommending to Talkspace, Inc.’s board of directors a set of corporate governance guidelines.</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believe that the composition and functioning of Talkspace, Inc.’s nominating and corporate governance committee meets the requirements for independence under the current Nasdaq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Talkspace, Inc.’s board of directors may from time to time establish other committees.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Talkspace, Inc. will have a code of ethics that applies to all of its executive officers, directors and employees, including its principal executive officer, principal financial officer, principal accounting officer or controller or persons performing similar functions. The code of ethics will be available on Talkspace, Inc.’s website, www.talkspace.com. Talkspace, Inc. intends to make any legally required disclosures regarding amendments to, or waivers of, provisions of its code of ethics on its website rather than by filing a Current Report on Form 8-K.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None of Talkspace, Inc.’s executive officers currently serves, or has served during the last year, as a member of the board of directors or compensation committee of any entity, other than Talkspace, that has one or more executive officers serving as a member of Talkspace, Inc.’s board of directors.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i w:val="1"/>
          <w:iCs w:val="1"/>
          <w:color w:val="auto"/>
        </w:rPr>
        <w:t>Throughout this section, unless otherwise noted, “we,” “us,” “our,” “the Company” and similar terms refer to Groop Internet Platform Inc. (d/b/a “Talkspace”) and its subsidiaries prior to the consummation of the business combination, and to Talkspace, Inc. and its subsidiaries after the business combination.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section discusses the material components of the executive compensation program for the Talkspace executive officers who are named in the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Compensation Table” below. In 2020, the “named executive officers” and their positions with Talkspace were as follows:</w:t>
      </w:r>
    </w:p>
    <w:p>
      <w:pPr>
        <w:spacing w:after="0" w:line="116" w:lineRule="exact"/>
        <w:rPr>
          <w:sz w:val="20"/>
          <w:szCs w:val="20"/>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Oren Frank,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Mark Hirschhorn, President, Chief Financial Officer and Chief Operating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Roni Frank, Head of Clinical Services.</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Following the Closing, Mr. Frank will serve as our Chief Executive Officer, Mr. Hirschhorn will serve as our President, Chief Financial Officer and Chief Operating Officer and Ms. Frank will serve as our Head of Clinical Services.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business combination may differ materially from the currently planned programs summarized in this discussion.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concerning the compensation of the named executive officers for the year ended December 31,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40" w:type="dxa"/>
            <w:vAlign w:val="bottom"/>
            <w:vMerge w:val="restart"/>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Bonus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Option Awards</w:t>
            </w:r>
          </w:p>
        </w:tc>
        <w:tc>
          <w:tcPr>
            <w:tcW w:w="1080" w:type="dxa"/>
            <w:vAlign w:val="bottom"/>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60" w:type="dxa"/>
            <w:vAlign w:val="bottom"/>
          </w:tcPr>
          <w:p>
            <w:pPr>
              <w:jc w:val="right"/>
              <w:ind w:right="77"/>
              <w:spacing w:after="0" w:line="158" w:lineRule="exact"/>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5"/>
                <w:szCs w:val="15"/>
                <w:color w:val="auto"/>
              </w:rPr>
            </w:pPr>
          </w:p>
        </w:tc>
        <w:tc>
          <w:tcPr>
            <w:tcW w:w="92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5"/>
                <w:szCs w:val="15"/>
                <w:color w:val="auto"/>
              </w:rPr>
            </w:pPr>
          </w:p>
        </w:tc>
        <w:tc>
          <w:tcPr>
            <w:tcW w:w="10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5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250,000</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575,000</w:t>
            </w: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4"/>
              </w:rPr>
              <w:t>1,178,586</w:t>
            </w:r>
          </w:p>
        </w:tc>
        <w:tc>
          <w:tcPr>
            <w:tcW w:w="3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w:t>
            </w:r>
          </w:p>
        </w:tc>
        <w:tc>
          <w:tcPr>
            <w:tcW w:w="580" w:type="dxa"/>
            <w:vAlign w:val="bottom"/>
            <w:tcBorders>
              <w:top w:val="single" w:sz="8" w:color="CCEEFF"/>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90"/>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2,014,986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Hirschhorn</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262,500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700,000</w:t>
            </w: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2,036,544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3,001,354</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CFO &amp; COO</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250,000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325,000</w:t>
            </w: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1,178,586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1,765,011</w:t>
            </w: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i w:val="1"/>
                <w:iCs w:val="1"/>
                <w:color w:val="auto"/>
              </w:rPr>
              <w:t>Head of Clinical Services</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71" w:lineRule="auto"/>
        <w:tabs>
          <w:tab w:leader="none" w:pos="5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Amounts reflect (i) $75,000 and $500,000 discretionary bonuses awarded to Mr. Frank, (ii) $200,000 and $500,000 discretionary bonuses awarded to Mr. Hirschhorn, and (iii) $75,000 and $250,000 discretionary bonuses awarded to Ms. Frank, in each case by our board of directors in recognition of 2020 performance and paid in cash in 2020 or 2021 as further described below in “</w:t>
      </w:r>
      <w:r>
        <w:rPr>
          <w:rFonts w:ascii="Arial" w:cs="Arial" w:eastAsia="Arial" w:hAnsi="Arial"/>
          <w:sz w:val="17"/>
          <w:szCs w:val="17"/>
          <w:i w:val="1"/>
          <w:iCs w:val="1"/>
          <w:color w:val="auto"/>
        </w:rPr>
        <w:t>—2020 Bonuses</w:t>
      </w:r>
      <w:r>
        <w:rPr>
          <w:rFonts w:ascii="Arial" w:cs="Arial" w:eastAsia="Arial" w:hAnsi="Arial"/>
          <w:sz w:val="17"/>
          <w:szCs w:val="17"/>
          <w:color w:val="auto"/>
        </w:rPr>
        <w:t>.”</w:t>
      </w:r>
    </w:p>
    <w:p>
      <w:pPr>
        <w:ind w:left="540" w:right="520" w:hanging="424"/>
        <w:spacing w:after="0" w:line="250"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Amount reflects the aggregate grant date fair market value of stock options granted to each named executive officer during the year ended December 31, 2020 computed in accordance with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See Note 2 of the audited consolidated financial statements included elsewhere in this proxy statement/prospectus for a discussion of the relevant assumptions used in calculating this amount.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amount represents $11,400 in 401(k) matching contributions.</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amount represents (a) $1,500 in 401(k) matching contributions and (b) $810 for reimbursement of cell phone expenses from February through July of 2020.</w:t>
      </w:r>
    </w:p>
    <w:p>
      <w:pPr>
        <w:ind w:left="540" w:hanging="424"/>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amount represents (a) $11,400 in 401(k) matching contributions and (b) $25 for life/AD&amp;D insurance premiums.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Salaries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2020, the named executive officers received an annual base salary to compensate them for services rendered to Talkspace. The base salary payable to each named executive officer is intended to provide a fixed component of compensation reflecting the executive’s skill set, experience, role and responsibilities. The annual base salaries for Mr. Frank, Mr. Hirschhorn, and Ms. Frank for 2020 were $250,000, $300,000 and $250,000, respectively, and the actual base salaries earned by our named executive officers for 2020 are set forth above in the Summary Compensation 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Bonuses</w:t>
      </w:r>
    </w:p>
    <w:p>
      <w:pPr>
        <w:spacing w:after="0" w:line="117"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The named executive officers were each awarded two discretionary bonuses by our board of directors in recognition of individual and Company performance in 2020, which bonuses were paid to the named executive officers in 2020 and 2021. The actual discretionary cash bonuses awarded to each named executive officer for 2020 performance are set forth above in the Summary Compensation Table in the column entitled “</w:t>
      </w:r>
      <w:r>
        <w:rPr>
          <w:rFonts w:ascii="Arial" w:cs="Arial" w:eastAsia="Arial" w:hAnsi="Arial"/>
          <w:sz w:val="16"/>
          <w:szCs w:val="16"/>
          <w:i w:val="1"/>
          <w:iCs w:val="1"/>
          <w:color w:val="auto"/>
        </w:rPr>
        <w:t>Bonuses</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currently maintain the 2014 Stock Incentive Plan, or the 2014 Plan, in order to provide our service providers the opportunity to acquire a proprietary interest in our success. We offer stock option awards to our employees, including our named executive officers, pursuant to the 2014 Plan. For additional information about the 2014 Plan, please see the section titled “</w:t>
      </w:r>
      <w:r>
        <w:rPr>
          <w:rFonts w:ascii="Arial" w:cs="Arial" w:eastAsia="Arial" w:hAnsi="Arial"/>
          <w:sz w:val="18"/>
          <w:szCs w:val="18"/>
          <w:i w:val="1"/>
          <w:iCs w:val="1"/>
          <w:color w:val="auto"/>
        </w:rPr>
        <w:t>—Equity Incentive Plan—2014 Stock Incentive Plan</w:t>
      </w:r>
      <w:r>
        <w:rPr>
          <w:rFonts w:ascii="Arial" w:cs="Arial" w:eastAsia="Arial" w:hAnsi="Arial"/>
          <w:sz w:val="18"/>
          <w:szCs w:val="18"/>
          <w:color w:val="auto"/>
        </w:rPr>
        <w:t>” below. As mentioned below, in connection with the completion of the business combination and the adoption of the 2021 Plan (as defined below), no further awards will be granted under the 2014 Plan.</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connection with the business combination, our board of directors intends to adopt, and our stockholders will be asked to approve, the 2021 Incentive Award Plan, referred to below as the 2021 Plan, in order to facilitate the grant of cash and equity incentives to directors, employees (including our named executive officers) and consultants of our company and certain of our affiliates and to enable us to obtain and retain services of these individuals, which is essential to our long-term success. The 2021 Plan will become effective on the date on which it is adopted by our board of directors, subject to approval by our stockholders. For additional information about the 2021 Plan, please see “</w:t>
      </w:r>
      <w:r>
        <w:rPr>
          <w:rFonts w:ascii="Arial" w:cs="Arial" w:eastAsia="Arial" w:hAnsi="Arial"/>
          <w:sz w:val="18"/>
          <w:szCs w:val="18"/>
          <w:i w:val="1"/>
          <w:iCs w:val="1"/>
          <w:color w:val="auto"/>
        </w:rPr>
        <w:t>Proposal No. 4—Incentive Award Plan Proposal</w:t>
      </w:r>
      <w:r>
        <w:rPr>
          <w:rFonts w:ascii="Arial" w:cs="Arial" w:eastAsia="Arial" w:hAnsi="Arial"/>
          <w:sz w:val="18"/>
          <w:szCs w:val="18"/>
          <w:color w:val="auto"/>
        </w:rPr>
        <w:t>” in this proxy statement/prospectus.</w:t>
      </w:r>
    </w:p>
    <w:p>
      <w:pPr>
        <w:spacing w:after="0" w:line="19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addition, we expect to grant certain of our employees, including our named executive officers, equity awards in connection with the business combination. The form and terms of these equity awards have not yet been determined.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Equity Grants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2020, we awarded stock options to each of our named executive officers under the 2014 Plan. The stock options awarded to Mr. Frank and Ms. Frank were granted on August 18, 2020 and vest in 48 equal monthly installments from the vesting commencement date. Mr. Hirschhorn’s stock options were awarded in two separate grants both granted on February 11, 2020. The first grant, or the First Hirschhorn Option, covers 2,281,210 shares, and vests 25% on February 10, 2021, and in 36 equal monthly installments thereafter. The second grant, or the Second Hirschhorn Option, covers 570,300 shares and vests only upon the occurrence of a deemed liquidation event (as defined in the Company’s certificate of incorporation) or an initial public offering in either case resulting in a valuation of the Company exceeding certain thresholds. All options granted to our named executive officers require continued service through the applicable vesting date to vest.</w:t>
      </w:r>
    </w:p>
    <w:p>
      <w:pPr>
        <w:spacing w:after="0" w:line="17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of the stock options held by Mr. Frank and Ms. Frank, which are further described below in “—</w:t>
      </w:r>
      <w:r>
        <w:rPr>
          <w:rFonts w:ascii="Arial" w:cs="Arial" w:eastAsia="Arial" w:hAnsi="Arial"/>
          <w:sz w:val="18"/>
          <w:szCs w:val="18"/>
          <w:i w:val="1"/>
          <w:iCs w:val="1"/>
          <w:color w:val="auto"/>
        </w:rPr>
        <w:t>Outstanding Equity Awards at Fiscal Year-End</w:t>
      </w:r>
      <w:r>
        <w:rPr>
          <w:rFonts w:ascii="Arial" w:cs="Arial" w:eastAsia="Arial" w:hAnsi="Arial"/>
          <w:sz w:val="18"/>
          <w:szCs w:val="18"/>
          <w:color w:val="auto"/>
        </w:rPr>
        <w:t>,” and the First Hirschhorn Option provide for accelerated vesting for 25%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the shares underlying the applicable stock option upon the occurrence of a deemed liquidation event (as defined in the Company’s certificate of incorporation), among other things. The business combination is expected to constitute a deemed liquidation event for such purposes; however, in connection with the business combination, each of the named executive officers has entered into a waiver agreement pursuant to which each named executive officer has waived this acceleration of vesting pursuant to these options. Additionally, in connection with the business combination, Mr. Hirschhorn’s waiver agreement also provides that the Second Hirschhorn Option will vest in full immediately prior to Closing (subject to his continued employment through such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stock options granted to our named executive officers in the 2020 fiscal year.</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50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2020 Options Granted</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45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Mark Hirschhorn</w:t>
            </w:r>
          </w:p>
        </w:tc>
        <w:tc>
          <w:tcPr>
            <w:tcW w:w="5920" w:type="dxa"/>
            <w:vAlign w:val="bottom"/>
            <w:gridSpan w:val="3"/>
          </w:tcPr>
          <w:p>
            <w:pPr>
              <w:jc w:val="right"/>
              <w:ind w:right="60"/>
              <w:spacing w:after="0"/>
              <w:rPr>
                <w:sz w:val="20"/>
                <w:szCs w:val="20"/>
                <w:color w:val="auto"/>
              </w:rPr>
            </w:pPr>
            <w:r>
              <w:rPr>
                <w:rFonts w:ascii="Arial" w:cs="Arial" w:eastAsia="Arial" w:hAnsi="Arial"/>
                <w:sz w:val="18"/>
                <w:szCs w:val="18"/>
                <w:color w:val="auto"/>
              </w:rPr>
              <w:t>2,851,510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Roni Frank</w:t>
            </w:r>
          </w:p>
        </w:tc>
        <w:tc>
          <w:tcPr>
            <w:tcW w:w="5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200,000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Retirement Plans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2020, the named executive officers participated in a 401(k) retirement savings plan maintained by Talkspace. The Internal Revenue Code allows eligible employees to defer a portion of their compensation, within prescribed limits, on a pre-tax basis through contributions to the 401(k) plan. In 2020, contributions made by participants in the 401(k) plan were matched up to a specified percentage of the employee contributions on behalf of the named executive officers. These matching contributions are fully vested as of the date on which the contribution is made. We anticipate that, following the Closing, our named executive officers will continue to participate in this 401(k) plan on the same terms as other full-time employees.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Employee Benefits and Perquisites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In 2020, the named executive officers participated in health and welfare plans maintained by Talkspace, including:</w:t>
      </w:r>
    </w:p>
    <w:p>
      <w:pPr>
        <w:spacing w:after="0" w:line="131" w:lineRule="exact"/>
        <w:rPr>
          <w:sz w:val="20"/>
          <w:szCs w:val="20"/>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short-term and long-term disability insurance and accidental death and dismemberment 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life insurance;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vacation and paid holidays.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 Tax Gross-Ups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 2020, Talkspace did not make gross-up payments to cover the named executive officers’ personal income taxes that may pertain to any of the compensation or perquisites paid or provided by Talkspace.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0980"/>
          </w:cols>
          <w:pgMar w:left="320" w:top="459" w:right="5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2020. Each equity award listed in the following table was granted under the 2014 Plan.</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60"/>
              <w:spacing w:after="0"/>
              <w:rPr>
                <w:sz w:val="20"/>
                <w:szCs w:val="20"/>
                <w:color w:val="auto"/>
              </w:rPr>
            </w:pPr>
            <w:r>
              <w:rPr>
                <w:rFonts w:ascii="Arial" w:cs="Arial" w:eastAsia="Arial" w:hAnsi="Arial"/>
                <w:sz w:val="13"/>
                <w:szCs w:val="13"/>
                <w:b w:val="1"/>
                <w:bCs w:val="1"/>
                <w:color w:val="auto"/>
                <w:w w:val="95"/>
              </w:rPr>
              <w:t>Option Awards</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Number of</w:t>
            </w:r>
          </w:p>
        </w:tc>
        <w:tc>
          <w:tcPr>
            <w:tcW w:w="260" w:type="dxa"/>
            <w:vAlign w:val="bottom"/>
          </w:tcPr>
          <w:p>
            <w:pPr>
              <w:spacing w:after="0"/>
              <w:rPr>
                <w:sz w:val="11"/>
                <w:szCs w:val="11"/>
                <w:color w:val="auto"/>
              </w:rPr>
            </w:pP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26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2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Vesting</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2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Unexercised</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84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Commencement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2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Options (#)</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Exercise Price</w:t>
            </w:r>
          </w:p>
        </w:tc>
        <w:tc>
          <w:tcPr>
            <w:tcW w:w="1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1520" w:type="dxa"/>
            <w:vAlign w:val="bottom"/>
            <w:gridSpan w:val="2"/>
          </w:tcPr>
          <w:p>
            <w:pPr>
              <w:ind w:left="320"/>
              <w:spacing w:after="0" w:line="148" w:lineRule="exact"/>
              <w:rPr>
                <w:sz w:val="20"/>
                <w:szCs w:val="20"/>
                <w:color w:val="auto"/>
              </w:rPr>
            </w:pPr>
            <w:r>
              <w:rPr>
                <w:rFonts w:ascii="Arial" w:cs="Arial" w:eastAsia="Arial" w:hAnsi="Arial"/>
                <w:sz w:val="13"/>
                <w:szCs w:val="13"/>
                <w:b w:val="1"/>
                <w:bCs w:val="1"/>
                <w:color w:val="auto"/>
              </w:rPr>
              <w:t>Grant Date</w:t>
            </w:r>
          </w:p>
        </w:tc>
        <w:tc>
          <w:tcPr>
            <w:tcW w:w="17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9"/>
              </w:rPr>
              <w:t>Date</w:t>
            </w:r>
          </w:p>
        </w:tc>
        <w:tc>
          <w:tcPr>
            <w:tcW w:w="7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Exercisable</w:t>
            </w:r>
          </w:p>
        </w:tc>
        <w:tc>
          <w:tcPr>
            <w:tcW w:w="260" w:type="dxa"/>
            <w:vAlign w:val="bottom"/>
          </w:tcPr>
          <w:p>
            <w:pPr>
              <w:spacing w:after="0"/>
              <w:rPr>
                <w:sz w:val="14"/>
                <w:szCs w:val="14"/>
                <w:color w:val="auto"/>
              </w:rPr>
            </w:pP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Unexercisable</w:t>
            </w:r>
          </w:p>
        </w:tc>
        <w:tc>
          <w:tcPr>
            <w:tcW w:w="52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200"/>
              <w:spacing w:after="0" w:line="148" w:lineRule="exact"/>
              <w:rPr>
                <w:sz w:val="20"/>
                <w:szCs w:val="20"/>
                <w:color w:val="auto"/>
              </w:rPr>
            </w:pPr>
            <w:r>
              <w:rPr>
                <w:rFonts w:ascii="Arial" w:cs="Arial" w:eastAsia="Arial" w:hAnsi="Arial"/>
                <w:sz w:val="13"/>
                <w:szCs w:val="13"/>
                <w:b w:val="1"/>
                <w:bCs w:val="1"/>
                <w:color w:val="auto"/>
                <w:w w:val="88"/>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89"/>
        </w:trPr>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Oren Frank</w:t>
            </w: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15, 2016</w:t>
            </w: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May 1, 2015(1)</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953,607</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15, 2026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September 1, 2016</w:t>
            </w:r>
          </w:p>
        </w:tc>
        <w:tc>
          <w:tcPr>
            <w:tcW w:w="1700" w:type="dxa"/>
            <w:vAlign w:val="bottom"/>
            <w:gridSpan w:val="2"/>
          </w:tcPr>
          <w:p>
            <w:pPr>
              <w:spacing w:after="0"/>
              <w:rPr>
                <w:sz w:val="20"/>
                <w:szCs w:val="20"/>
                <w:color w:val="auto"/>
              </w:rPr>
            </w:pPr>
            <w:r>
              <w:rPr>
                <w:rFonts w:ascii="Arial" w:cs="Arial" w:eastAsia="Arial" w:hAnsi="Arial"/>
                <w:sz w:val="16"/>
                <w:szCs w:val="16"/>
                <w:color w:val="auto"/>
              </w:rPr>
              <w:t>May 31, 2016(1)</w:t>
            </w:r>
          </w:p>
        </w:tc>
        <w:tc>
          <w:tcPr>
            <w:tcW w:w="760" w:type="dxa"/>
            <w:vAlign w:val="bottom"/>
          </w:tcPr>
          <w:p>
            <w:pPr>
              <w:jc w:val="right"/>
              <w:spacing w:after="0"/>
              <w:rPr>
                <w:sz w:val="20"/>
                <w:szCs w:val="20"/>
                <w:color w:val="auto"/>
              </w:rPr>
            </w:pPr>
            <w:r>
              <w:rPr>
                <w:rFonts w:ascii="Arial" w:cs="Arial" w:eastAsia="Arial" w:hAnsi="Arial"/>
                <w:sz w:val="16"/>
                <w:szCs w:val="16"/>
                <w:color w:val="auto"/>
              </w:rPr>
              <w:t>504,180</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0.44</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w w:val="96"/>
              </w:rPr>
              <w:t>September 1, 2026</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17, 2017</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31, 2017(2)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612,905</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122,581</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0.57</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October 17, 2027</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August 5, 2019</w:t>
            </w:r>
          </w:p>
        </w:tc>
        <w:tc>
          <w:tcPr>
            <w:tcW w:w="1700" w:type="dxa"/>
            <w:vAlign w:val="bottom"/>
            <w:gridSpan w:val="2"/>
          </w:tcPr>
          <w:p>
            <w:pPr>
              <w:spacing w:after="0"/>
              <w:rPr>
                <w:sz w:val="20"/>
                <w:szCs w:val="20"/>
                <w:color w:val="auto"/>
              </w:rPr>
            </w:pPr>
            <w:r>
              <w:rPr>
                <w:rFonts w:ascii="Arial" w:cs="Arial" w:eastAsia="Arial" w:hAnsi="Arial"/>
                <w:sz w:val="16"/>
                <w:szCs w:val="16"/>
                <w:color w:val="auto"/>
              </w:rPr>
              <w:t>September 1, 2019(2)</w:t>
            </w:r>
          </w:p>
        </w:tc>
        <w:tc>
          <w:tcPr>
            <w:tcW w:w="760" w:type="dxa"/>
            <w:vAlign w:val="bottom"/>
          </w:tcPr>
          <w:p>
            <w:pPr>
              <w:jc w:val="right"/>
              <w:spacing w:after="0"/>
              <w:rPr>
                <w:sz w:val="20"/>
                <w:szCs w:val="20"/>
                <w:color w:val="auto"/>
              </w:rPr>
            </w:pPr>
            <w:r>
              <w:rPr>
                <w:rFonts w:ascii="Arial" w:cs="Arial" w:eastAsia="Arial" w:hAnsi="Arial"/>
                <w:sz w:val="16"/>
                <w:szCs w:val="16"/>
                <w:color w:val="auto"/>
              </w:rPr>
              <w:t>178,219</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392,084</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August 5, 2029</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18, 2020</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18, 2020(2)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16,666</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183,334</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August 18, 2030</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rPr>
                <w:sz w:val="20"/>
                <w:szCs w:val="20"/>
                <w:color w:val="auto"/>
              </w:rPr>
            </w:pPr>
            <w:r>
              <w:rPr>
                <w:rFonts w:ascii="Arial" w:cs="Arial" w:eastAsia="Arial" w:hAnsi="Arial"/>
                <w:sz w:val="16"/>
                <w:szCs w:val="16"/>
                <w:color w:val="auto"/>
              </w:rPr>
              <w:t>Mark Hirschhorn</w:t>
            </w:r>
          </w:p>
        </w:tc>
        <w:tc>
          <w:tcPr>
            <w:tcW w:w="1520" w:type="dxa"/>
            <w:vAlign w:val="bottom"/>
            <w:gridSpan w:val="2"/>
          </w:tcPr>
          <w:p>
            <w:pPr>
              <w:spacing w:after="0"/>
              <w:rPr>
                <w:sz w:val="20"/>
                <w:szCs w:val="20"/>
                <w:color w:val="auto"/>
              </w:rPr>
            </w:pPr>
            <w:r>
              <w:rPr>
                <w:rFonts w:ascii="Arial" w:cs="Arial" w:eastAsia="Arial" w:hAnsi="Arial"/>
                <w:sz w:val="16"/>
                <w:szCs w:val="16"/>
                <w:color w:val="auto"/>
              </w:rPr>
              <w:t>February 11, 2020</w:t>
            </w:r>
          </w:p>
        </w:tc>
        <w:tc>
          <w:tcPr>
            <w:tcW w:w="1700" w:type="dxa"/>
            <w:vAlign w:val="bottom"/>
            <w:gridSpan w:val="2"/>
          </w:tcPr>
          <w:p>
            <w:pPr>
              <w:spacing w:after="0"/>
              <w:rPr>
                <w:sz w:val="20"/>
                <w:szCs w:val="20"/>
                <w:color w:val="auto"/>
              </w:rPr>
            </w:pPr>
            <w:r>
              <w:rPr>
                <w:rFonts w:ascii="Arial" w:cs="Arial" w:eastAsia="Arial" w:hAnsi="Arial"/>
                <w:sz w:val="16"/>
                <w:szCs w:val="16"/>
                <w:color w:val="auto"/>
              </w:rPr>
              <w:t>February 10, 2020(3)</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2,281,210</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February 11, 2030</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11, 2020</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19, 2020(4)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570,300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February 11, 2030</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rPr>
                <w:sz w:val="20"/>
                <w:szCs w:val="20"/>
                <w:color w:val="auto"/>
              </w:rPr>
            </w:pPr>
            <w:r>
              <w:rPr>
                <w:rFonts w:ascii="Arial" w:cs="Arial" w:eastAsia="Arial" w:hAnsi="Arial"/>
                <w:sz w:val="16"/>
                <w:szCs w:val="16"/>
                <w:color w:val="auto"/>
              </w:rPr>
              <w:t>Roni Frank</w:t>
            </w:r>
          </w:p>
        </w:tc>
        <w:tc>
          <w:tcPr>
            <w:tcW w:w="1520" w:type="dxa"/>
            <w:vAlign w:val="bottom"/>
            <w:gridSpan w:val="2"/>
          </w:tcPr>
          <w:p>
            <w:pPr>
              <w:spacing w:after="0"/>
              <w:rPr>
                <w:sz w:val="20"/>
                <w:szCs w:val="20"/>
                <w:color w:val="auto"/>
              </w:rPr>
            </w:pPr>
            <w:r>
              <w:rPr>
                <w:rFonts w:ascii="Arial" w:cs="Arial" w:eastAsia="Arial" w:hAnsi="Arial"/>
                <w:sz w:val="16"/>
                <w:szCs w:val="16"/>
                <w:color w:val="auto"/>
              </w:rPr>
              <w:t>January 15, 2016</w:t>
            </w:r>
          </w:p>
        </w:tc>
        <w:tc>
          <w:tcPr>
            <w:tcW w:w="1700" w:type="dxa"/>
            <w:vAlign w:val="bottom"/>
            <w:gridSpan w:val="2"/>
          </w:tcPr>
          <w:p>
            <w:pPr>
              <w:spacing w:after="0"/>
              <w:rPr>
                <w:sz w:val="20"/>
                <w:szCs w:val="20"/>
                <w:color w:val="auto"/>
              </w:rPr>
            </w:pPr>
            <w:r>
              <w:rPr>
                <w:rFonts w:ascii="Arial" w:cs="Arial" w:eastAsia="Arial" w:hAnsi="Arial"/>
                <w:sz w:val="16"/>
                <w:szCs w:val="16"/>
                <w:color w:val="auto"/>
              </w:rPr>
              <w:t>May 1, 2015(1)</w:t>
            </w:r>
          </w:p>
        </w:tc>
        <w:tc>
          <w:tcPr>
            <w:tcW w:w="760" w:type="dxa"/>
            <w:vAlign w:val="bottom"/>
          </w:tcPr>
          <w:p>
            <w:pPr>
              <w:jc w:val="right"/>
              <w:spacing w:after="0"/>
              <w:rPr>
                <w:sz w:val="20"/>
                <w:szCs w:val="20"/>
                <w:color w:val="auto"/>
              </w:rPr>
            </w:pPr>
            <w:r>
              <w:rPr>
                <w:rFonts w:ascii="Arial" w:cs="Arial" w:eastAsia="Arial" w:hAnsi="Arial"/>
                <w:sz w:val="16"/>
                <w:szCs w:val="16"/>
                <w:color w:val="auto"/>
              </w:rPr>
              <w:t>953,607</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0.25</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January 15, 2026</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1, 2016</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31, 2016(1)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504,180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0.44</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September 1, 2026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October 17, 2017</w:t>
            </w:r>
          </w:p>
        </w:tc>
        <w:tc>
          <w:tcPr>
            <w:tcW w:w="1700" w:type="dxa"/>
            <w:vAlign w:val="bottom"/>
            <w:gridSpan w:val="2"/>
          </w:tcPr>
          <w:p>
            <w:pPr>
              <w:spacing w:after="0"/>
              <w:rPr>
                <w:sz w:val="20"/>
                <w:szCs w:val="20"/>
                <w:color w:val="auto"/>
              </w:rPr>
            </w:pPr>
            <w:r>
              <w:rPr>
                <w:rFonts w:ascii="Arial" w:cs="Arial" w:eastAsia="Arial" w:hAnsi="Arial"/>
                <w:sz w:val="16"/>
                <w:szCs w:val="16"/>
                <w:color w:val="auto"/>
              </w:rPr>
              <w:t>August 31, 2017(2)</w:t>
            </w:r>
          </w:p>
        </w:tc>
        <w:tc>
          <w:tcPr>
            <w:tcW w:w="760" w:type="dxa"/>
            <w:vAlign w:val="bottom"/>
          </w:tcPr>
          <w:p>
            <w:pPr>
              <w:jc w:val="right"/>
              <w:spacing w:after="0"/>
              <w:rPr>
                <w:sz w:val="20"/>
                <w:szCs w:val="20"/>
                <w:color w:val="auto"/>
              </w:rPr>
            </w:pPr>
            <w:r>
              <w:rPr>
                <w:rFonts w:ascii="Arial" w:cs="Arial" w:eastAsia="Arial" w:hAnsi="Arial"/>
                <w:sz w:val="16"/>
                <w:szCs w:val="16"/>
                <w:color w:val="auto"/>
              </w:rPr>
              <w:t>612,905</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122,581</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0.57</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October 17, 2027</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5, 2019</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1, 2019(2)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178,219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392,084</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August 5, 2029</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August 18, 2020</w:t>
            </w:r>
          </w:p>
        </w:tc>
        <w:tc>
          <w:tcPr>
            <w:tcW w:w="1700" w:type="dxa"/>
            <w:vAlign w:val="bottom"/>
            <w:gridSpan w:val="2"/>
          </w:tcPr>
          <w:p>
            <w:pPr>
              <w:spacing w:after="0"/>
              <w:rPr>
                <w:sz w:val="20"/>
                <w:szCs w:val="20"/>
                <w:color w:val="auto"/>
              </w:rPr>
            </w:pPr>
            <w:r>
              <w:rPr>
                <w:rFonts w:ascii="Arial" w:cs="Arial" w:eastAsia="Arial" w:hAnsi="Arial"/>
                <w:sz w:val="16"/>
                <w:szCs w:val="16"/>
                <w:color w:val="auto"/>
              </w:rPr>
              <w:t>August 18, 2020(2)</w:t>
            </w:r>
          </w:p>
        </w:tc>
        <w:tc>
          <w:tcPr>
            <w:tcW w:w="760" w:type="dxa"/>
            <w:vAlign w:val="bottom"/>
          </w:tcPr>
          <w:p>
            <w:pPr>
              <w:jc w:val="right"/>
              <w:spacing w:after="0"/>
              <w:rPr>
                <w:sz w:val="20"/>
                <w:szCs w:val="20"/>
                <w:color w:val="auto"/>
              </w:rPr>
            </w:pPr>
            <w:r>
              <w:rPr>
                <w:rFonts w:ascii="Arial" w:cs="Arial" w:eastAsia="Arial" w:hAnsi="Arial"/>
                <w:sz w:val="16"/>
                <w:szCs w:val="16"/>
                <w:color w:val="auto"/>
              </w:rPr>
              <w:t>16,666</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183,334</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1.38</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August 18, 2030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This option was fully vested as of December 31, 2020.</w:t>
      </w:r>
    </w:p>
    <w:p>
      <w:pPr>
        <w:spacing w:after="0" w:line="22" w:lineRule="exact"/>
        <w:rPr>
          <w:rFonts w:ascii="Arial" w:cs="Arial" w:eastAsia="Arial" w:hAnsi="Arial"/>
          <w:sz w:val="16"/>
          <w:szCs w:val="16"/>
          <w:color w:val="auto"/>
        </w:rPr>
      </w:pPr>
    </w:p>
    <w:p>
      <w:pPr>
        <w:ind w:left="540" w:right="40" w:hanging="424"/>
        <w:spacing w:after="0" w:line="301" w:lineRule="auto"/>
        <w:tabs>
          <w:tab w:leader="none" w:pos="54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This option vests and becomes exercisable over a four-year period with respect to 1/48th of the shares underlying the option on each monthly anniversary of the vesting commencement date, subject to the executive’s continued service. In addition, 25% of the option will vest and become exercisable upon the executive’s termination without cause, or if the Company completes a deemed liquidation event or an initial public offering of its common stock. The option will also vest and become exercisable in full upon the executive’s termination without cause within 12 months following (i) a deemed liquidation event or (ii) an initial public offering of the Company’s common stock. In connection with the business combination, the Company has entered into a waiver agreement with each of the named executive officers under which each named executive officer waives his or her right to the 25% accelerated vesting upon a deemed liquidation event.</w:t>
      </w:r>
    </w:p>
    <w:p>
      <w:pPr>
        <w:spacing w:after="0" w:line="3" w:lineRule="exact"/>
        <w:rPr>
          <w:rFonts w:ascii="Arial" w:cs="Arial" w:eastAsia="Arial" w:hAnsi="Arial"/>
          <w:sz w:val="14"/>
          <w:szCs w:val="14"/>
          <w:color w:val="auto"/>
        </w:rPr>
      </w:pPr>
    </w:p>
    <w:p>
      <w:pPr>
        <w:ind w:left="540" w:right="20" w:hanging="424"/>
        <w:spacing w:after="0" w:line="281" w:lineRule="auto"/>
        <w:tabs>
          <w:tab w:leader="none" w:pos="54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This option, the First Hirschhorn Option, vests and becomes exercisable over a four-year period with respect to 25% of the shares underlying the option on the first anniversary of the vesting commencement date, and as to 1/36th of the shares underlying the option on each monthly anniversary over the three-year period thereafter, subject to the executive’s continued service. In addition, 25% of the option will vest and become exercisable upon the executive’s termination without cause or if the Company completes a deemed liquidation event or an initial public offering of its common stock. The option will also vest and become exercisable in full upon the executive’s termination without cause within 12 months following (i) a deemed liquidation event or (ii) an initial public offering of the Company’s common stock. In connection with the business combination, the Company has entered into a waiver agreement with Mr. Hirschhorn under which Mr. Hirschhorn waives his right to the 25% accelerated vesting upon a deemed liquidation event.</w:t>
      </w:r>
    </w:p>
    <w:p>
      <w:pPr>
        <w:spacing w:after="0" w:line="3" w:lineRule="exact"/>
        <w:rPr>
          <w:rFonts w:ascii="Arial" w:cs="Arial" w:eastAsia="Arial" w:hAnsi="Arial"/>
          <w:sz w:val="15"/>
          <w:szCs w:val="15"/>
          <w:color w:val="auto"/>
        </w:rPr>
      </w:pPr>
    </w:p>
    <w:p>
      <w:pPr>
        <w:ind w:left="540" w:right="200" w:hanging="424"/>
        <w:spacing w:after="0" w:line="264"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This option, the Second Hirschhorn Option, vests and becomes exercisable only upon (1) a deemed liquidation event at a valuation exceeding a certain value threshold prior to a certain date or (2) an initial public offering of the Company’s common stock at a pre-IPO valuation exceeding a certain valuation threshold prior to a certain date, subject to Mr. Hirschhorn’s continued service through the applicable date. In connection with the business combination, the Company has entered into a waiver agreement with Mr. Hirschhorn under which the Second Hirschhorn Option will vest in full immediately prior to Closing (subject to his continued employment through such date).</w:t>
      </w:r>
    </w:p>
    <w:p>
      <w:pPr>
        <w:ind w:left="540" w:hanging="424"/>
        <w:spacing w:after="0"/>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Represents the per share exercise price of the common stock of Groop Internet Platform Inc. based on the most recent independent valuation.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Arrangements—Existing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Oren Frank Employment Letter Agreement</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On May 27, 2015, Mr. Frank entered into an employment letter agreement with Talkspace to serve as Chief Executive Officer. Mr. Frank’s employment pursuant to the letter agreement is “at-will” and is terminable by either party for any reason with 30 days’ written notice.</w:t>
      </w:r>
    </w:p>
    <w:p>
      <w:pPr>
        <w:spacing w:after="0" w:line="14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Pursuant to his letter agreement, Mr. Frank’s initial base salary was $150,000 per year and he was eligible to receive an annual bonus to be paid based on the achievement of company and individual performance goals with a target amount of $25,000. In 2020, his base salary was $250,000 and his target annual bonus was $50,000. The letter agreement also provides that Mr. Frank is eligible to participate in the employee benefit plans and programs maintained for the benefit of Talkspace’s regular, full-time salaried employees, including health and dental insurance and a 401(k) plan.</w:t>
      </w:r>
    </w:p>
    <w:p>
      <w:pPr>
        <w:spacing w:after="0" w:line="15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Mr. Frank’s letter agreement does not provide for any severance payments upon his termination of employment (other than the 30 day notice period referenced above).</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Mr. Frank’s letter agreement contains an Invention, Non-Disclosure, Non-Competition and Non-Solicitation Agreement with customary intellectual property assignment provisions, a perpetual confidentiality obligation and 12-month post-employment non-competition and non-solicitation covenants.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 Hirschhorn Employment Letter Agreement</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January 18, 2020, Mr. Hirschhorn entered into an employment letter agreement with Talkspace to serve as the President, Chief Financial Officer, and Chief Operating Officer of Talkspace. Mr. Hirschhorn’s employment pursuant to the letter agreement is “at-will” and is terminable by either party for any reason and with or without notice.</w:t>
      </w:r>
    </w:p>
    <w:p>
      <w:pPr>
        <w:spacing w:after="0" w:line="184"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Pursuant to his letter agreement, Mr. Hirschhorn is entitled to receive a base salary of $300,000 per year and is eligible to receive an annual bonus to be paid based on the achievement of company and individual performance goals with a target amount of $100,000. The letter agreement also provides that Mr. Hirschhorn is eligible to participate in the employee benefit plans and programs maintained for the benefit of Talkspace’s regular, full-time salaried employees.</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Under his letter agreement, if Mr. Hirschhorn’s employment is terminated by Talkspace without “cause” or if he resigns with “good reason”, then Mr. Hirschhorn will be eligible to receive continued payment of his base salary and benefits (not including the continued vesting of any stock options held by Mr. Hirschhorn) for a period of six (6) months from the date of termination.</w:t>
      </w:r>
    </w:p>
    <w:p>
      <w:pPr>
        <w:spacing w:after="0" w:line="184" w:lineRule="exact"/>
        <w:rPr>
          <w:sz w:val="20"/>
          <w:szCs w:val="20"/>
          <w:color w:val="auto"/>
        </w:rPr>
      </w:pPr>
    </w:p>
    <w:p>
      <w:pPr>
        <w:ind w:left="120" w:right="840"/>
        <w:spacing w:after="0" w:line="263" w:lineRule="auto"/>
        <w:rPr>
          <w:sz w:val="20"/>
          <w:szCs w:val="20"/>
          <w:color w:val="auto"/>
        </w:rPr>
      </w:pPr>
      <w:r>
        <w:rPr>
          <w:rFonts w:ascii="Arial" w:cs="Arial" w:eastAsia="Arial" w:hAnsi="Arial"/>
          <w:sz w:val="18"/>
          <w:szCs w:val="18"/>
          <w:color w:val="auto"/>
        </w:rPr>
        <w:t>Mr. Hirschhorn’s letter agreement contains an Invention, Non-Disclosure, Non-Competition and Non-Solicitation Agreement with customary intellectual property assignment provisions, a perpetual confidentiality obligation and 12-month post-employment non-competition and non-solicitation covenants.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Roni Frank Employment Letter Agreement</w:t>
      </w:r>
    </w:p>
    <w:p>
      <w:pPr>
        <w:spacing w:after="0" w:line="117" w:lineRule="exact"/>
        <w:rPr>
          <w:sz w:val="20"/>
          <w:szCs w:val="20"/>
          <w:color w:val="auto"/>
        </w:rPr>
      </w:pPr>
    </w:p>
    <w:p>
      <w:pPr>
        <w:ind w:left="120" w:right="860"/>
        <w:spacing w:after="0" w:line="342" w:lineRule="auto"/>
        <w:rPr>
          <w:sz w:val="20"/>
          <w:szCs w:val="20"/>
          <w:color w:val="auto"/>
        </w:rPr>
      </w:pPr>
      <w:r>
        <w:rPr>
          <w:rFonts w:ascii="Arial" w:cs="Arial" w:eastAsia="Arial" w:hAnsi="Arial"/>
          <w:sz w:val="16"/>
          <w:szCs w:val="16"/>
          <w:color w:val="auto"/>
        </w:rPr>
        <w:t>On May 27, 2015, Ms. Frank entered into an employment letter agreement with Talkspace to serve as Head of Clinical Services. Ms. Frank’s employment pursuant to the letter agreement is “at-will” and is terminable by either party for any reason with 30 days’ written notice.</w:t>
      </w:r>
    </w:p>
    <w:p>
      <w:pPr>
        <w:spacing w:after="0" w:line="12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Pursuant to her letter agreement, Ms. Frank’s initial base salary was $150,000 per year and she was eligible to receive an annual bonus to be paid based on the achievement of company and individual performance goals with a target amount of $25,000. In 2020, her base salary was $250,000 and her target annual bonus was $50,000.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letter agreement also provides that Ms. Frank is eligible to participate in the employee benefit plans and programs maintained for the benefit of Talkspace’s regular, full-time salaried employees, including health and dental insurance and a 401(k) plan.</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Ms. Frank’s letter agreement does not provide for any severance payments upon her termination of employment (other than the 30 day notice period referenced above).</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Ms. Frank’s letter agreement contains an Invention, Non-Disclosure, Non-Competition and Non-Solicitation Agreement with customary intellectual property assignment provisions, a perpetual confidentiality obligation and 12-month post-employment non-competition and non-solicitation covenants.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Incentive Plan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Talkspace currently maintains a bonus program in which each of the named executive officers participates. The named executive officers are eligible to receive bonuses under the bonus program upon Talkspace’s achievement of specified performance objectives and the named executive officer achieving individual goals. Payment of bonuses pursuant to the bonus program, if any, is contingent upon the applicable named executive officer’s continued employment through the applicable payment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Employment Arrangements—Post-Closing Agreements</w:t>
      </w:r>
    </w:p>
    <w:p>
      <w:pPr>
        <w:spacing w:after="0" w:line="12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We expect to adopt an executive severance plan and/or enter into employment agreements with certain of our executive officers, including our named executive officers, in connection with the Closing. The terms of these arrangements have not yet been determined.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summarizes the compensation paid to each of our directors during the year ended December 31, 2020. Each equity award listed in the following table was granted under the 2014 Plan.</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60" w:type="dxa"/>
            <w:vAlign w:val="bottom"/>
            <w:vMerge w:val="restart"/>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Awards ($)</w:t>
            </w:r>
          </w:p>
        </w:tc>
        <w:tc>
          <w:tcPr>
            <w:tcW w:w="300" w:type="dxa"/>
            <w:vAlign w:val="bottom"/>
          </w:tcPr>
          <w:p>
            <w:pPr>
              <w:spacing w:after="0"/>
              <w:rPr>
                <w:sz w:val="12"/>
                <w:szCs w:val="12"/>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760" w:type="dxa"/>
            <w:vAlign w:val="bottom"/>
            <w:vMerge w:val="continue"/>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Seth Feuerstein</w:t>
            </w: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EEFF"/>
          </w:tcPr>
          <w:p>
            <w:pPr>
              <w:spacing w:after="0"/>
              <w:rPr>
                <w:sz w:val="17"/>
                <w:szCs w:val="17"/>
                <w:color w:val="auto"/>
              </w:rPr>
            </w:pPr>
          </w:p>
        </w:tc>
        <w:tc>
          <w:tcPr>
            <w:tcW w:w="1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$589,293(2)</w:t>
            </w:r>
          </w:p>
        </w:tc>
        <w:tc>
          <w:tcPr>
            <w:tcW w:w="30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$589,293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Alex Finkelstein</w:t>
            </w: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Crowe</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Erez Shachar</w:t>
            </w: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Conroy</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360" w:hanging="424"/>
        <w:spacing w:after="0" w:line="287"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Amount reflects the aggregate grant date fair market value of stock options granted to each director during the year ended December 31, 2020 computed in accordance with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See Note 2 of the audited consolidated financial statements included elsewhere in this proxy statement/prospectus for a discussion of the relevant assumptions used in calculating this amount.</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Mr. Feuerstein held outstanding stock options to purchase 898,140 shares as of December 31, 2020.</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business combination, Mr. Feuerstein entered into a waiver agreement pursuant to which Mr. Feuerstein agreed that the business combination would not constitute a deemed liquidation event for the purpose of accelerating the vesting of 25% of his stock options and further pursuant to which Mr. Feuerstein’s stock options were amended to provide for accelerated vesting of 50% of his then-unvested stock options as of immediately prior to any termination of Mr. Feuerstein’s position on the Talkspace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Post-Closing Director Compensation Program</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connection with the business combination, our board of directors expects to adopt a non-employee director compensation program (the “Director Compensation Program”), which will become effective in connection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completion of the business combination. The Director Compensation Program provides for annual retainer fees and long-term equity awards for certain of our non-employee directors, currently expected to include Douglas L. Braunstein, Curtis Warfield, Jacqueline Yeaney, Charles Berg and Madhu Pawar (each, an “Eligible Director”). Jeffrey Crowe and Erez Shachar will each be eligible to receive only cash compensation under the Director Compensation Program. The material terms of the Director Compensation Program are summarized below.</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Director Compensation Program consists of the following components: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Compensation</w:t>
      </w:r>
    </w:p>
    <w:p>
      <w:pPr>
        <w:spacing w:after="0" w:line="131" w:lineRule="exact"/>
        <w:rPr>
          <w:sz w:val="20"/>
          <w:szCs w:val="20"/>
          <w:color w:val="auto"/>
        </w:rPr>
      </w:pPr>
    </w:p>
    <w:p>
      <w:pPr>
        <w:ind w:left="1080" w:hanging="424"/>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Annual Retainer: $40,000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Annual Committee Chair Retainer: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Audit: $20,000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Compensation: $10,000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Annual cash retainers will be paid in quarterly installments in arrears and will be pro-rated for any partial calendar quarter of service.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131" w:lineRule="exact"/>
        <w:rPr>
          <w:sz w:val="20"/>
          <w:szCs w:val="20"/>
          <w:color w:val="auto"/>
        </w:rPr>
      </w:pPr>
    </w:p>
    <w:p>
      <w:pPr>
        <w:ind w:left="1080" w:hanging="424"/>
        <w:spacing w:after="0" w:line="254"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Existing Director Grant: Each Eligible Director who is serving on the board of directors as of the closing of the business combination will automatically be granted (i) on the closing date of the business combination, a stock option award with a value of approximately $320,000 and (ii) upon the effectiveness of the Form S-8 with respect to the Company’s common stock issuable under the 2021 Plan, a RSU award with a value of approximately $80,000, in each case subject to the Eligible Director’s continued service through the applicable grant date (each, an “Existing Director Grant”). Each Existing Director Grant will vest as to 25% of the shares subject to the applicable award on each of the first four anniversaries of the grant date of the applicable award, subject to the Eligible Director’s continued service through the applicable vesting date.</w:t>
      </w:r>
    </w:p>
    <w:p>
      <w:pPr>
        <w:spacing w:after="0" w:line="221" w:lineRule="exact"/>
        <w:rPr>
          <w:rFonts w:ascii="Arial" w:cs="Arial" w:eastAsia="Arial" w:hAnsi="Arial"/>
          <w:sz w:val="18"/>
          <w:szCs w:val="18"/>
          <w:color w:val="auto"/>
        </w:rPr>
      </w:pPr>
    </w:p>
    <w:p>
      <w:pPr>
        <w:ind w:left="1080" w:right="360" w:hanging="424"/>
        <w:spacing w:after="0" w:line="25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Annual Grant: An Eligible Director who is serving on the board of directors as of the date of the annual meeting of the Company’s stockholders each calendar year beginning with calendar year 2022 will be granted, on such annual meeting date, a RSU award with a value of approximately $160,000 (each, an “Annual Grant”). Each Annual Grant will vest in full on the earlier to occur of (A) the first anniversary of the applicable grant date and (B) the date of the next annual meeting following the grant date, subject to such Eligible Director’s continued service through the applicable vesting date.</w:t>
      </w:r>
    </w:p>
    <w:p>
      <w:pPr>
        <w:spacing w:after="0" w:line="214"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Initial Grant: Each Eligible Director who is initially elected or appointed to serve on our board of directors at any time after the closing of the business combination will automatically be granted on such election or appointment date (i) a stock option award with a value of approximately $320,000 and (ii) a RSU award with a value of approximately $80,000 (each, an “Initial Grant”). Each Initial Grant will vest as to 25% of the shares subject to the applicable award on each of the first four anniversaries of the grant date of the applicable award, subject to the Eligible Director’s continued service through the applicable vesting date.</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addition, each Existing Director Grant, Annual Grant and Initial Grant will vest in full upon a change in control of our company (as defined in the 2021 Plan) if the Eligible Director will not become, as of immediately following the change in control, a member of the board of the surviving entity or the ultimate parent of the surviving entity.</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Compensation under our Director Compensation Program will be subject to the annual limits on non-employee director compensation set forth in the 2021 Plan, as described in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maintain the 2014 Stock Incentive Plan (the “2014 Plan”), which was initially adopted on February 28, 2014. The material terms of the 2014 Plan are summarized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2014 Plan is scheduled to expire on February 28, 2024; however, following the effectiveness of the 2021 Plan, the 2014 Plan will terminate and we will not make any further awards under the 2014 Plan. However, any outstanding awards granted under the 2014 Plan will remain outstanding, subject to the terms of the 2014 Plan and applicable award agreement. Shares of our common stock subject to awards granted under the 2014 Plan that expire unexercised or are cancelled, terminated, or forfeited in any manner without issuance of shares thereunder following the effective date of the 2021 Plan, will not become available for issuance under the 2021 Plan.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Administration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employees, officers, outside directors, and consultants are eligible to receive grants of nonqualified stock options, or NSOs, stock appreciation rights, or SARs, restricted stock, restricted stock units, or RSUs, or other stock-based awards that are valued in whole or in part by reference to shares of our common stock. Only our employees may receive grants of incentive stock options, or ISOs. The 2014 Plan is administered by our board of directors. Subject to the provisions of the 2014 Plan, our board of directors has the authority and discretion to take any actions it deems necessary or advisable for the administration of the 2014 Plan.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An aggregate of 20,823,821 shares of our common stock have been authorized for issuance under the 2014 Plan. Each of these shares may be issued as an ISO. The shares offered under the 2014 Plan may be authorized but unissued shares of our common stock or treasury shares. In the event that shares of our common stock previously issued under the 2014 Plan are reacquired by us, such shares are currently added to the number of shares then available for issuance under the 2014 Plan. Additionally, if shares that otherwise would have been issuable under the 2014 Plan are withheld in payment of the purchase price, exercise price, or withholding taxes with respect to an award, such shares are currently added back to the available for issuance under the 2014 Plan. In the event that an outstanding award expires or is cancelled for any reason, the shares allocable to the unexercised or otherwise cancelled portion of such award are currently added back to the shares of our common stock available for issuance under the 2014 Plan.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The 2014 Plan provides for the grant of stock options, including ISOs and NSOs, SARs, restricted stock, RSUs and other stock-based awards. All awards under the 2014 Plan will be set forth in award agreements, which will detail all terms and conditions of the awards, including any applicable vesting and payment terms and post-termination exercise limitations. A brief description of each award type follows:</w:t>
      </w:r>
    </w:p>
    <w:p>
      <w:pPr>
        <w:spacing w:after="0" w:line="71" w:lineRule="exact"/>
        <w:rPr>
          <w:sz w:val="20"/>
          <w:szCs w:val="20"/>
          <w:color w:val="auto"/>
        </w:rPr>
      </w:pPr>
    </w:p>
    <w:p>
      <w:pPr>
        <w:ind w:left="1080" w:right="60" w:hanging="424"/>
        <w:spacing w:after="0" w:line="255"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and SARs. </w:t>
      </w:r>
      <w:r>
        <w:rPr>
          <w:rFonts w:ascii="Arial" w:cs="Arial" w:eastAsia="Arial" w:hAnsi="Arial"/>
          <w:sz w:val="18"/>
          <w:szCs w:val="18"/>
          <w:color w:val="auto"/>
        </w:rPr>
        <w:t>Stock options provide for the purchase of shares of our common stock in the future at an exercise price set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The term of a stock option or SAR may not be longer than ten years.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is an award of nontransferable shares of our common stock that are subject to certain vesting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restrictions.</w:t>
      </w:r>
    </w:p>
    <w:p>
      <w:pPr>
        <w:spacing w:after="0" w:line="75"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RSUs are contractual promises to deliver shares of our common stock in the future, which may also remain forfeitable unless and</w:t>
      </w:r>
      <w:r>
        <w:rPr>
          <w:rFonts w:ascii="Arial" w:cs="Arial" w:eastAsia="Arial" w:hAnsi="Arial"/>
          <w:sz w:val="16"/>
          <w:szCs w:val="16"/>
          <w:i w:val="1"/>
          <w:iCs w:val="1"/>
          <w:color w:val="auto"/>
        </w:rPr>
        <w:t xml:space="preserve"> </w:t>
      </w:r>
      <w:r>
        <w:rPr>
          <w:rFonts w:ascii="Arial" w:cs="Arial" w:eastAsia="Arial" w:hAnsi="Arial"/>
          <w:sz w:val="16"/>
          <w:szCs w:val="16"/>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2014 Plan.</w:t>
      </w:r>
    </w:p>
    <w:p>
      <w:pPr>
        <w:spacing w:after="0" w:line="66" w:lineRule="exact"/>
        <w:rPr>
          <w:rFonts w:ascii="Arial" w:cs="Arial" w:eastAsia="Arial" w:hAnsi="Arial"/>
          <w:sz w:val="16"/>
          <w:szCs w:val="16"/>
          <w:color w:val="auto"/>
        </w:rPr>
      </w:pPr>
    </w:p>
    <w:p>
      <w:pPr>
        <w:ind w:left="1080" w:right="300" w:hanging="424"/>
        <w:spacing w:after="0" w:line="279" w:lineRule="auto"/>
        <w:tabs>
          <w:tab w:leader="none" w:pos="108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Other stock or cash-based awards are awards of cash, fully vested shares of our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the event of certain changes in our capitalization such as a stock split, reverse stock split, stock dividend, recapitalization, spin-off or other similar change in capitalization, the plan administrator will make equitable adjustments to the 2014 Plan and outstanding awards. In the event of a corporate transaction, which includes us being a party to a merger or consolidation, or the sale of substantially all of our assets, our board of directors has discretion to (i) provide that outstanding awards be assumed or substituted by the acquiring entity, (ii) provide that all unexercised awards be terminated immediately prior to the corporate transaction, (iii) provide that all outstanding awards shall become fully vested and exercisable, (iv) provide for cash payments with respect to all outstanding awards equal to the excess of the acquisition price over the exercise price of each award multiplied by the number of shares subject to each award, (v) provide that outstanding awards shall convert into the right to receive liquidation proceeds, if applicable, or (vi) any combination of the foregoing.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may amend, suspend, or terminate the 2014 Plan at any time; however, except in connection with certain changes in our capital structure (as described above), stockholder approval will be required for any amendment that requires the approval of the Company’s stockholders under Section 422 of the Internal Revenue Code or any successor provision with respect to ISOs.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Directors and Executive Officers in the Business Combination</w:t>
      </w:r>
    </w:p>
    <w:p>
      <w:pPr>
        <w:spacing w:after="0" w:line="12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Talkspace’s directors and executive officers have interests in the business combination that are different from, or in addition to, those of HEC’s shareholders generally. These interests include, among other things, the interests listed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Equity-Based Awards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Merger Agreement provides that each Unvested Talkspace Option that is outstanding as of immediately prior to the First Effective Time will be assumed by Talkspace, Inc. and converted into a comparable Unvested HEC Option based upon the Exchange Ratio but otherwise subject to the same terms and conditions as set forth under the award prior to the conversion.</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Merger Agreement provides that each holder of a Vested Talkspace Option will have the ability to elect to receive one of the following forms of consideration: (i) the Assumed Vested Company Option Election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Consideration, (ii) the Optionholder Standard Mixed Election Consideration or (iii) the Optionholder Cash Weighted Mixed Election Consideration, in each case, subject to the election adjustment mechanics set forth in the Merger Agreement and described above. Certain holders of Vested Talkspace Options will be entitled to receive a minimum amount of cash in consideration for his or her Vested Talkspace Options, as described in more detail in the Merger Agreement.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table sets forth, for each of Talkspace’s directors and executive officers, the number of shares of Talkspace common stock subject to vested and unvested Talkspace stock options held by the director or executive officer as of January 15, 2021, the latest practicable date to determine such amounts before the filing of this joint proxy statement/prospectus. Depending on when the closing date occurs, certain stock options shown in the table may vest prior to the closing date.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40" w:type="dxa"/>
            <w:vAlign w:val="bottom"/>
            <w:vMerge w:val="restart"/>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89"/>
        </w:trPr>
        <w:tc>
          <w:tcPr>
            <w:tcW w:w="6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Oren Frank</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2,277,459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686,117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Hirschhorn</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2,851,510</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Roni Frank</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2,277,459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686,117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Margolin</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2,151,052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358,740</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John Reilly</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103,289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85,559</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Seth Feuerstein</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660,009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238,131</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Arrangements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Talkspace has entered into an employment letter agreement with Mr. Hirschhorn that provides him with severance protections. The employment agreement with Mr. Hirschhorn provides that Mr. Hirschhorn will be eligible for severance benefits in certain circumstances following a termination of employment without cause or with good reason.</w:t>
      </w:r>
    </w:p>
    <w:p>
      <w:pPr>
        <w:spacing w:after="0" w:line="18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In connection with the business combination, we expect to adopt an executive severance plan for certain of our executives, including our named executive officers. The terms of this plan have not yet been determined.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connection with the business combination, we expect to enter into new employment agreements with our executive officers. The terms of these agreements have not yet been determined.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the 2014 Plan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executive officers hold equity awards under the 2014 Plan that provide for full vesting acceleration of such awards upon a termination without cause of the executive officer within the 12-month period following the business combination.</w:t>
      </w:r>
    </w:p>
    <w:p>
      <w:pPr>
        <w:spacing w:after="0" w:line="17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connection with the business combination, Mr. Hirschhorn entered into a waiver agreement under which his stock option held by him under the 2014 Plan to purchase 570,300 shares of Talkspace common stock shall become fully vested and exercisable as of immediately prior to the Closing, subject to Mr. Hirschhorn’s continued employment with Talkspace through such date.</w:t>
      </w:r>
    </w:p>
    <w:p>
      <w:pPr>
        <w:spacing w:after="0" w:line="1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Additionally, in connection with the business combination, Mr. Feuerstein, a member of our board of directors, entered into a waiver agreement under which he will receive accelerated vesting of 50% of his then-unvested stock options under the 2014 Plan as of immediately prior to any termination of his position on the Talkspace board of directors.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the 2021 Plan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the business combination, the board of directors of Talkspace, Inc. will adopt the 2021 Plan, subject to approval by Talkspace, Inc.’s shareholders. We expect to grant to certain executive officers, including the named executive officers, equity awards in connection with the Closing. The terms of these awards have not yet been determined.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Merger Agreement requires HEC to continue to provide certain compensation and benefits for at least a period of one year following the Closing, as well as to take certain actions in respect of employee benefits provided to continuing employees of Talkspace, including its named executive officers. For a detailed description of these requirements, please see the section titled “</w:t>
      </w:r>
      <w:r>
        <w:rPr>
          <w:rFonts w:ascii="Arial" w:cs="Arial" w:eastAsia="Arial" w:hAnsi="Arial"/>
          <w:sz w:val="18"/>
          <w:szCs w:val="18"/>
          <w:i w:val="1"/>
          <w:iCs w:val="1"/>
          <w:color w:val="auto"/>
        </w:rPr>
        <w:t>Proposal No. 1—The Business Combination Proposal—Certain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Related to the Business Combination—Conduct of Business of Talkspace</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 Program</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connection with the business combination, the board of directors of Talkspace, Inc. will adopt the Director Compensation Program, which will consist of annual retainer fees and long-term equity awards for our non-employee directors. Under the Director Compensation Program and in connection with the closing of the business combination, it is currently expected that certain non-executive directors will be granted a stock option award with a value of approximately $320,000 and a restricted stock unit award with a value of approximately $80,000.</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w:t>
      </w:r>
    </w:p>
    <w:p>
      <w:pPr>
        <w:spacing w:after="0" w:line="22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following unaudited pro forma condensed combined financial information is provided to aid you in your analysis of the financial aspects of the business combination, the PIPE Investment and the transactions contemplated by the HEC Forward Purchase Agreement.</w:t>
      </w:r>
    </w:p>
    <w:p>
      <w:pPr>
        <w:spacing w:after="0" w:line="146"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following unaudited pro forma condensed combined balance sheet as of March 31, 2021 combines the historical unaudited condensed consolidated balance sheet of HEC as of March 31, 2021 with the historical unaudited condensed consolidated balance sheet of Talkspace as of March 31, 2021, giving effect to the business combination, the PIPE Investment with an aggregate commitment amount of $300.0 million and the transactions contemplated by the HEC Forward Purchase Agreement, as if they had been consummated as of that date.</w:t>
      </w:r>
    </w:p>
    <w:p>
      <w:pPr>
        <w:spacing w:after="0" w:line="17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following unaudited pro forma condensed combined statement of operations for the three months ended March 31, 2021 and for the year ended December 31, 2020 combine the historical condensed consolidated statement of operations of HEC and the historical consolidated statement of operations of Talkspace for such periods on a pro forma basis as if the business combination, the PIPE Investment and the transactions contemplated by the HEC Forward Purchase Agreement had been consummated on January 1, 2020, the beginning of the earliest period presented.</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historical financial statements have been adjusted in the unaudited pro forma condensed combined financial statements to give pro forma effect to events that are: (i) directly attributable to the business combination, the PIPE Investment and the transactions contemplated by the HEC Forward Purchase Agreement, (ii) factually supportable, and (iii) with respect to the statements of operations, expected to have a continuing impact on the results of operations of the combined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statements have been developed from and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 historical audited financial statements of HEC as of December 31, 2020 (As Restated) and for the period from February 6, 2020 (inception) through December 31, 2020 (As Restated) and (ii) historical unaudited condensed consolidated financial statements of HEC as of and for the three months ended March 31, 2021 and, in each case, the related notes included elsewhere in this proxy statement/prospectus;</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 historical audited consolidated financial statements of Talkspace as of and for the year ended December 31, 2020 and (ii) historical unaudited condensed consolidated financial statements of Talkspace as of and for the three months ended March 31, 2021 and, in each case, the related notes included elsewhere in this proxy statement/prospectus; and</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sections entitled “</w:t>
      </w:r>
      <w:r>
        <w:rPr>
          <w:rFonts w:ascii="Arial" w:cs="Arial" w:eastAsia="Arial" w:hAnsi="Arial"/>
          <w:sz w:val="18"/>
          <w:szCs w:val="18"/>
          <w:i w:val="1"/>
          <w:iCs w:val="1"/>
          <w:color w:val="auto"/>
        </w:rPr>
        <w:t>HEC’s Management’s Discussion and 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Talkspace’s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w:t>
      </w:r>
      <w:r>
        <w:rPr>
          <w:rFonts w:ascii="Arial" w:cs="Arial" w:eastAsia="Arial" w:hAnsi="Arial"/>
          <w:sz w:val="18"/>
          <w:szCs w:val="18"/>
          <w:color w:val="auto"/>
        </w:rPr>
        <w:t>” and other financial information relating to HEC</w:t>
      </w:r>
      <w:r>
        <w:rPr>
          <w:rFonts w:ascii="Arial" w:cs="Arial" w:eastAsia="Arial" w:hAnsi="Arial"/>
          <w:sz w:val="18"/>
          <w:szCs w:val="18"/>
          <w:i w:val="1"/>
          <w:iCs w:val="1"/>
          <w:color w:val="auto"/>
        </w:rPr>
        <w:t xml:space="preserve"> </w:t>
      </w:r>
      <w:r>
        <w:rPr>
          <w:rFonts w:ascii="Arial" w:cs="Arial" w:eastAsia="Arial" w:hAnsi="Arial"/>
          <w:sz w:val="18"/>
          <w:szCs w:val="18"/>
          <w:color w:val="auto"/>
        </w:rPr>
        <w:t>and Talkspace contained in this proxy statement/prospectus.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080"/>
          </w:cols>
          <w:pgMar w:left="320" w:top="459"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92"/>
              </w:rPr>
              <w:t>As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5"/>
              </w:rPr>
              <w:t>Scenario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5"/>
              </w:rPr>
              <w:t>Scenario 2</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tcPr>
          <w:p>
            <w:pPr>
              <w:ind w:left="280"/>
              <w:spacing w:after="0" w:line="135"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1"/>
                <w:szCs w:val="11"/>
                <w:color w:val="auto"/>
              </w:rPr>
            </w:pPr>
          </w:p>
        </w:tc>
        <w:tc>
          <w:tcPr>
            <w:tcW w:w="1340" w:type="dxa"/>
            <w:vAlign w:val="bottom"/>
            <w:gridSpan w:val="7"/>
          </w:tcPr>
          <w:p>
            <w:pPr>
              <w:jc w:val="center"/>
              <w:ind w:left="349"/>
              <w:spacing w:after="0" w:line="135" w:lineRule="exact"/>
              <w:rPr>
                <w:sz w:val="20"/>
                <w:szCs w:val="20"/>
                <w:color w:val="auto"/>
              </w:rPr>
            </w:pPr>
            <w:r>
              <w:rPr>
                <w:rFonts w:ascii="Arial" w:cs="Arial" w:eastAsia="Arial" w:hAnsi="Arial"/>
                <w:sz w:val="13"/>
                <w:szCs w:val="13"/>
                <w:b w:val="1"/>
                <w:bCs w:val="1"/>
                <w:color w:val="auto"/>
                <w:w w:val="85"/>
              </w:rPr>
              <w:t>Assuming No</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9"/>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53"/>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6"/>
              </w:rPr>
              <w:t>2021</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Redemption</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Redemption</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9"/>
                <w:szCs w:val="9"/>
                <w:color w:val="auto"/>
              </w:rPr>
            </w:pPr>
          </w:p>
        </w:tc>
        <w:tc>
          <w:tcPr>
            <w:tcW w:w="460" w:type="dxa"/>
            <w:vAlign w:val="bottom"/>
          </w:tcPr>
          <w:p>
            <w:pPr>
              <w:jc w:val="right"/>
              <w:ind w:right="129"/>
              <w:spacing w:after="0" w:line="110" w:lineRule="exact"/>
              <w:rPr>
                <w:sz w:val="20"/>
                <w:szCs w:val="20"/>
                <w:color w:val="auto"/>
              </w:rPr>
            </w:pPr>
            <w:r>
              <w:rPr>
                <w:rFonts w:ascii="Arial" w:cs="Arial" w:eastAsia="Arial" w:hAnsi="Arial"/>
                <w:sz w:val="12"/>
                <w:szCs w:val="12"/>
                <w:b w:val="1"/>
                <w:bCs w:val="1"/>
                <w:color w:val="auto"/>
              </w:rPr>
              <w:t>(B)</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5"/>
          </w:tcPr>
          <w:p>
            <w:pPr>
              <w:jc w:val="right"/>
              <w:ind w:right="440"/>
              <w:spacing w:after="0" w:line="110" w:lineRule="exact"/>
              <w:rPr>
                <w:sz w:val="20"/>
                <w:szCs w:val="20"/>
                <w:color w:val="auto"/>
              </w:rPr>
            </w:pPr>
            <w:r>
              <w:rPr>
                <w:rFonts w:ascii="Arial" w:cs="Arial" w:eastAsia="Arial" w:hAnsi="Arial"/>
                <w:sz w:val="12"/>
                <w:szCs w:val="12"/>
                <w:b w:val="1"/>
                <w:bCs w:val="1"/>
                <w:color w:val="auto"/>
              </w:rPr>
              <w:t>Pro-Forma</w:t>
            </w:r>
          </w:p>
        </w:tc>
        <w:tc>
          <w:tcPr>
            <w:tcW w:w="20" w:type="dxa"/>
            <w:vAlign w:val="bottom"/>
          </w:tcPr>
          <w:p>
            <w:pPr>
              <w:spacing w:after="0"/>
              <w:rPr>
                <w:sz w:val="9"/>
                <w:szCs w:val="9"/>
                <w:color w:val="auto"/>
              </w:rPr>
            </w:pPr>
          </w:p>
        </w:tc>
        <w:tc>
          <w:tcPr>
            <w:tcW w:w="6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8"/>
              </w:rPr>
              <w:t>Pro-Forma</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9"/>
              <w:spacing w:after="0" w:line="110" w:lineRule="exact"/>
              <w:rPr>
                <w:sz w:val="20"/>
                <w:szCs w:val="20"/>
                <w:color w:val="auto"/>
              </w:rPr>
            </w:pPr>
            <w:r>
              <w:rPr>
                <w:rFonts w:ascii="Arial" w:cs="Arial" w:eastAsia="Arial" w:hAnsi="Arial"/>
                <w:sz w:val="12"/>
                <w:szCs w:val="12"/>
                <w:b w:val="1"/>
                <w:bCs w:val="1"/>
                <w:color w:val="auto"/>
                <w:w w:val="98"/>
              </w:rPr>
              <w:t>Pro-Forma</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Pro-Forma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HEC</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Talkspace</w:t>
            </w:r>
          </w:p>
        </w:tc>
        <w:tc>
          <w:tcPr>
            <w:tcW w:w="100" w:type="dxa"/>
            <w:vAlign w:val="bottom"/>
          </w:tcPr>
          <w:p>
            <w:pPr>
              <w:spacing w:after="0"/>
              <w:rPr>
                <w:sz w:val="13"/>
                <w:szCs w:val="13"/>
                <w:color w:val="auto"/>
              </w:rPr>
            </w:pPr>
          </w:p>
        </w:tc>
        <w:tc>
          <w:tcPr>
            <w:tcW w:w="12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9"/>
              </w:rPr>
              <w:t>Adjustments</w:t>
            </w: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3"/>
                <w:szCs w:val="13"/>
                <w:color w:val="auto"/>
              </w:rPr>
            </w:pPr>
          </w:p>
        </w:tc>
        <w:tc>
          <w:tcPr>
            <w:tcW w:w="840" w:type="dxa"/>
            <w:vAlign w:val="bottom"/>
            <w:gridSpan w:val="4"/>
          </w:tcPr>
          <w:p>
            <w:pPr>
              <w:jc w:val="center"/>
              <w:ind w:left="29"/>
              <w:spacing w:after="0"/>
              <w:rPr>
                <w:sz w:val="20"/>
                <w:szCs w:val="20"/>
                <w:color w:val="auto"/>
              </w:rPr>
            </w:pPr>
            <w:r>
              <w:rPr>
                <w:rFonts w:ascii="Arial" w:cs="Arial" w:eastAsia="Arial" w:hAnsi="Arial"/>
                <w:sz w:val="13"/>
                <w:szCs w:val="13"/>
                <w:b w:val="1"/>
                <w:bCs w:val="1"/>
                <w:color w:val="auto"/>
                <w:w w:val="88"/>
              </w:rPr>
              <w:t>Adjustments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Combined</w:t>
            </w: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388,276</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(6a)</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263,865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(314,000)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(6l)</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263,865</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(19,560)</w:t>
            </w:r>
          </w:p>
        </w:tc>
        <w:tc>
          <w:tcPr>
            <w:tcW w:w="1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w w:val="98"/>
              </w:rPr>
              <w:t>339,000</w:t>
            </w:r>
          </w:p>
        </w:tc>
        <w:tc>
          <w:tcPr>
            <w:tcW w:w="140" w:type="dxa"/>
            <w:vAlign w:val="bottom"/>
          </w:tcPr>
          <w:p>
            <w:pPr>
              <w:spacing w:after="0"/>
              <w:rPr>
                <w:sz w:val="12"/>
                <w:szCs w:val="12"/>
                <w:color w:val="auto"/>
              </w:rPr>
            </w:pPr>
          </w:p>
        </w:tc>
        <w:tc>
          <w:tcPr>
            <w:tcW w:w="4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(6m)</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300,000</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(6c)</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(6f)</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(440,000)</w:t>
            </w:r>
          </w:p>
        </w:tc>
        <w:tc>
          <w:tcPr>
            <w:tcW w:w="1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(6f)</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7,580</w:t>
            </w:r>
          </w:p>
        </w:tc>
        <w:tc>
          <w:tcPr>
            <w:tcW w:w="100" w:type="dxa"/>
            <w:vAlign w:val="bottom"/>
          </w:tcPr>
          <w:p>
            <w:pPr>
              <w:spacing w:after="0"/>
              <w:rPr>
                <w:sz w:val="12"/>
                <w:szCs w:val="12"/>
                <w:color w:val="auto"/>
              </w:rPr>
            </w:pPr>
          </w:p>
        </w:tc>
        <w:tc>
          <w:tcPr>
            <w:tcW w:w="5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7,580</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7,580</w:t>
            </w: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2,766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156"/>
        </w:trPr>
        <w:tc>
          <w:tcPr>
            <w:tcW w:w="5400" w:type="dxa"/>
            <w:vAlign w:val="bottom"/>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528</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20,118</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253,716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274,362</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274,362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Deferred issuance 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3,440</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(3,440)</w:t>
            </w:r>
          </w:p>
        </w:tc>
        <w:tc>
          <w:tcPr>
            <w:tcW w:w="1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(6b)</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77"/>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4,755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4,755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4,755</w:t>
            </w: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6,134</w:t>
            </w:r>
          </w:p>
        </w:tc>
        <w:tc>
          <w:tcPr>
            <w:tcW w:w="100" w:type="dxa"/>
            <w:vAlign w:val="bottom"/>
          </w:tcPr>
          <w:p>
            <w:pPr>
              <w:spacing w:after="0"/>
              <w:rPr>
                <w:sz w:val="12"/>
                <w:szCs w:val="12"/>
                <w:color w:val="auto"/>
              </w:rPr>
            </w:pPr>
          </w:p>
        </w:tc>
        <w:tc>
          <w:tcPr>
            <w:tcW w:w="5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6,134</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6,134</w:t>
            </w: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marketable securities held in trust account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414,276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(388,276)</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(14,490)</w:t>
            </w:r>
          </w:p>
        </w:tc>
        <w:tc>
          <w:tcPr>
            <w:tcW w:w="1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(11,510)</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400" w:type="dxa"/>
            <w:vAlign w:val="bottom"/>
          </w:tcPr>
          <w:p>
            <w:pPr>
              <w:ind w:left="58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414,804</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34,919</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(164,000</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285,723</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285,723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Stockholders’ Equity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16,830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16,830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16,830</w:t>
            </w:r>
          </w:p>
        </w:tc>
        <w:tc>
          <w:tcPr>
            <w:tcW w:w="0" w:type="dxa"/>
            <w:vAlign w:val="bottom"/>
          </w:tcPr>
          <w:p>
            <w:pPr>
              <w:spacing w:after="0"/>
              <w:rPr>
                <w:sz w:val="1"/>
                <w:szCs w:val="1"/>
                <w:color w:val="auto"/>
              </w:rPr>
            </w:pPr>
          </w:p>
        </w:tc>
      </w:tr>
      <w:tr>
        <w:trPr>
          <w:trHeight w:val="148"/>
        </w:trPr>
        <w:tc>
          <w:tcPr>
            <w:tcW w:w="540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8,050</w:t>
            </w:r>
          </w:p>
        </w:tc>
        <w:tc>
          <w:tcPr>
            <w:tcW w:w="100" w:type="dxa"/>
            <w:vAlign w:val="bottom"/>
          </w:tcPr>
          <w:p>
            <w:pPr>
              <w:spacing w:after="0"/>
              <w:rPr>
                <w:sz w:val="12"/>
                <w:szCs w:val="12"/>
                <w:color w:val="auto"/>
              </w:rPr>
            </w:pPr>
          </w:p>
        </w:tc>
        <w:tc>
          <w:tcPr>
            <w:tcW w:w="5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8,050</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8,050</w:t>
            </w: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540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w:t>
            </w:r>
          </w:p>
        </w:tc>
        <w:tc>
          <w:tcPr>
            <w:tcW w:w="1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(6h)</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8,941</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33,831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33,831</w:t>
            </w: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FPA liability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1,650</w:t>
            </w:r>
          </w:p>
        </w:tc>
        <w:tc>
          <w:tcPr>
            <w:tcW w:w="10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w:t>
            </w:r>
          </w:p>
        </w:tc>
        <w:tc>
          <w:tcPr>
            <w:tcW w:w="1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45,126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45,126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45,126</w:t>
            </w: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Deferred underwriting fee payable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14,490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(14,490)</w:t>
            </w:r>
          </w:p>
        </w:tc>
        <w:tc>
          <w:tcPr>
            <w:tcW w:w="1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liabilities</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62,868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32,838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(16,749)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78,957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78,957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4"/>
                <w:szCs w:val="14"/>
                <w:color w:val="auto"/>
                <w:w w:val="93"/>
              </w:rPr>
              <w:t>Talkspace convertible preferred stock (Series Seed, Seed-1, Seed-2, A, B, C and D) of 0.001</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140"/>
              <w:spacing w:after="0" w:line="149" w:lineRule="exact"/>
              <w:rPr>
                <w:sz w:val="20"/>
                <w:szCs w:val="20"/>
                <w:color w:val="auto"/>
              </w:rPr>
            </w:pPr>
            <w:r>
              <w:rPr>
                <w:rFonts w:ascii="Arial" w:cs="Arial" w:eastAsia="Arial" w:hAnsi="Arial"/>
                <w:sz w:val="14"/>
                <w:szCs w:val="14"/>
                <w:color w:val="auto"/>
                <w:w w:val="97"/>
              </w:rPr>
              <w:t>par value – Authorized: 84,389,164 shares at March 31, 2021; Issued and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140"/>
              <w:spacing w:after="0"/>
              <w:rPr>
                <w:sz w:val="20"/>
                <w:szCs w:val="20"/>
                <w:color w:val="auto"/>
              </w:rPr>
            </w:pPr>
            <w:r>
              <w:rPr>
                <w:rFonts w:ascii="Arial" w:cs="Arial" w:eastAsia="Arial" w:hAnsi="Arial"/>
                <w:sz w:val="14"/>
                <w:szCs w:val="14"/>
                <w:color w:val="auto"/>
              </w:rPr>
              <w:t>83,395,815 shares at March 31, 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111,282</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(111,282)</w:t>
            </w:r>
          </w:p>
        </w:tc>
        <w:tc>
          <w:tcPr>
            <w:tcW w:w="1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(6g)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77"/>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HEC’s Class A common stock subject to possible redemption, 34,693,585 shares at $10.00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 redemption value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346,936</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(346,936)</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(6j)</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840" w:type="dxa"/>
            <w:vAlign w:val="bottom"/>
            <w:gridSpan w:val="4"/>
          </w:tcPr>
          <w:p>
            <w:pPr>
              <w:jc w:val="center"/>
              <w:ind w:left="452"/>
              <w:spacing w:after="0"/>
              <w:rPr>
                <w:sz w:val="20"/>
                <w:szCs w:val="20"/>
                <w:color w:val="auto"/>
              </w:rPr>
            </w:pPr>
            <w:r>
              <w:rPr>
                <w:rFonts w:ascii="Arial" w:cs="Arial" w:eastAsia="Arial" w:hAnsi="Arial"/>
                <w:sz w:val="13"/>
                <w:szCs w:val="13"/>
                <w:b w:val="1"/>
                <w:bCs w:val="1"/>
                <w:color w:val="auto"/>
                <w:w w:val="86"/>
              </w:rPr>
              <w:t>As of</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5"/>
              </w:rPr>
              <w:t>Scenario 1</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85"/>
              </w:rPr>
              <w:t>Scenario 2</w:t>
            </w:r>
          </w:p>
        </w:tc>
      </w:tr>
      <w:tr>
        <w:trPr>
          <w:trHeight w:val="135"/>
        </w:trPr>
        <w:tc>
          <w:tcPr>
            <w:tcW w:w="5780" w:type="dxa"/>
            <w:vAlign w:val="bottom"/>
          </w:tcPr>
          <w:p>
            <w:pPr>
              <w:spacing w:after="0"/>
              <w:rPr>
                <w:sz w:val="11"/>
                <w:szCs w:val="11"/>
                <w:color w:val="auto"/>
              </w:rPr>
            </w:pPr>
          </w:p>
        </w:tc>
        <w:tc>
          <w:tcPr>
            <w:tcW w:w="156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March 31,</w:t>
            </w:r>
          </w:p>
        </w:tc>
        <w:tc>
          <w:tcPr>
            <w:tcW w:w="2100" w:type="dxa"/>
            <w:vAlign w:val="bottom"/>
            <w:gridSpan w:val="7"/>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Assuming No</w:t>
            </w:r>
          </w:p>
        </w:tc>
        <w:tc>
          <w:tcPr>
            <w:tcW w:w="15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Assuming Maximum</w:t>
            </w:r>
          </w:p>
        </w:tc>
      </w:tr>
      <w:tr>
        <w:trPr>
          <w:trHeight w:val="153"/>
        </w:trPr>
        <w:tc>
          <w:tcPr>
            <w:tcW w:w="5780" w:type="dxa"/>
            <w:vAlign w:val="bottom"/>
          </w:tcPr>
          <w:p>
            <w:pPr>
              <w:spacing w:after="0"/>
              <w:rPr>
                <w:sz w:val="13"/>
                <w:szCs w:val="13"/>
                <w:color w:val="auto"/>
              </w:rPr>
            </w:pPr>
          </w:p>
        </w:tc>
        <w:tc>
          <w:tcPr>
            <w:tcW w:w="840" w:type="dxa"/>
            <w:vAlign w:val="bottom"/>
            <w:gridSpan w:val="4"/>
          </w:tcPr>
          <w:p>
            <w:pPr>
              <w:jc w:val="center"/>
              <w:ind w:left="432"/>
              <w:spacing w:after="0"/>
              <w:rPr>
                <w:sz w:val="20"/>
                <w:szCs w:val="20"/>
                <w:color w:val="auto"/>
              </w:rPr>
            </w:pPr>
            <w:r>
              <w:rPr>
                <w:rFonts w:ascii="Arial" w:cs="Arial" w:eastAsia="Arial" w:hAnsi="Arial"/>
                <w:sz w:val="13"/>
                <w:szCs w:val="13"/>
                <w:b w:val="1"/>
                <w:bCs w:val="1"/>
                <w:color w:val="auto"/>
                <w:w w:val="89"/>
              </w:rPr>
              <w:t>2021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Redemption</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7"/>
              </w:rPr>
              <w:t>Redemption</w:t>
            </w:r>
          </w:p>
        </w:tc>
      </w:tr>
      <w:tr>
        <w:trPr>
          <w:trHeight w:val="110"/>
        </w:trPr>
        <w:tc>
          <w:tcPr>
            <w:tcW w:w="5780" w:type="dxa"/>
            <w:vAlign w:val="bottom"/>
          </w:tcPr>
          <w:p>
            <w:pPr>
              <w:spacing w:after="0"/>
              <w:rPr>
                <w:sz w:val="9"/>
                <w:szCs w:val="9"/>
                <w:color w:val="auto"/>
              </w:rPr>
            </w:pPr>
          </w:p>
        </w:tc>
        <w:tc>
          <w:tcPr>
            <w:tcW w:w="740" w:type="dxa"/>
            <w:vAlign w:val="bottom"/>
            <w:tcBorders>
              <w:top w:val="single" w:sz="8" w:color="auto"/>
            </w:tcBorders>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rPr>
              <w:t>(A)</w:t>
            </w: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50"/>
              <w:spacing w:after="0" w:line="110" w:lineRule="exact"/>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9"/>
                <w:szCs w:val="9"/>
                <w:color w:val="auto"/>
              </w:rPr>
            </w:pPr>
          </w:p>
        </w:tc>
        <w:tc>
          <w:tcPr>
            <w:tcW w:w="1300" w:type="dxa"/>
            <w:vAlign w:val="bottom"/>
            <w:tcBorders>
              <w:top w:val="single" w:sz="8" w:color="auto"/>
            </w:tcBorders>
            <w:gridSpan w:val="5"/>
          </w:tcPr>
          <w:p>
            <w:pPr>
              <w:jc w:val="right"/>
              <w:ind w:right="460"/>
              <w:spacing w:after="0" w:line="110" w:lineRule="exact"/>
              <w:rPr>
                <w:sz w:val="20"/>
                <w:szCs w:val="20"/>
                <w:color w:val="auto"/>
              </w:rPr>
            </w:pPr>
            <w:r>
              <w:rPr>
                <w:rFonts w:ascii="Arial" w:cs="Arial" w:eastAsia="Arial" w:hAnsi="Arial"/>
                <w:sz w:val="12"/>
                <w:szCs w:val="12"/>
                <w:b w:val="1"/>
                <w:bCs w:val="1"/>
                <w:color w:val="auto"/>
              </w:rPr>
              <w:t>Pro-Forma</w:t>
            </w:r>
          </w:p>
        </w:tc>
        <w:tc>
          <w:tcPr>
            <w:tcW w:w="60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w w:val="95"/>
              </w:rPr>
              <w:t>Pro-Forma</w:t>
            </w:r>
          </w:p>
        </w:tc>
        <w:tc>
          <w:tcPr>
            <w:tcW w:w="200" w:type="dxa"/>
            <w:vAlign w:val="bottom"/>
          </w:tcPr>
          <w:p>
            <w:pPr>
              <w:spacing w:after="0"/>
              <w:rPr>
                <w:sz w:val="9"/>
                <w:szCs w:val="9"/>
                <w:color w:val="auto"/>
              </w:rPr>
            </w:pPr>
          </w:p>
        </w:tc>
        <w:tc>
          <w:tcPr>
            <w:tcW w:w="1480" w:type="dxa"/>
            <w:vAlign w:val="bottom"/>
            <w:tcBorders>
              <w:top w:val="single" w:sz="8" w:color="auto"/>
            </w:tcBorders>
            <w:gridSpan w:val="4"/>
          </w:tcPr>
          <w:p>
            <w:pPr>
              <w:jc w:val="right"/>
              <w:spacing w:after="0" w:line="110" w:lineRule="exact"/>
              <w:rPr>
                <w:sz w:val="20"/>
                <w:szCs w:val="20"/>
                <w:color w:val="auto"/>
              </w:rPr>
            </w:pPr>
            <w:r>
              <w:rPr>
                <w:rFonts w:ascii="Arial" w:cs="Arial" w:eastAsia="Arial" w:hAnsi="Arial"/>
                <w:sz w:val="12"/>
                <w:szCs w:val="12"/>
                <w:b w:val="1"/>
                <w:bCs w:val="1"/>
                <w:color w:val="auto"/>
              </w:rPr>
              <w:t>Pro-Forma   Pro-Forma</w:t>
            </w:r>
          </w:p>
        </w:tc>
        <w:tc>
          <w:tcPr>
            <w:tcW w:w="100" w:type="dxa"/>
            <w:vAlign w:val="bottom"/>
          </w:tcPr>
          <w:p>
            <w:pPr>
              <w:spacing w:after="0"/>
              <w:rPr>
                <w:sz w:val="9"/>
                <w:szCs w:val="9"/>
                <w:color w:val="auto"/>
              </w:rPr>
            </w:pPr>
          </w:p>
        </w:tc>
      </w:tr>
      <w:tr>
        <w:trPr>
          <w:trHeight w:val="153"/>
        </w:trPr>
        <w:tc>
          <w:tcPr>
            <w:tcW w:w="578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HEC</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8"/>
              </w:rPr>
              <w:t>Talkspace</w:t>
            </w:r>
          </w:p>
        </w:tc>
        <w:tc>
          <w:tcPr>
            <w:tcW w:w="130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Adjustments</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Combined</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1"/>
              </w:rPr>
              <w:t>Combined</w:t>
            </w:r>
          </w:p>
        </w:tc>
      </w:tr>
      <w:tr>
        <w:trPr>
          <w:trHeight w:val="142"/>
        </w:trPr>
        <w:tc>
          <w:tcPr>
            <w:tcW w:w="5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Stockholders’ equity (deficit):</w:t>
            </w: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5780" w:type="dxa"/>
            <w:vAlign w:val="bottom"/>
          </w:tcPr>
          <w:p>
            <w:pPr>
              <w:spacing w:after="0" w:line="130" w:lineRule="exact"/>
              <w:rPr>
                <w:sz w:val="20"/>
                <w:szCs w:val="20"/>
                <w:color w:val="auto"/>
              </w:rPr>
            </w:pPr>
            <w:r>
              <w:rPr>
                <w:rFonts w:ascii="Arial" w:cs="Arial" w:eastAsia="Arial" w:hAnsi="Arial"/>
                <w:sz w:val="14"/>
                <w:szCs w:val="14"/>
                <w:color w:val="auto"/>
                <w:w w:val="94"/>
              </w:rPr>
              <w:t>Talkspace common stock of 0.001 par value – Authorized: 114,092,838 shares at March 31, 2021;</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780" w:type="dxa"/>
            <w:vAlign w:val="bottom"/>
          </w:tcPr>
          <w:p>
            <w:pPr>
              <w:ind w:left="140"/>
              <w:spacing w:after="0"/>
              <w:rPr>
                <w:sz w:val="20"/>
                <w:szCs w:val="20"/>
                <w:color w:val="auto"/>
              </w:rPr>
            </w:pPr>
            <w:r>
              <w:rPr>
                <w:rFonts w:ascii="Arial" w:cs="Arial" w:eastAsia="Arial" w:hAnsi="Arial"/>
                <w:sz w:val="14"/>
                <w:szCs w:val="14"/>
                <w:color w:val="auto"/>
              </w:rPr>
              <w:t>Issued and outstanding: 12,430,874 shares at March 31, 2021</w:t>
            </w: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(6k)</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HEC Preferred stock, $0.0001 par value; 1,000,000 shares authorized; none issued or outstanding</w:t>
            </w:r>
          </w:p>
        </w:tc>
        <w:tc>
          <w:tcPr>
            <w:tcW w:w="7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5780" w:type="dxa"/>
            <w:vAlign w:val="bottom"/>
          </w:tcPr>
          <w:p>
            <w:pPr>
              <w:spacing w:after="0" w:line="130" w:lineRule="exact"/>
              <w:rPr>
                <w:sz w:val="20"/>
                <w:szCs w:val="20"/>
                <w:color w:val="auto"/>
              </w:rPr>
            </w:pPr>
            <w:r>
              <w:rPr>
                <w:rFonts w:ascii="Arial" w:cs="Arial" w:eastAsia="Arial" w:hAnsi="Arial"/>
                <w:sz w:val="14"/>
                <w:szCs w:val="14"/>
                <w:color w:val="auto"/>
                <w:w w:val="99"/>
              </w:rPr>
              <w:t>HEC’s Class A common stock, $0.0001 par value; 380,000,000 shares authorized; 6,706,415</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780" w:type="dxa"/>
            <w:vAlign w:val="bottom"/>
          </w:tcPr>
          <w:p>
            <w:pPr>
              <w:ind w:left="140"/>
              <w:spacing w:after="0"/>
              <w:rPr>
                <w:sz w:val="20"/>
                <w:szCs w:val="20"/>
                <w:color w:val="auto"/>
              </w:rPr>
            </w:pPr>
            <w:r>
              <w:rPr>
                <w:rFonts w:ascii="Arial" w:cs="Arial" w:eastAsia="Arial" w:hAnsi="Arial"/>
                <w:sz w:val="14"/>
                <w:szCs w:val="14"/>
                <w:color w:val="auto"/>
                <w:w w:val="97"/>
              </w:rPr>
              <w:t>shares issued and outstanding (excluding 34,693,585 shares subject to possible redemption)</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(6j)</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30"/>
        </w:trPr>
        <w:tc>
          <w:tcPr>
            <w:tcW w:w="5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HEC’s Class B common stock, $0.0001 par value; 20,000,000 shares authorized; 10,350,000</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issued and outstanding</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(6i)</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Talkspace, Inc. common stock, $0.0001</w:t>
            </w:r>
          </w:p>
        </w:tc>
        <w:tc>
          <w:tcPr>
            <w:tcW w:w="7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8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8"/>
        </w:trPr>
        <w:tc>
          <w:tcPr>
            <w:tcW w:w="5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(6i)</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(6j)</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(6c)</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(6k)</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12,313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111,274</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349,236</w:t>
            </w:r>
          </w:p>
        </w:tc>
        <w:tc>
          <w:tcPr>
            <w:tcW w:w="8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349,236</w:t>
            </w:r>
          </w:p>
        </w:tc>
      </w:tr>
      <w:tr>
        <w:trPr>
          <w:trHeight w:val="148"/>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(6h)</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346,934</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(6j)</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(18,915)</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(6b)</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299,997</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(6c)</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(440,000)</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(6m)</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(11,510)</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(6e)</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26,650</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(6f)</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(6k)</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(16,875)</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(121,526)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(4,085)</w:t>
            </w:r>
          </w:p>
        </w:tc>
        <w:tc>
          <w:tcPr>
            <w:tcW w:w="14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(6b)</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(142,486)</w:t>
            </w:r>
          </w:p>
        </w:tc>
        <w:tc>
          <w:tcPr>
            <w:tcW w:w="8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(142,486)</w:t>
            </w:r>
          </w:p>
        </w:tc>
      </w:tr>
      <w:tr>
        <w:trPr>
          <w:trHeight w:val="27"/>
        </w:trPr>
        <w:tc>
          <w:tcPr>
            <w:tcW w:w="5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(deficit)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(109,201)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310,967</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206,766</w:t>
            </w:r>
          </w:p>
        </w:tc>
        <w:tc>
          <w:tcPr>
            <w:tcW w:w="8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206,766</w:t>
            </w:r>
          </w:p>
        </w:tc>
      </w:tr>
      <w:tr>
        <w:trPr>
          <w:trHeight w:val="156"/>
        </w:trPr>
        <w:tc>
          <w:tcPr>
            <w:tcW w:w="5780" w:type="dxa"/>
            <w:vAlign w:val="bottom"/>
          </w:tcPr>
          <w:p>
            <w:pPr>
              <w:spacing w:after="0" w:line="155" w:lineRule="exact"/>
              <w:rPr>
                <w:sz w:val="20"/>
                <w:szCs w:val="20"/>
                <w:color w:val="auto"/>
              </w:rPr>
            </w:pPr>
            <w:r>
              <w:rPr>
                <w:rFonts w:ascii="Arial" w:cs="Arial" w:eastAsia="Arial" w:hAnsi="Arial"/>
                <w:sz w:val="14"/>
                <w:szCs w:val="14"/>
                <w:color w:val="auto"/>
              </w:rPr>
              <w:t>Total liabilities, convertible preferred stock and stockholders’ equity (deficit)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414,804</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34,919</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(164,000</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$ 285,723</w:t>
            </w: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$ 285,723</w:t>
            </w:r>
          </w:p>
        </w:tc>
        <w:tc>
          <w:tcPr>
            <w:tcW w:w="10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left="26"/>
              <w:spacing w:after="0"/>
              <w:rPr>
                <w:sz w:val="20"/>
                <w:szCs w:val="20"/>
                <w:color w:val="auto"/>
              </w:rPr>
            </w:pPr>
            <w:r>
              <w:rPr>
                <w:rFonts w:ascii="Arial" w:cs="Arial" w:eastAsia="Arial" w:hAnsi="Arial"/>
                <w:sz w:val="13"/>
                <w:szCs w:val="13"/>
                <w:b w:val="1"/>
                <w:bCs w:val="1"/>
                <w:color w:val="auto"/>
                <w:w w:val="85"/>
              </w:rPr>
              <w:t>Scenario 1</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4"/>
          </w:tcPr>
          <w:p>
            <w:pPr>
              <w:jc w:val="center"/>
              <w:ind w:right="760"/>
              <w:spacing w:after="0"/>
              <w:rPr>
                <w:sz w:val="20"/>
                <w:szCs w:val="20"/>
                <w:color w:val="auto"/>
              </w:rPr>
            </w:pPr>
            <w:r>
              <w:rPr>
                <w:rFonts w:ascii="Arial" w:cs="Arial" w:eastAsia="Arial" w:hAnsi="Arial"/>
                <w:sz w:val="13"/>
                <w:szCs w:val="13"/>
                <w:b w:val="1"/>
                <w:bCs w:val="1"/>
                <w:color w:val="auto"/>
                <w:w w:val="79"/>
              </w:rPr>
              <w:t>Scenario 2</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7"/>
          </w:tcPr>
          <w:p>
            <w:pPr>
              <w:ind w:left="240"/>
              <w:spacing w:after="0" w:line="135" w:lineRule="exact"/>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left="26"/>
              <w:spacing w:after="0" w:line="135" w:lineRule="exact"/>
              <w:rPr>
                <w:sz w:val="20"/>
                <w:szCs w:val="20"/>
                <w:color w:val="auto"/>
              </w:rPr>
            </w:pPr>
            <w:r>
              <w:rPr>
                <w:rFonts w:ascii="Arial" w:cs="Arial" w:eastAsia="Arial" w:hAnsi="Arial"/>
                <w:sz w:val="13"/>
                <w:szCs w:val="13"/>
                <w:b w:val="1"/>
                <w:bCs w:val="1"/>
                <w:color w:val="auto"/>
                <w:w w:val="85"/>
              </w:rPr>
              <w:t>Assuming No</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5"/>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7"/>
          </w:tcPr>
          <w:p>
            <w:pPr>
              <w:ind w:left="400"/>
              <w:spacing w:after="0"/>
              <w:rPr>
                <w:sz w:val="20"/>
                <w:szCs w:val="20"/>
                <w:color w:val="auto"/>
              </w:rPr>
            </w:pPr>
            <w:r>
              <w:rPr>
                <w:rFonts w:ascii="Arial" w:cs="Arial" w:eastAsia="Arial" w:hAnsi="Arial"/>
                <w:sz w:val="13"/>
                <w:szCs w:val="13"/>
                <w:b w:val="1"/>
                <w:bCs w:val="1"/>
                <w:color w:val="auto"/>
              </w:rPr>
              <w:t>March 31, 2021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left="46"/>
              <w:spacing w:after="0"/>
              <w:rPr>
                <w:sz w:val="20"/>
                <w:szCs w:val="20"/>
                <w:color w:val="auto"/>
              </w:rPr>
            </w:pPr>
            <w:r>
              <w:rPr>
                <w:rFonts w:ascii="Arial" w:cs="Arial" w:eastAsia="Arial" w:hAnsi="Arial"/>
                <w:sz w:val="13"/>
                <w:szCs w:val="13"/>
                <w:b w:val="1"/>
                <w:bCs w:val="1"/>
                <w:color w:val="auto"/>
                <w:w w:val="87"/>
              </w:rPr>
              <w:t>Redemption</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7"/>
              </w:rPr>
              <w:t>Redemption</w:t>
            </w:r>
          </w:p>
        </w:tc>
        <w:tc>
          <w:tcPr>
            <w:tcW w:w="0" w:type="dxa"/>
            <w:vAlign w:val="bottom"/>
          </w:tcPr>
          <w:p>
            <w:pPr>
              <w:spacing w:after="0"/>
              <w:rPr>
                <w:sz w:val="1"/>
                <w:szCs w:val="1"/>
                <w:color w:val="auto"/>
              </w:rPr>
            </w:pPr>
          </w:p>
        </w:tc>
      </w:tr>
      <w:tr>
        <w:trPr>
          <w:trHeight w:val="110"/>
        </w:trPr>
        <w:tc>
          <w:tcPr>
            <w:tcW w:w="4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241"/>
              <w:spacing w:after="0" w:line="110" w:lineRule="exact"/>
              <w:rPr>
                <w:sz w:val="20"/>
                <w:szCs w:val="20"/>
                <w:color w:val="auto"/>
              </w:rPr>
            </w:pPr>
            <w:r>
              <w:rPr>
                <w:rFonts w:ascii="Arial" w:cs="Arial" w:eastAsia="Arial" w:hAnsi="Arial"/>
                <w:sz w:val="12"/>
                <w:szCs w:val="12"/>
                <w:b w:val="1"/>
                <w:bCs w:val="1"/>
                <w:color w:val="auto"/>
              </w:rPr>
              <w:t>(B)</w:t>
            </w: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5"/>
          </w:tcPr>
          <w:p>
            <w:pPr>
              <w:ind w:left="140"/>
              <w:spacing w:after="0" w:line="110" w:lineRule="exact"/>
              <w:rPr>
                <w:sz w:val="20"/>
                <w:szCs w:val="20"/>
                <w:color w:val="auto"/>
              </w:rPr>
            </w:pPr>
            <w:r>
              <w:rPr>
                <w:rFonts w:ascii="Arial" w:cs="Arial" w:eastAsia="Arial" w:hAnsi="Arial"/>
                <w:sz w:val="12"/>
                <w:szCs w:val="12"/>
                <w:b w:val="1"/>
                <w:bCs w:val="1"/>
                <w:color w:val="auto"/>
              </w:rPr>
              <w:t>Pro-Forma</w:t>
            </w:r>
          </w:p>
        </w:tc>
        <w:tc>
          <w:tcPr>
            <w:tcW w:w="760" w:type="dxa"/>
            <w:vAlign w:val="bottom"/>
            <w:tcBorders>
              <w:top w:val="single" w:sz="8" w:color="auto"/>
            </w:tcBorders>
          </w:tcPr>
          <w:p>
            <w:pPr>
              <w:jc w:val="right"/>
              <w:ind w:right="81"/>
              <w:spacing w:after="0" w:line="110" w:lineRule="exact"/>
              <w:rPr>
                <w:sz w:val="20"/>
                <w:szCs w:val="20"/>
                <w:color w:val="auto"/>
              </w:rPr>
            </w:pPr>
            <w:r>
              <w:rPr>
                <w:rFonts w:ascii="Arial" w:cs="Arial" w:eastAsia="Arial" w:hAnsi="Arial"/>
                <w:sz w:val="12"/>
                <w:szCs w:val="12"/>
                <w:b w:val="1"/>
                <w:bCs w:val="1"/>
                <w:color w:val="auto"/>
                <w:w w:val="95"/>
              </w:rPr>
              <w:t>Pro-Forma</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gridSpan w:val="2"/>
          </w:tcPr>
          <w:p>
            <w:pPr>
              <w:ind w:left="40"/>
              <w:spacing w:after="0" w:line="110" w:lineRule="exact"/>
              <w:rPr>
                <w:sz w:val="20"/>
                <w:szCs w:val="20"/>
                <w:color w:val="auto"/>
              </w:rPr>
            </w:pPr>
            <w:r>
              <w:rPr>
                <w:rFonts w:ascii="Arial" w:cs="Arial" w:eastAsia="Arial" w:hAnsi="Arial"/>
                <w:sz w:val="12"/>
                <w:szCs w:val="12"/>
                <w:b w:val="1"/>
                <w:bCs w:val="1"/>
                <w:color w:val="auto"/>
                <w:w w:val="98"/>
              </w:rPr>
              <w:t>Pro-Forma</w:t>
            </w: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61"/>
              <w:spacing w:after="0" w:line="110" w:lineRule="exact"/>
              <w:rPr>
                <w:sz w:val="20"/>
                <w:szCs w:val="20"/>
                <w:color w:val="auto"/>
              </w:rPr>
            </w:pPr>
            <w:r>
              <w:rPr>
                <w:rFonts w:ascii="Arial" w:cs="Arial" w:eastAsia="Arial" w:hAnsi="Arial"/>
                <w:sz w:val="12"/>
                <w:szCs w:val="12"/>
                <w:b w:val="1"/>
                <w:bCs w:val="1"/>
                <w:color w:val="auto"/>
              </w:rPr>
              <w:t>Pro-Forma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(A) HEC</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5"/>
              </w:rPr>
              <w:t>Talkspace</w:t>
            </w:r>
          </w:p>
        </w:tc>
        <w:tc>
          <w:tcPr>
            <w:tcW w:w="80" w:type="dxa"/>
            <w:vAlign w:val="bottom"/>
          </w:tcPr>
          <w:p>
            <w:pPr>
              <w:spacing w:after="0"/>
              <w:rPr>
                <w:sz w:val="13"/>
                <w:szCs w:val="13"/>
                <w:color w:val="auto"/>
              </w:rPr>
            </w:pPr>
          </w:p>
        </w:tc>
        <w:tc>
          <w:tcPr>
            <w:tcW w:w="1380" w:type="dxa"/>
            <w:vAlign w:val="bottom"/>
            <w:gridSpan w:val="5"/>
          </w:tcPr>
          <w:p>
            <w:pPr>
              <w:ind w:left="100"/>
              <w:spacing w:after="0"/>
              <w:rPr>
                <w:sz w:val="20"/>
                <w:szCs w:val="20"/>
                <w:color w:val="auto"/>
              </w:rPr>
            </w:pPr>
            <w:r>
              <w:rPr>
                <w:rFonts w:ascii="Arial" w:cs="Arial" w:eastAsia="Arial" w:hAnsi="Arial"/>
                <w:sz w:val="13"/>
                <w:szCs w:val="13"/>
                <w:b w:val="1"/>
                <w:bCs w:val="1"/>
                <w:color w:val="auto"/>
              </w:rPr>
              <w:t>Adjustments</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8"/>
              </w:rPr>
              <w:t>Combined</w:t>
            </w:r>
          </w:p>
        </w:tc>
        <w:tc>
          <w:tcPr>
            <w:tcW w:w="12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3"/>
                <w:szCs w:val="13"/>
                <w:b w:val="1"/>
                <w:bCs w:val="1"/>
                <w:color w:val="auto"/>
              </w:rPr>
              <w:t>Adjustments</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Combined</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27,157</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6"/>
                <w:szCs w:val="16"/>
                <w:color w:val="auto"/>
              </w:rPr>
              <w:t>Cost of Revenues: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9,814</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2,964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Clinical operations</w:t>
            </w:r>
          </w:p>
        </w:tc>
        <w:tc>
          <w:tcPr>
            <w:tcW w:w="140" w:type="dxa"/>
            <w:vAlign w:val="bottom"/>
          </w:tcPr>
          <w:p>
            <w:pPr>
              <w:spacing w:after="0"/>
              <w:rPr>
                <w:sz w:val="17"/>
                <w:szCs w:val="17"/>
                <w:color w:val="auto"/>
              </w:rPr>
            </w:pPr>
          </w:p>
        </w:tc>
        <w:tc>
          <w:tcPr>
            <w:tcW w:w="840" w:type="dxa"/>
            <w:vAlign w:val="bottom"/>
            <w:gridSpan w:val="3"/>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w w:val="82"/>
              </w:rPr>
              <w:t>728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(728)</w:t>
            </w:r>
          </w:p>
        </w:tc>
        <w:tc>
          <w:tcPr>
            <w:tcW w:w="820" w:type="dxa"/>
            <w:vAlign w:val="bottom"/>
            <w:gridSpan w:val="3"/>
          </w:tcPr>
          <w:p>
            <w:pPr>
              <w:jc w:val="right"/>
              <w:ind w:right="284"/>
              <w:spacing w:after="0"/>
              <w:rPr>
                <w:sz w:val="20"/>
                <w:szCs w:val="20"/>
                <w:color w:val="auto"/>
              </w:rPr>
            </w:pPr>
            <w:r>
              <w:rPr>
                <w:rFonts w:ascii="Arial" w:cs="Arial" w:eastAsia="Arial" w:hAnsi="Arial"/>
                <w:sz w:val="16"/>
                <w:szCs w:val="16"/>
                <w:color w:val="auto"/>
              </w:rPr>
              <w:t>(7a)</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2,608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2"/>
              </w:rPr>
              <w:t>728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29,900</w:t>
            </w: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0"/>
              </w:rPr>
              <w:t>(728)</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(12,557)</w:t>
            </w:r>
          </w:p>
        </w:tc>
        <w:tc>
          <w:tcPr>
            <w:tcW w:w="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w w:val="82"/>
              </w:rPr>
              <w:t>728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(12,557)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(12,557)</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Change in fair value of warrants</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8,467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w w:val="82"/>
              </w:rPr>
              <w:t>165</w:t>
            </w:r>
          </w:p>
        </w:tc>
        <w:tc>
          <w:tcPr>
            <w:tcW w:w="140" w:type="dxa"/>
            <w:vAlign w:val="bottom"/>
          </w:tcPr>
          <w:p>
            <w:pPr>
              <w:spacing w:after="0"/>
              <w:rPr>
                <w:sz w:val="17"/>
                <w:szCs w:val="17"/>
                <w:color w:val="auto"/>
              </w:rPr>
            </w:pPr>
          </w:p>
        </w:tc>
        <w:tc>
          <w:tcPr>
            <w:tcW w:w="820" w:type="dxa"/>
            <w:vAlign w:val="bottom"/>
            <w:gridSpan w:val="3"/>
          </w:tcPr>
          <w:p>
            <w:pPr>
              <w:jc w:val="right"/>
              <w:ind w:right="284"/>
              <w:spacing w:after="0"/>
              <w:rPr>
                <w:sz w:val="20"/>
                <w:szCs w:val="20"/>
                <w:color w:val="auto"/>
              </w:rPr>
            </w:pPr>
            <w:r>
              <w:rPr>
                <w:rFonts w:ascii="Arial" w:cs="Arial" w:eastAsia="Arial" w:hAnsi="Arial"/>
                <w:sz w:val="16"/>
                <w:szCs w:val="16"/>
                <w:color w:val="auto"/>
              </w:rPr>
              <w:t>(7b)</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8,467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FPA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(2,575)</w:t>
            </w:r>
          </w:p>
        </w:tc>
        <w:tc>
          <w:tcPr>
            <w:tcW w:w="820" w:type="dxa"/>
            <w:vAlign w:val="bottom"/>
            <w:gridSpan w:val="3"/>
            <w:shd w:val="clear" w:color="auto" w:fill="CCEEFF"/>
          </w:tcPr>
          <w:p>
            <w:pPr>
              <w:jc w:val="right"/>
              <w:ind w:right="284"/>
              <w:spacing w:after="0"/>
              <w:rPr>
                <w:sz w:val="20"/>
                <w:szCs w:val="20"/>
                <w:color w:val="auto"/>
              </w:rPr>
            </w:pPr>
            <w:r>
              <w:rPr>
                <w:rFonts w:ascii="Arial" w:cs="Arial" w:eastAsia="Arial" w:hAnsi="Arial"/>
                <w:sz w:val="16"/>
                <w:szCs w:val="16"/>
                <w:color w:val="auto"/>
              </w:rPr>
              <w:t>(7c)</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Interest earned on marketable securities held in trust account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(47)</w:t>
            </w:r>
          </w:p>
        </w:tc>
        <w:tc>
          <w:tcPr>
            <w:tcW w:w="820" w:type="dxa"/>
            <w:vAlign w:val="bottom"/>
            <w:gridSpan w:val="3"/>
          </w:tcPr>
          <w:p>
            <w:pPr>
              <w:jc w:val="right"/>
              <w:ind w:right="284"/>
              <w:spacing w:after="0"/>
              <w:rPr>
                <w:sz w:val="20"/>
                <w:szCs w:val="20"/>
                <w:color w:val="auto"/>
              </w:rPr>
            </w:pPr>
            <w:r>
              <w:rPr>
                <w:rFonts w:ascii="Arial" w:cs="Arial" w:eastAsia="Arial" w:hAnsi="Arial"/>
                <w:sz w:val="16"/>
                <w:szCs w:val="16"/>
                <w:color w:val="auto"/>
              </w:rPr>
              <w:t>(7d)</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expenses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Income (loss) before taxes on income</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(12,730)</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(1,729)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10,361</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(12,738)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(1,729)</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(4,106)</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10,361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(12,738)</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(1,729)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280" w:right="420" w:hanging="161"/>
        <w:spacing w:after="0" w:line="272" w:lineRule="auto"/>
        <w:rPr>
          <w:sz w:val="20"/>
          <w:szCs w:val="20"/>
          <w:color w:val="auto"/>
        </w:rPr>
      </w:pPr>
      <w:r>
        <w:rPr>
          <w:rFonts w:ascii="Arial" w:cs="Arial" w:eastAsia="Arial" w:hAnsi="Arial"/>
          <w:sz w:val="16"/>
          <w:szCs w:val="16"/>
          <w:color w:val="auto"/>
        </w:rPr>
        <w:t>Basic and diluted net income per share of HEC’s Class A common stock</w:t>
      </w:r>
    </w:p>
    <w:p>
      <w:pPr>
        <w:spacing w:after="0" w:line="1" w:lineRule="exact"/>
        <w:rPr>
          <w:sz w:val="20"/>
          <w:szCs w:val="20"/>
          <w:color w:val="auto"/>
        </w:rPr>
      </w:pPr>
    </w:p>
    <w:p>
      <w:pPr>
        <w:ind w:left="120" w:right="1240"/>
        <w:spacing w:after="0" w:line="281" w:lineRule="auto"/>
        <w:rPr>
          <w:sz w:val="20"/>
          <w:szCs w:val="20"/>
          <w:color w:val="auto"/>
        </w:rPr>
      </w:pPr>
      <w:r>
        <w:rPr>
          <w:rFonts w:ascii="Arial" w:cs="Arial" w:eastAsia="Arial" w:hAnsi="Arial"/>
          <w:sz w:val="16"/>
          <w:szCs w:val="16"/>
          <w:color w:val="auto"/>
        </w:rPr>
        <w:t>Basic and diluted net loss per common share Net loss per share (1)</w:t>
      </w:r>
    </w:p>
    <w:p>
      <w:pPr>
        <w:spacing w:after="0" w:line="1" w:lineRule="exact"/>
        <w:rPr>
          <w:sz w:val="20"/>
          <w:szCs w:val="20"/>
          <w:color w:val="auto"/>
        </w:rPr>
      </w:pPr>
    </w:p>
    <w:p>
      <w:pPr>
        <w:ind w:left="120"/>
        <w:spacing w:after="0" w:line="296" w:lineRule="auto"/>
        <w:rPr>
          <w:sz w:val="20"/>
          <w:szCs w:val="20"/>
          <w:color w:val="auto"/>
        </w:rPr>
      </w:pPr>
      <w:r>
        <w:rPr>
          <w:rFonts w:ascii="Arial" w:cs="Arial" w:eastAsia="Arial" w:hAnsi="Arial"/>
          <w:sz w:val="15"/>
          <w:szCs w:val="15"/>
          <w:color w:val="auto"/>
        </w:rPr>
        <w:t>Weighted average Class A common stock of HEC Weighted average common shares outstanding of Talkspace Weighted average shares outstanding on a fully diluted exercise</w:t>
      </w:r>
    </w:p>
    <w:p>
      <w:pPr>
        <w:ind w:left="280"/>
        <w:spacing w:after="0"/>
        <w:rPr>
          <w:sz w:val="20"/>
          <w:szCs w:val="20"/>
          <w:color w:val="auto"/>
        </w:rPr>
      </w:pPr>
      <w:r>
        <w:rPr>
          <w:rFonts w:ascii="Arial" w:cs="Arial" w:eastAsia="Arial" w:hAnsi="Arial"/>
          <w:sz w:val="16"/>
          <w:szCs w:val="16"/>
          <w:color w:val="auto"/>
        </w:rPr>
        <w:t>basis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0.27</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1559"/>
              <w:spacing w:after="0"/>
              <w:rPr>
                <w:sz w:val="20"/>
                <w:szCs w:val="20"/>
                <w:color w:val="auto"/>
              </w:rPr>
            </w:pPr>
            <w:r>
              <w:rPr>
                <w:rFonts w:ascii="Arial" w:cs="Arial" w:eastAsia="Arial" w:hAnsi="Arial"/>
                <w:sz w:val="16"/>
                <w:szCs w:val="16"/>
                <w:color w:val="auto"/>
              </w:rPr>
              <w:t>(1.05)</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(0.02)</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8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87"/>
              </w:rPr>
              <w:t>41,400,000</w:t>
            </w: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20" w:type="dxa"/>
            <w:vAlign w:val="bottom"/>
          </w:tcPr>
          <w:p>
            <w:pPr>
              <w:jc w:val="right"/>
              <w:ind w:right="1599"/>
              <w:spacing w:after="0"/>
              <w:rPr>
                <w:sz w:val="20"/>
                <w:szCs w:val="20"/>
                <w:color w:val="auto"/>
              </w:rPr>
            </w:pPr>
            <w:r>
              <w:rPr>
                <w:rFonts w:ascii="Arial" w:cs="Arial" w:eastAsia="Arial" w:hAnsi="Arial"/>
                <w:sz w:val="16"/>
                <w:szCs w:val="16"/>
                <w:color w:val="auto"/>
                <w:w w:val="89"/>
              </w:rPr>
              <w:t>12,134,482</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19"/>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tcPr>
          <w:p>
            <w:pPr>
              <w:jc w:val="right"/>
              <w:ind w:right="219"/>
              <w:spacing w:after="0"/>
              <w:rPr>
                <w:sz w:val="20"/>
                <w:szCs w:val="20"/>
                <w:color w:val="auto"/>
              </w:rPr>
            </w:pPr>
            <w:r>
              <w:rPr>
                <w:rFonts w:ascii="Arial" w:cs="Arial" w:eastAsia="Arial" w:hAnsi="Arial"/>
                <w:sz w:val="16"/>
                <w:szCs w:val="16"/>
                <w:color w:val="auto"/>
              </w:rPr>
              <w:t>(7e)</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w w:val="89"/>
              </w:rPr>
              <w:t>165,045,000</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(7e)</w:t>
            </w:r>
          </w:p>
        </w:tc>
        <w:tc>
          <w:tcPr>
            <w:tcW w:w="880" w:type="dxa"/>
            <w:vAlign w:val="bottom"/>
          </w:tcPr>
          <w:p>
            <w:pPr>
              <w:jc w:val="right"/>
              <w:spacing w:after="0"/>
              <w:rPr>
                <w:sz w:val="20"/>
                <w:szCs w:val="20"/>
                <w:color w:val="auto"/>
              </w:rPr>
            </w:pPr>
            <w:r>
              <w:rPr>
                <w:rFonts w:ascii="Arial" w:cs="Arial" w:eastAsia="Arial" w:hAnsi="Arial"/>
                <w:sz w:val="16"/>
                <w:szCs w:val="16"/>
                <w:color w:val="auto"/>
                <w:w w:val="89"/>
              </w:rPr>
              <w:t>165,045,000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-1075690</wp:posOffset>
            </wp:positionV>
            <wp:extent cx="6995160" cy="2660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26606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-672465</wp:posOffset>
            </wp:positionV>
            <wp:extent cx="699516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-398145</wp:posOffset>
            </wp:positionV>
            <wp:extent cx="699516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260"/>
            <w:col w:w="6640"/>
          </w:cols>
          <w:pgMar w:left="320" w:top="459" w:right="439" w:bottom="1440" w:gutter="0" w:footer="0" w:header="0"/>
          <w:type w:val="continuous"/>
        </w:sectPr>
      </w:pPr>
    </w:p>
    <w:p>
      <w:pPr>
        <w:spacing w:after="0" w:line="39" w:lineRule="exact"/>
        <w:rPr>
          <w:sz w:val="20"/>
          <w:szCs w:val="20"/>
          <w:color w:val="auto"/>
        </w:rPr>
      </w:pPr>
    </w:p>
    <w:p>
      <w:pPr>
        <w:ind w:left="540" w:hanging="424"/>
        <w:spacing w:after="0"/>
        <w:tabs>
          <w:tab w:leader="none" w:pos="54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Calculated based on weighted average shares outstanding on a fully diluted net exercise basis</w:t>
      </w:r>
    </w:p>
    <w:p>
      <w:pPr>
        <w:spacing w:after="0" w:line="185" w:lineRule="exact"/>
        <w:rPr>
          <w:rFonts w:ascii="Arial" w:cs="Arial" w:eastAsia="Arial" w:hAnsi="Arial"/>
          <w:sz w:val="14"/>
          <w:szCs w:val="14"/>
          <w:color w:val="auto"/>
        </w:rPr>
      </w:pPr>
    </w:p>
    <w:p>
      <w:pPr>
        <w:ind w:left="5480"/>
        <w:spacing w:after="0"/>
        <w:rPr>
          <w:rFonts w:ascii="Arial" w:cs="Arial" w:eastAsia="Arial" w:hAnsi="Arial"/>
          <w:sz w:val="14"/>
          <w:szCs w:val="14"/>
          <w:color w:val="auto"/>
        </w:rPr>
      </w:pPr>
      <w:r>
        <w:rPr>
          <w:rFonts w:ascii="Arial" w:cs="Arial" w:eastAsia="Arial" w:hAnsi="Arial"/>
          <w:sz w:val="18"/>
          <w:szCs w:val="18"/>
          <w:color w:val="auto"/>
        </w:rPr>
        <w:t>247</w:t>
      </w:r>
    </w:p>
    <w:p>
      <w:pPr>
        <w:sectPr>
          <w:pgSz w:w="11900" w:h="16838" w:orient="portrait"/>
          <w:cols w:equalWidth="0" w:num="1">
            <w:col w:w="11140"/>
          </w:cols>
          <w:pgMar w:left="320" w:top="459" w:right="439" w:bottom="1440" w:gutter="0" w:footer="0" w:header="0"/>
          <w:type w:val="continuous"/>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For the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Period from</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February 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(inception)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Year Ended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Scenario 1</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6"/>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Scenario 2</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11"/>
                <w:szCs w:val="11"/>
                <w:color w:val="auto"/>
              </w:rPr>
            </w:pPr>
          </w:p>
        </w:tc>
        <w:tc>
          <w:tcPr>
            <w:tcW w:w="110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6"/>
          </w:tcPr>
          <w:p>
            <w:pPr>
              <w:jc w:val="center"/>
              <w:ind w:right="820"/>
              <w:spacing w:after="0" w:line="135" w:lineRule="exact"/>
              <w:rPr>
                <w:sz w:val="20"/>
                <w:szCs w:val="20"/>
                <w:color w:val="auto"/>
              </w:rPr>
            </w:pPr>
            <w:r>
              <w:rPr>
                <w:rFonts w:ascii="Arial" w:cs="Arial" w:eastAsia="Arial" w:hAnsi="Arial"/>
                <w:sz w:val="13"/>
                <w:szCs w:val="13"/>
                <w:b w:val="1"/>
                <w:bCs w:val="1"/>
                <w:color w:val="auto"/>
                <w:w w:val="85"/>
              </w:rPr>
              <w:t>Assuming No</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6"/>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2020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6"/>
          </w:tcPr>
          <w:p>
            <w:pPr>
              <w:jc w:val="center"/>
              <w:ind w:right="800"/>
              <w:spacing w:after="0"/>
              <w:rPr>
                <w:sz w:val="20"/>
                <w:szCs w:val="20"/>
                <w:color w:val="auto"/>
              </w:rPr>
            </w:pPr>
            <w:r>
              <w:rPr>
                <w:rFonts w:ascii="Arial" w:cs="Arial" w:eastAsia="Arial" w:hAnsi="Arial"/>
                <w:sz w:val="13"/>
                <w:szCs w:val="13"/>
                <w:b w:val="1"/>
                <w:bCs w:val="1"/>
                <w:color w:val="auto"/>
                <w:w w:val="87"/>
              </w:rPr>
              <w:t>Redemption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7"/>
              </w:rPr>
              <w:t>Redemption</w:t>
            </w:r>
          </w:p>
        </w:tc>
        <w:tc>
          <w:tcPr>
            <w:tcW w:w="0" w:type="dxa"/>
            <w:vAlign w:val="bottom"/>
          </w:tcPr>
          <w:p>
            <w:pPr>
              <w:spacing w:after="0"/>
              <w:rPr>
                <w:sz w:val="1"/>
                <w:szCs w:val="1"/>
                <w:color w:val="auto"/>
              </w:rPr>
            </w:pPr>
          </w:p>
        </w:tc>
      </w:tr>
      <w:tr>
        <w:trPr>
          <w:trHeight w:val="110"/>
        </w:trPr>
        <w:tc>
          <w:tcPr>
            <w:tcW w:w="4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24"/>
              <w:spacing w:after="0" w:line="110" w:lineRule="exact"/>
              <w:rPr>
                <w:sz w:val="20"/>
                <w:szCs w:val="20"/>
                <w:color w:val="auto"/>
              </w:rPr>
            </w:pPr>
            <w:r>
              <w:rPr>
                <w:rFonts w:ascii="Arial" w:cs="Arial" w:eastAsia="Arial" w:hAnsi="Arial"/>
                <w:sz w:val="12"/>
                <w:szCs w:val="12"/>
                <w:b w:val="1"/>
                <w:bCs w:val="1"/>
                <w:color w:val="auto"/>
              </w:rPr>
              <w:t>(C)</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HEC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9"/>
              </w:rPr>
              <w:t>(D)</w:t>
            </w:r>
          </w:p>
        </w:tc>
        <w:tc>
          <w:tcPr>
            <w:tcW w:w="80" w:type="dxa"/>
            <w:vAlign w:val="bottom"/>
          </w:tcPr>
          <w:p>
            <w:pPr>
              <w:spacing w:after="0"/>
              <w:rPr>
                <w:sz w:val="11"/>
                <w:szCs w:val="11"/>
                <w:color w:val="auto"/>
              </w:rPr>
            </w:pPr>
          </w:p>
        </w:tc>
        <w:tc>
          <w:tcPr>
            <w:tcW w:w="1320" w:type="dxa"/>
            <w:vAlign w:val="bottom"/>
            <w:gridSpan w:val="6"/>
          </w:tcPr>
          <w:p>
            <w:pPr>
              <w:ind w:left="140"/>
              <w:spacing w:after="0" w:line="135" w:lineRule="exact"/>
              <w:rPr>
                <w:sz w:val="20"/>
                <w:szCs w:val="20"/>
                <w:color w:val="auto"/>
              </w:rPr>
            </w:pPr>
            <w:r>
              <w:rPr>
                <w:rFonts w:ascii="Arial" w:cs="Arial" w:eastAsia="Arial" w:hAnsi="Arial"/>
                <w:sz w:val="13"/>
                <w:szCs w:val="13"/>
                <w:b w:val="1"/>
                <w:bCs w:val="1"/>
                <w:color w:val="auto"/>
              </w:rPr>
              <w:t>Pro-Forma</w:t>
            </w:r>
          </w:p>
        </w:tc>
        <w:tc>
          <w:tcPr>
            <w:tcW w:w="9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7"/>
              </w:rPr>
              <w:t>Pro-Forma</w:t>
            </w:r>
          </w:p>
        </w:tc>
        <w:tc>
          <w:tcPr>
            <w:tcW w:w="1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Pro-Forma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Pro-Forma</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(restated)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Talkspace</w:t>
            </w:r>
          </w:p>
        </w:tc>
        <w:tc>
          <w:tcPr>
            <w:tcW w:w="80" w:type="dxa"/>
            <w:vAlign w:val="bottom"/>
          </w:tcPr>
          <w:p>
            <w:pPr>
              <w:spacing w:after="0"/>
              <w:rPr>
                <w:sz w:val="13"/>
                <w:szCs w:val="13"/>
                <w:color w:val="auto"/>
              </w:rPr>
            </w:pPr>
          </w:p>
        </w:tc>
        <w:tc>
          <w:tcPr>
            <w:tcW w:w="1320" w:type="dxa"/>
            <w:vAlign w:val="bottom"/>
            <w:gridSpan w:val="6"/>
          </w:tcPr>
          <w:p>
            <w:pPr>
              <w:ind w:left="100"/>
              <w:spacing w:after="0"/>
              <w:rPr>
                <w:sz w:val="20"/>
                <w:szCs w:val="20"/>
                <w:color w:val="auto"/>
              </w:rPr>
            </w:pPr>
            <w:r>
              <w:rPr>
                <w:rFonts w:ascii="Arial" w:cs="Arial" w:eastAsia="Arial" w:hAnsi="Arial"/>
                <w:sz w:val="13"/>
                <w:szCs w:val="13"/>
                <w:b w:val="1"/>
                <w:bCs w:val="1"/>
                <w:color w:val="auto"/>
              </w:rPr>
              <w:t>Adjustments</w:t>
            </w: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Combined</w:t>
            </w:r>
          </w:p>
        </w:tc>
        <w:tc>
          <w:tcPr>
            <w:tcW w:w="1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76,190</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6"/>
                <w:szCs w:val="16"/>
                <w:color w:val="auto"/>
              </w:rPr>
              <w:t>Cost of Revenues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49,837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Clinical operations</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4,332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47,705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10,199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(1,776)</w:t>
            </w: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(7a)</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14,284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4,085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24"/>
              <w:spacing w:after="0"/>
              <w:rPr>
                <w:sz w:val="20"/>
                <w:szCs w:val="20"/>
                <w:color w:val="auto"/>
              </w:rPr>
            </w:pPr>
            <w:r>
              <w:rPr>
                <w:rFonts w:ascii="Arial" w:cs="Arial" w:eastAsia="Arial" w:hAnsi="Arial"/>
                <w:sz w:val="16"/>
                <w:szCs w:val="16"/>
                <w:color w:val="auto"/>
              </w:rPr>
              <w:t>(6b)</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71,819</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2,309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(21,982)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(2,309)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(26,067)</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2"/>
              </w:rPr>
              <w:t>346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4"/>
              <w:spacing w:after="0"/>
              <w:rPr>
                <w:sz w:val="20"/>
                <w:szCs w:val="20"/>
                <w:color w:val="auto"/>
              </w:rPr>
            </w:pPr>
            <w:r>
              <w:rPr>
                <w:rFonts w:ascii="Arial" w:cs="Arial" w:eastAsia="Arial" w:hAnsi="Arial"/>
                <w:sz w:val="16"/>
                <w:szCs w:val="16"/>
                <w:color w:val="auto"/>
              </w:rPr>
              <w:t>(7b)</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(18,896)</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Change in fair value of FPA</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3,875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(7c)</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w w:val="98"/>
              </w:rPr>
              <w:t>Compensation expense in connection with issuance of Private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Placement Warrants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20"/>
                <w:szCs w:val="20"/>
                <w:color w:val="auto"/>
              </w:rPr>
            </w:pPr>
            <w:r>
              <w:rPr>
                <w:rFonts w:ascii="Arial" w:cs="Arial" w:eastAsia="Arial" w:hAnsi="Arial"/>
                <w:sz w:val="16"/>
                <w:szCs w:val="16"/>
                <w:color w:val="auto"/>
              </w:rPr>
              <w:t>Initial classification of FPA</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attributable to Warrants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w w:val="99"/>
              </w:rPr>
              <w:t>Interest earned on marketable securities Held in trust account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(228)</w:t>
            </w: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(7d)</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Income (loss) before taxes on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(27,226)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(22,346)</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1,684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(47,888)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(47,888)</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(27,236)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(22,370)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1,684</w:t>
            </w:r>
          </w:p>
        </w:tc>
        <w:tc>
          <w:tcPr>
            <w:tcW w:w="14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(47,922)</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(47,922)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(27,236)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(22,370)</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1,684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(47,922)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(47,922)</w:t>
            </w:r>
          </w:p>
        </w:tc>
        <w:tc>
          <w:tcPr>
            <w:tcW w:w="0" w:type="dxa"/>
            <w:vAlign w:val="bottom"/>
          </w:tcPr>
          <w:p>
            <w:pPr>
              <w:spacing w:after="0"/>
              <w:rPr>
                <w:sz w:val="1"/>
                <w:szCs w:val="1"/>
                <w:color w:val="auto"/>
              </w:rPr>
            </w:pPr>
          </w:p>
        </w:tc>
      </w:tr>
      <w:tr>
        <w:trPr>
          <w:trHeight w:val="19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w w:val="97"/>
              </w:rPr>
              <w:t>Basic and diluted net loss per share of HEC’s Class A common</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Basic and diluted net loss per common share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Weighted average Class A common stock of HEC</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41,400,000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 of Talkspace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9"/>
              </w:rPr>
              <w:t>11,779,604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color w:val="auto"/>
                <w:w w:val="95"/>
              </w:rPr>
              <w:t>Weighted average shares outstanding on a fully diluted exercise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160"/>
              <w:spacing w:after="0"/>
              <w:rPr>
                <w:sz w:val="20"/>
                <w:szCs w:val="20"/>
                <w:color w:val="auto"/>
              </w:rPr>
            </w:pPr>
            <w:r>
              <w:rPr>
                <w:rFonts w:ascii="Arial" w:cs="Arial" w:eastAsia="Arial" w:hAnsi="Arial"/>
                <w:sz w:val="16"/>
                <w:szCs w:val="16"/>
                <w:color w:val="auto"/>
              </w:rPr>
              <w:t>basis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165,045,000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(7e)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165,045,000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Calculated based on weighted average shares outstanding on a fully diluted net exercise basis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140"/>
        <w:spacing w:after="0" w:line="378" w:lineRule="auto"/>
        <w:rPr>
          <w:sz w:val="20"/>
          <w:szCs w:val="20"/>
          <w:color w:val="auto"/>
        </w:rPr>
      </w:pPr>
      <w:r>
        <w:rPr>
          <w:rFonts w:ascii="Arial" w:cs="Arial" w:eastAsia="Arial" w:hAnsi="Arial"/>
          <w:sz w:val="18"/>
          <w:szCs w:val="18"/>
          <w:b w:val="1"/>
          <w:bCs w:val="1"/>
          <w:color w:val="auto"/>
        </w:rPr>
        <w:t>Notes to Unaudited Pro Forma Condensed Combined Financial Information 1. Description of the Merger</w:t>
      </w:r>
    </w:p>
    <w:p>
      <w:pPr>
        <w:ind w:left="120" w:right="120"/>
        <w:spacing w:after="0" w:line="269" w:lineRule="auto"/>
        <w:rPr>
          <w:sz w:val="20"/>
          <w:szCs w:val="20"/>
          <w:color w:val="auto"/>
        </w:rPr>
      </w:pPr>
      <w:r>
        <w:rPr>
          <w:rFonts w:ascii="Arial" w:cs="Arial" w:eastAsia="Arial" w:hAnsi="Arial"/>
          <w:sz w:val="17"/>
          <w:szCs w:val="17"/>
          <w:color w:val="auto"/>
        </w:rPr>
        <w:t>On January 12, 2021, HEC entered into the Merger Agreement with Talkspace, First Merger Sub and Second Merger Sub pursuant to which (i) First Merger Sub will merge with and into Talkspace, with Talkspace being the surviving company in the merger (the “</w:t>
      </w:r>
      <w:r>
        <w:rPr>
          <w:rFonts w:ascii="Arial" w:cs="Arial" w:eastAsia="Arial" w:hAnsi="Arial"/>
          <w:sz w:val="17"/>
          <w:szCs w:val="17"/>
          <w:i w:val="1"/>
          <w:iCs w:val="1"/>
          <w:color w:val="auto"/>
        </w:rPr>
        <w:t>First Merger</w:t>
      </w:r>
      <w:r>
        <w:rPr>
          <w:rFonts w:ascii="Arial" w:cs="Arial" w:eastAsia="Arial" w:hAnsi="Arial"/>
          <w:sz w:val="17"/>
          <w:szCs w:val="17"/>
          <w:color w:val="auto"/>
        </w:rPr>
        <w:t>”) and (ii) immediately following the First Merger and as part of the same overall transaction as the First Merger, Talkspace will merge with and into Second Merger Sub, with Second Merger Sub surviving the merger as a wholly owned subsidiary of HEC (the “</w:t>
      </w:r>
      <w:r>
        <w:rPr>
          <w:rFonts w:ascii="Arial" w:cs="Arial" w:eastAsia="Arial" w:hAnsi="Arial"/>
          <w:sz w:val="17"/>
          <w:szCs w:val="17"/>
          <w:i w:val="1"/>
          <w:iCs w:val="1"/>
          <w:color w:val="auto"/>
        </w:rPr>
        <w:t>Second Merger</w:t>
      </w:r>
      <w:r>
        <w:rPr>
          <w:rFonts w:ascii="Arial" w:cs="Arial" w:eastAsia="Arial" w:hAnsi="Arial"/>
          <w:sz w:val="17"/>
          <w:szCs w:val="17"/>
          <w:color w:val="auto"/>
        </w:rPr>
        <w:t>”). As a result of the First Merger, HEC will own 100% of the outstanding Talkspace common stock as the surviving corporation in the First Merger and each outstanding share of Talkspace common stock and Talkspace preferred stock (other than treasury shares or shares owned by HEC, First Merger Sub or Talkspace) will be cancelled and converted into the right to receive the merger consideration in accordance with the Merger Agreement. Following the Second Merger, HEC will own 100% of the outstanding interests of Second Merger Sub. Following the Closing, HEC will own, directly or indirectly, all of the outstanding equity interests of the surviving company and the stockholders of Talkspace will own a portion of HEC’s Class A common stock. In connection with the business combination, HEC will change its name to “Talkspace, Inc.”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Talkspace will affect the below steps set forth in the Merger Agreement (referring as “Pre-Closing Restructuring Plan”):</w:t>
      </w:r>
    </w:p>
    <w:p>
      <w:pPr>
        <w:spacing w:after="0" w:line="131" w:lineRule="exact"/>
        <w:rPr>
          <w:sz w:val="20"/>
          <w:szCs w:val="20"/>
          <w:color w:val="auto"/>
        </w:rPr>
      </w:pPr>
    </w:p>
    <w:p>
      <w:pPr>
        <w:ind w:left="1080" w:right="240" w:hanging="424"/>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outstanding Talkspace convertible preferred stock will be treated as having converted into a number of shares of Talkspace common stock on a 1:1 basis.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outstanding Talkspace warrants will convert into shares of Talkspace common stock.</w:t>
      </w:r>
    </w:p>
    <w:p>
      <w:pPr>
        <w:spacing w:after="0" w:line="22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As a result of and upon the Closing, among other things, and as more fully described elsewhere in this proxy statement/prospectus, all shares of common stock and preferred stock of Talkspace (collectively, “Talkspace stock”) and all vested options exercisable for common stock of Talkspace outstanding as of immediately prior to Closing (“Vested Talkspace Options”) will be cancelled or assumed and converted into the right to receive, at the election of the holders thereof, a number of shares of common stock of HEC (“HEC’s common stock”) or a combination of shares of HEC’s common stock and cash, in each case, as adjusted pursuant to the terms of the Merger Agreement, which in the aggregate with the unvested options to acquire common stock of Talkspace to be assumed by HEC in exchange for options to acquire HEC’s common stock (“Unvested Talkspace Options”, and together with Vested Talkspace Options, “Talkspace Options”), will equal $1,400,000,000, reduced by certain deductions for the parties’ transaction expenses and the value (the “Sponsor Share Amount”) of the shares of HEC’s Class B common stock held by HEC Sponsor LLC (the “Sponsor”) immediately prior to the consummation of the Transactions (the “Merger Consideration”). The maximum amount of cash (the “Closing Cash Consideration”) that may be paid to the pre-closing holders of shares of Talkspace stock and Vested Talkspace Options (on a net exercise basis) pursuant to the foregoing is equal to (i) the amount of cash held by HEC in its trust account (after reduction for the aggregate amount of cash payable in respect of any HEC stockholder redemptions), plus (ii) the amounts received by HEC upon the consummation of the PIPE Investment and the transactions contemplated under the HEC Forward Purchase Agreement, minus (iii) $250,000,000, minus (iv) the transaction expenses of the parties to the Merger Agreement. The maximum number of shares (the “Closing Share Consideration”) of HEC’s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minus (ii) the Closing Cash Consideration, minus (iii) the Sponsor Share Amount, minus (iv) the transaction expenses of the parties to the Merger Agreement, by (b) $10.00.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HEC’s common stock equal to the Closing Share Consideration (the “Maximum Consideration”).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 “no redemption” scenario, the unaudited pro forma condensed combined financial information is presented and an aggregate of $440.0 million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will be paid to those holders of Talkspace stock and Vested Talkspace Options (on a net exercise basis) who are eligible to make a cash election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pro rata basis. For a “maximum redemption” scenario, the unaudited pro forma condensed combined financial information is presented and assumes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$101.0 million of cash will be paid to those holders of Talkspace stock and Vested Talkspace Options (on a net exercise basis) who are eligible to make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election on a pro rata basis.</w:t>
      </w:r>
    </w:p>
    <w:p>
      <w:pPr>
        <w:spacing w:after="0" w:line="21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Concurrently with the execution of the Merger Agreement, HEC entered into Subscription Agreements with the PIPE Investors pursuant to which the PIPE Investors have collectively subscribed for 30,000,000 shares of HEC common stock for an aggregate purchase price equal to $300.0 million. The PIPE Investment is contingent upon, among other things, the Closing. See the section entitled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Agreements Related to the Business Combination—Subscription Agreements</w:t>
      </w:r>
      <w:r>
        <w:rPr>
          <w:rFonts w:ascii="Arial" w:cs="Arial" w:eastAsia="Arial" w:hAnsi="Arial"/>
          <w:sz w:val="18"/>
          <w:szCs w:val="18"/>
          <w:color w:val="auto"/>
        </w:rPr>
        <w:t>.”</w:t>
      </w:r>
    </w:p>
    <w:p>
      <w:pPr>
        <w:spacing w:after="0" w:line="187"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In addition, in connection with the execution of the Merger Agreement, HEC entered into an amendment to the forward purchase agreement (as amended, the “HEC Forward Purchase Agreement”) with HEC Master Fund LP, a Delaware limited partnership and affiliate of the Sponsor (“HEC Fund”), dated June 8, 2020. Pursuant to the HEC Forward Purchase Agreement, HEC Fund agreed to purchase 2,500,000 forward purchase units, consisting of one share of HEC’s Class A common stock and one-half of one warrant to purchase one share of HEC’s Class A common stock, for $10.00 per unit, or an aggregate amount of $25.0 million, in a private placement that will close concurrently with the Closing and to backstop up to</w:t>
      </w:r>
    </w:p>
    <w:p>
      <w:pPr>
        <w:spacing w:after="0" w:line="2" w:lineRule="exact"/>
        <w:rPr>
          <w:sz w:val="20"/>
          <w:szCs w:val="20"/>
          <w:color w:val="auto"/>
        </w:rPr>
      </w:pPr>
    </w:p>
    <w:p>
      <w:pPr>
        <w:ind w:left="120" w:right="640"/>
        <w:spacing w:after="0" w:line="260" w:lineRule="auto"/>
        <w:rPr>
          <w:sz w:val="20"/>
          <w:szCs w:val="20"/>
          <w:color w:val="auto"/>
        </w:rPr>
      </w:pPr>
      <w:r>
        <w:rPr>
          <w:rFonts w:ascii="Arial" w:cs="Arial" w:eastAsia="Arial" w:hAnsi="Arial"/>
          <w:sz w:val="18"/>
          <w:szCs w:val="18"/>
          <w:color w:val="auto"/>
        </w:rPr>
        <w:t>$25.0 million of redemptions by stockholders of HEC. See the section entitled “</w:t>
      </w:r>
      <w:r>
        <w:rPr>
          <w:rFonts w:ascii="Arial" w:cs="Arial" w:eastAsia="Arial" w:hAnsi="Arial"/>
          <w:sz w:val="18"/>
          <w:szCs w:val="18"/>
          <w:i w:val="1"/>
          <w:iCs w:val="1"/>
          <w:color w:val="auto"/>
        </w:rPr>
        <w:t>Proposal No. 1—The Business Combination Proposal—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Related to the Business Combination —HEC Forward Purchase Agreement</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accompanying unaudited pro forma condensed combined financial information was prepared in accordance with Article 11 of SEC Regulation S-X. The unaudited pro forma condensed combined balance sheet as of March 31, 2021 was prepared using the historical audited condensed consolidated balance sheets of HEC and Talkspace as of March 31, 2021 and gives effect to the business combination, the PIPE Investment and the transactions contemplated by the HEC Forward Purchase Agreement as if they occurred on March 31, 2021. The unaudited pro forma condensed combined statement of operations for the three months ended March 31, 2021 combines the historical unaudited condensed consolidated statement of operations of HEC for the three months ended March 31, 2021 and the historical unaudited condensed consolidated statement of comprehensive loss of Talkspace for the three months ended March 31, 2021 and give effect to the business combination, the PIPE Investment and the transactions contemplated by the HEC Forward Purchase Agreement as if they occurred on January 1, 2020. The unaudited pro forma condensed combined statement of operations for the year ended December 31, 2020 combines the historical audited condensed statement of operations of HEC for the period from February 6, 2020 (inception) to December 31, 2020 and the historical audited condensed consolidated statement of comprehensive loss of Talkspace for the year ended December 31, 2020 and give effect to the business combination, the PIPE Investment and the transactions contemplated by the HEC Forward Purchase Agreement as if they occurred on January 1, 2020.</w:t>
      </w:r>
    </w:p>
    <w:p>
      <w:pPr>
        <w:spacing w:after="0" w:line="17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76" w:lineRule="exact"/>
        <w:rPr>
          <w:sz w:val="20"/>
          <w:szCs w:val="20"/>
          <w:color w:val="auto"/>
        </w:rPr>
      </w:pPr>
    </w:p>
    <w:p>
      <w:pPr>
        <w:ind w:left="1080" w:hanging="424"/>
        <w:spacing w:after="0"/>
        <w:tabs>
          <w:tab w:leader="none" w:pos="10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historical unaudited condensed consolidated financial statements of HEC as of and for the three months ended March 31, 2021;</w:t>
      </w:r>
    </w:p>
    <w:p>
      <w:pPr>
        <w:spacing w:after="0" w:line="142"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historical audited financial statements of HEC as of December 31, 2020 (As Restated) and for the period from February 6, 2020 (inception) to December 31, 2020 (As Restated);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Talkspace for the year ended December 31, 2020;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Talkspace as of and for the three months ended March 31, 2021;</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by HEC’s public stockholders for cash equal to their pro rata share of the aggregate amount on deposit (as of two business days prior to the Closing) in the trust account:</w:t>
      </w:r>
    </w:p>
    <w:p>
      <w:pPr>
        <w:spacing w:after="0" w:line="85" w:lineRule="exact"/>
        <w:rPr>
          <w:sz w:val="20"/>
          <w:szCs w:val="20"/>
          <w:color w:val="auto"/>
        </w:rPr>
      </w:pPr>
    </w:p>
    <w:p>
      <w:pPr>
        <w:ind w:left="1080" w:right="80" w:hanging="424"/>
        <w:spacing w:after="0" w:line="274" w:lineRule="auto"/>
        <w:tabs>
          <w:tab w:leader="none" w:pos="1080"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Scenario 1— Assuming No Redemption</w:t>
      </w:r>
      <w:r>
        <w:rPr>
          <w:rFonts w:ascii="Arial" w:cs="Arial" w:eastAsia="Arial" w:hAnsi="Arial"/>
          <w:sz w:val="17"/>
          <w:szCs w:val="17"/>
          <w:color w:val="auto"/>
        </w:rPr>
        <w:t>: This presentation assumes that (i) no public stockholders of HEC exercise redemption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options who are eligible to make a cash election on a pro rata basis.</w:t>
      </w:r>
    </w:p>
    <w:p>
      <w:pPr>
        <w:spacing w:after="0" w:line="78" w:lineRule="exact"/>
        <w:rPr>
          <w:rFonts w:ascii="Arial" w:cs="Arial" w:eastAsia="Arial" w:hAnsi="Arial"/>
          <w:sz w:val="17"/>
          <w:szCs w:val="17"/>
          <w:color w:val="auto"/>
        </w:rPr>
      </w:pPr>
    </w:p>
    <w:p>
      <w:pPr>
        <w:ind w:left="1080" w:right="40" w:hanging="424"/>
        <w:spacing w:after="0" w:line="289" w:lineRule="auto"/>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Scenario 2— Assuming Maximum Redemption</w:t>
      </w:r>
      <w:r>
        <w:rPr>
          <w:rFonts w:ascii="Arial" w:cs="Arial" w:eastAsia="Arial" w:hAnsi="Arial"/>
          <w:sz w:val="16"/>
          <w:szCs w:val="16"/>
          <w:color w:val="auto"/>
        </w:rPr>
        <w:t>: This presentation assumes that (i) 36,400,000 of HEC’s public shares are redeemed for</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payment of $364.0 million, which is derived from the number of shares that could be redeemed in connection with the business combination at an assumed redemption 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 (C)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options who are eligible to make a cash election on a pro rata basis.</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Items Not Included in the Unaudited Pro Forma Condensed Combined Financial Statements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Accounting for the Merger</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HEC will be treated as the “acquired” company for financial reporting purposes. Accordingly, the business combination will be treated as the equivalent of Talkspace issuing stock for the net assets of HEC, accompanied by a recapitalization. The net assets of HEC will be stated at historical cost, with no goodwill or other intangible assets recorded. Operations prior to the business combination will be those of Talkspace. See the accounting treatment discussed elsewhere in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Shares of Talkspace Common Stock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preliminary estimated exchange ratio is calculated in accordance with the terms of the Merger Agreement as a quotient obtained by dividing (a) a number of shares of HEC’s common stock equal to the quotient obtained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dividing (i) the sum of (A) the Closing Merger Consideration, minus (B) the Sponsor Share Amount, minus (C) HEC transaction expenses set forth on the HEC closing statement, minus (D) Talkspace transaction expenses set forth on the Talkspace closing statement, by (ii) $10.00; by (b) the Aggregate Fully Diluted Talkspace Common Stock. The estimated Aggregate Fully Diluted Talkspace Common Stock is 112,509,227 and is calculated in accordance with the terms of the Merger Agreement based on the number of shares of Talkspace common stock and Talkspace Options (on a net exercise basis) expected to be outstanding immediately prior to the First Effective Time, based on the Talkspace’s capitalization as of December 31, 2020, as follows:</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6"/>
              </w:rPr>
              <w:t>The aggregate number of shares of Talkspace common stock that are issued and outstanding immediately prior to</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First Effective Time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95,305,661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7"/>
              </w:rPr>
              <w:t>plus, the aggregate number of shares of Talkspace common stock issuable upon, or subject to, the settlement of</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Talkspace Options (whether or not then vested or exercisable), that are issued and outstanding immediately</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prior to the First Effective Time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18,529,699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minus, Treasury Shares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minus, the number of shares equal to the aggregate exercise prices of the Talkspace Options divided by the Per</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Share Merger Consideration</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(1,326,133)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Aggregate Fully Diluted Talkspace Common Stock</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112,509,227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line="255"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This amount is comprised of (a) 11,813,602 shares of Talkspace common stock, (b) 83,395,815 shares of Talkspace preferred stock and (c) 96,244 shares of Talkspace capital stock that will be issued upon the cashless net exercise of Talkspace warrants immediately prior to the First Effective Time.</w:t>
      </w:r>
    </w:p>
    <w:p>
      <w:pPr>
        <w:spacing w:after="0" w:line="2" w:lineRule="exact"/>
        <w:rPr>
          <w:rFonts w:ascii="Arial" w:cs="Arial" w:eastAsia="Arial" w:hAnsi="Arial"/>
          <w:sz w:val="18"/>
          <w:szCs w:val="18"/>
          <w:color w:val="auto"/>
        </w:rPr>
      </w:pPr>
    </w:p>
    <w:p>
      <w:pPr>
        <w:ind w:left="540" w:right="180" w:hanging="424"/>
        <w:spacing w:after="0" w:line="260"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This amount is calculated by dividing the aggregate exercise prices of the Talkspace Options of $15,075,424 by the estimated Per Share Merger Consideration of $11.37.</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Scenario 1, Talkspace, Inc. expects to issue approximately 83,900,000 shares of Talkspace, Inc. common stock (inclusive of 12,828,985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Talkspace, Inc. common stock underlying Talkspace, Inc. options on a net exercise basis) in the business combination and to pay an aggregate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$440.0 million of cash (equivalent to 44,000,000 shares at $10.00 per share) to those holders of Talkspace stock and vested options who are eligible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make a cash election on a pro rata basis, which is determined based on the preliminary estimated exchange ratios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Aggregate Fully Diluted Talkspace Common Stock assumed outstanding prior to the Closing</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112,509,227</w:t>
            </w: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Assumed Stock Exchange Ratio</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0.7457166</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Estimated shares of Talkspace, Inc. common stock issued to holders of Talkspace stock and options upon the Closing</w:t>
            </w: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jc w:val="right"/>
              <w:ind w:right="6650"/>
              <w:spacing w:after="0"/>
              <w:rPr>
                <w:sz w:val="20"/>
                <w:szCs w:val="20"/>
                <w:color w:val="auto"/>
              </w:rPr>
            </w:pPr>
            <w:r>
              <w:rPr>
                <w:rFonts w:ascii="Arial" w:cs="Arial" w:eastAsia="Arial" w:hAnsi="Arial"/>
                <w:sz w:val="18"/>
                <w:szCs w:val="18"/>
                <w:color w:val="auto"/>
                <w:w w:val="95"/>
              </w:rPr>
              <w:t>(on a net exercise basis)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83,900,000</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Talkspace stock and vested options (on a net exercise basis) assumed outstanding prior to the Closing</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109,778,453</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Assumed Cash Exchange Ratio</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4.008072</w:t>
            </w:r>
          </w:p>
        </w:tc>
      </w:tr>
      <w:tr>
        <w:trPr>
          <w:trHeight w:val="224"/>
        </w:trPr>
        <w:tc>
          <w:tcPr>
            <w:tcW w:w="8660" w:type="dxa"/>
            <w:vAlign w:val="bottom"/>
            <w:gridSpan w:val="2"/>
          </w:tcPr>
          <w:p>
            <w:pPr>
              <w:spacing w:after="0"/>
              <w:rPr>
                <w:sz w:val="20"/>
                <w:szCs w:val="20"/>
                <w:color w:val="auto"/>
              </w:rPr>
            </w:pPr>
            <w:r>
              <w:rPr>
                <w:rFonts w:ascii="Arial" w:cs="Arial" w:eastAsia="Arial" w:hAnsi="Arial"/>
                <w:sz w:val="18"/>
                <w:szCs w:val="18"/>
                <w:color w:val="auto"/>
                <w:w w:val="94"/>
              </w:rPr>
              <w:t>Estimated cash consideration to be paid in respect of Talkspace stock and vested options (on a net exercise basis)</w:t>
            </w:r>
          </w:p>
        </w:tc>
        <w:tc>
          <w:tcPr>
            <w:tcW w:w="2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440,000,000</w:t>
            </w:r>
          </w:p>
        </w:tc>
        <w:tc>
          <w:tcPr>
            <w:tcW w:w="60" w:type="dxa"/>
            <w:vAlign w:val="bottom"/>
          </w:tcPr>
          <w:p>
            <w:pPr>
              <w:spacing w:after="0"/>
              <w:rPr>
                <w:sz w:val="19"/>
                <w:szCs w:val="19"/>
                <w:color w:val="auto"/>
              </w:rPr>
            </w:pPr>
          </w:p>
        </w:tc>
      </w:tr>
      <w:tr>
        <w:trPr>
          <w:trHeight w:val="364"/>
        </w:trPr>
        <w:tc>
          <w:tcPr>
            <w:tcW w:w="8660" w:type="dxa"/>
            <w:vAlign w:val="bottom"/>
            <w:gridSpan w:val="2"/>
          </w:tcPr>
          <w:p>
            <w:pPr>
              <w:jc w:val="right"/>
              <w:ind w:right="337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Scenario 2, Talkspace, Inc. expects to issue approximately 117,800,000 shares of Talkspace, Inc. common stock (inclusive of 18,012,568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Talkspace, Inc. common stock underlying Talkspace, Inc. options on a net exercise basis) in the business combination and to pay an aggregate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$101.0 million of cash (equivalent to 10,100,000 shares at $10.00 per share) to those holders of Talkspace stock and vested options who are eligible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make a cash election on a pro rata basis, which is determined based on the preliminary estimated exchange ratios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Aggregate Fully Diluted Talkspace Common Stock assumed outstanding prior to the Closing</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112,509,227</w:t>
            </w: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Assumed Stock Exchange Ratio</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1.0470252</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Estimated shares of Talkspace, Inc. common stock issued to holders of Talkspace stock and options upon the Closing</w:t>
            </w: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 net exercise basis)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117,800,000</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Talkspace stock and vested options (on a net exercise basis) assumed outstanding prior to the Closing</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109,778,453</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Assumed Cash Exchange Ratio</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0.920035</w:t>
            </w:r>
          </w:p>
        </w:tc>
      </w:tr>
      <w:tr>
        <w:trPr>
          <w:trHeight w:val="224"/>
        </w:trPr>
        <w:tc>
          <w:tcPr>
            <w:tcW w:w="8660" w:type="dxa"/>
            <w:vAlign w:val="bottom"/>
            <w:gridSpan w:val="2"/>
          </w:tcPr>
          <w:p>
            <w:pPr>
              <w:spacing w:after="0"/>
              <w:rPr>
                <w:sz w:val="20"/>
                <w:szCs w:val="20"/>
                <w:color w:val="auto"/>
              </w:rPr>
            </w:pPr>
            <w:r>
              <w:rPr>
                <w:rFonts w:ascii="Arial" w:cs="Arial" w:eastAsia="Arial" w:hAnsi="Arial"/>
                <w:sz w:val="18"/>
                <w:szCs w:val="18"/>
                <w:color w:val="auto"/>
                <w:w w:val="94"/>
              </w:rPr>
              <w:t>Estimated cash consideration to be paid in respect of Talkspace stock and vested options (on a net exercise basis)</w:t>
            </w:r>
          </w:p>
        </w:tc>
        <w:tc>
          <w:tcPr>
            <w:tcW w:w="2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101,000,000</w:t>
            </w:r>
          </w:p>
        </w:tc>
        <w:tc>
          <w:tcPr>
            <w:tcW w:w="6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Adjustments to Unaudited Pro Forma Condensed Combined Balance Sheet as of March 31, 2021</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unaudited pro forma condensed combined balance sheet as of March 31, 2021 has been prepared to illustrate the effect of the business combination and has been prepared for informational purposes only.</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unaudited pro forma condensed combined balance sheet as of March 31, 2021 includes pro forma adjustments that are: (i) directly attributable to the business combination, the PIPE Investment and the transactions contemplated by the HEC Forward Purchase Agreement, and (ii) factually supportable. HEC and Talkspace did not have any historical relationship prior to the business combination. Accordingly, no pro forma adjustments were required to eliminate activities between the companies.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31" w:lineRule="exact"/>
        <w:rPr>
          <w:sz w:val="20"/>
          <w:szCs w:val="20"/>
          <w:color w:val="auto"/>
        </w:rPr>
      </w:pPr>
    </w:p>
    <w:p>
      <w:pPr>
        <w:ind w:left="880" w:hanging="548"/>
        <w:spacing w:after="0"/>
        <w:tabs>
          <w:tab w:leader="none" w:pos="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HEC as of March 31, 2021.</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Talkspace as of March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31" w:lineRule="exact"/>
        <w:rPr>
          <w:sz w:val="20"/>
          <w:szCs w:val="20"/>
          <w:color w:val="auto"/>
        </w:rPr>
      </w:pPr>
    </w:p>
    <w:p>
      <w:pPr>
        <w:ind w:left="880" w:right="100" w:hanging="548"/>
        <w:spacing w:after="0" w:line="277" w:lineRule="auto"/>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reflect the release of $388 million of cash from the cash and cash equivalents held in the trust account after adjustment for the payment of transaction-related fees.</w:t>
      </w:r>
    </w:p>
    <w:p>
      <w:pPr>
        <w:spacing w:after="0" w:line="75" w:lineRule="exact"/>
        <w:rPr>
          <w:rFonts w:ascii="Arial" w:cs="Arial" w:eastAsia="Arial" w:hAnsi="Arial"/>
          <w:sz w:val="18"/>
          <w:szCs w:val="18"/>
          <w:color w:val="auto"/>
        </w:rPr>
      </w:pPr>
    </w:p>
    <w:p>
      <w:pPr>
        <w:ind w:left="880" w:right="80" w:hanging="548"/>
        <w:spacing w:after="0" w:line="259" w:lineRule="auto"/>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reflect Talkspace’s estimated payment of $20 million for advisory fees, $2 million of legal fees, and $1 million of accounting and auditing fees and other professional fees related to the business combination. Under both scenarios, an amount of $18.9 million is recognized as decrease of additional paid in capital as this is the amount attributed to the issuance of the shares and $4.1 million is recognized as G&amp;A expenses as this is the amount attributed to the issuance of warrants.</w:t>
      </w:r>
    </w:p>
    <w:p>
      <w:pPr>
        <w:spacing w:after="0" w:line="92" w:lineRule="exact"/>
        <w:rPr>
          <w:rFonts w:ascii="Arial" w:cs="Arial" w:eastAsia="Arial" w:hAnsi="Arial"/>
          <w:sz w:val="18"/>
          <w:szCs w:val="18"/>
          <w:color w:val="auto"/>
        </w:rPr>
      </w:pPr>
    </w:p>
    <w:p>
      <w:pPr>
        <w:ind w:left="880" w:right="700" w:hanging="548"/>
        <w:spacing w:after="0" w:line="277" w:lineRule="auto"/>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reflect the issuance and sale of 30,000,000 shares of Talkspace, Inc. common stock to the PIPE investors pursuant to subscription agreements for an aggregate commitment amount of $300.0 million concurrent with the Closing.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548"/>
        <w:spacing w:after="0"/>
        <w:tabs>
          <w:tab w:leader="none" w:pos="8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reflect the settlement of $14.5 million of deferred underwriters’ fees incurred during HEC’s IPO that are due upon the Closing.</w:t>
      </w:r>
    </w:p>
    <w:p>
      <w:pPr>
        <w:spacing w:after="0" w:line="130" w:lineRule="exact"/>
        <w:rPr>
          <w:rFonts w:ascii="Arial" w:cs="Arial" w:eastAsia="Arial" w:hAnsi="Arial"/>
          <w:sz w:val="18"/>
          <w:szCs w:val="18"/>
          <w:color w:val="auto"/>
        </w:rPr>
      </w:pPr>
    </w:p>
    <w:p>
      <w:pPr>
        <w:ind w:left="880" w:right="40" w:hanging="548"/>
        <w:spacing w:after="0" w:line="277" w:lineRule="auto"/>
        <w:tabs>
          <w:tab w:leader="none" w:pos="8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reflect HEC’s estimated payment for $11.5 million of professional fees and other transaction costs related to the business combination and the PIPE Investment.</w:t>
      </w:r>
    </w:p>
    <w:p>
      <w:pPr>
        <w:spacing w:after="0" w:line="75" w:lineRule="exact"/>
        <w:rPr>
          <w:rFonts w:ascii="Arial" w:cs="Arial" w:eastAsia="Arial" w:hAnsi="Arial"/>
          <w:sz w:val="18"/>
          <w:szCs w:val="18"/>
          <w:color w:val="auto"/>
        </w:rPr>
      </w:pPr>
    </w:p>
    <w:p>
      <w:pPr>
        <w:ind w:left="880" w:right="100" w:hanging="548"/>
        <w:spacing w:after="0" w:line="277" w:lineRule="auto"/>
        <w:tabs>
          <w:tab w:leader="none" w:pos="8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Scenario 1, which assumes no holders of HEC Class A common stock exercise their redemption rights, $25.0 million received pursuant to the HEC Forward Purchase Agreement.</w:t>
      </w:r>
    </w:p>
    <w:p>
      <w:pPr>
        <w:spacing w:after="0" w:line="75" w:lineRule="exact"/>
        <w:rPr>
          <w:rFonts w:ascii="Arial" w:cs="Arial" w:eastAsia="Arial" w:hAnsi="Arial"/>
          <w:sz w:val="18"/>
          <w:szCs w:val="18"/>
          <w:color w:val="auto"/>
        </w:rPr>
      </w:pPr>
    </w:p>
    <w:p>
      <w:pPr>
        <w:ind w:left="880" w:right="80" w:hanging="548"/>
        <w:spacing w:after="0" w:line="263" w:lineRule="auto"/>
        <w:tabs>
          <w:tab w:leader="none" w:pos="8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reflect the assumed conversion, on a one to one basis, of all outstanding shares of Talkspace’s preferred stock, with a carrying amount of $111 million, into 83,395,815 shares of Talkspace common stock as a part of the Pre-Closing Restructuring Plan. Talkspace’s preferred stock outstanding shares are comprised of the following:</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Preferred Stock classes</w:t>
            </w: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Seed Preferred Stock</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3,434,999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Seed-1 Preferred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7,812,248</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Seed-2 Preferred Stock</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3,311,260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16,014,920</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14,405,065</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19,761,349</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 Preferred Stock</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18,655,974</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Preferred Stock issued and outstanding</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83,395,815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880" w:right="140" w:hanging="548"/>
        <w:spacing w:after="0" w:line="277" w:lineRule="auto"/>
        <w:tabs>
          <w:tab w:leader="none" w:pos="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reflect the conversion of liability-classified warrants into an aggregate of 28,760 shares and 40,380 shares of Talkspace common stock in Scenario 1 and Scenario 2, respectively, upon the Closing.</w:t>
      </w:r>
    </w:p>
    <w:p>
      <w:pPr>
        <w:spacing w:after="0" w:line="75" w:lineRule="exact"/>
        <w:rPr>
          <w:rFonts w:ascii="Arial" w:cs="Arial" w:eastAsia="Arial" w:hAnsi="Arial"/>
          <w:sz w:val="18"/>
          <w:szCs w:val="18"/>
          <w:color w:val="auto"/>
        </w:rPr>
      </w:pPr>
    </w:p>
    <w:p>
      <w:pPr>
        <w:ind w:left="880" w:right="40" w:hanging="548"/>
        <w:spacing w:after="0" w:line="277" w:lineRule="auto"/>
        <w:tabs>
          <w:tab w:leader="none" w:pos="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reflect the automatic conversion of all issued and outstanding shares of HEC Class B common stock into an aggregate of 7,245,000 shares of Talkspace, Inc. common stock upon the Closing.</w:t>
      </w:r>
    </w:p>
    <w:p>
      <w:pPr>
        <w:spacing w:after="0" w:line="75" w:lineRule="exact"/>
        <w:rPr>
          <w:rFonts w:ascii="Arial" w:cs="Arial" w:eastAsia="Arial" w:hAnsi="Arial"/>
          <w:sz w:val="18"/>
          <w:szCs w:val="18"/>
          <w:color w:val="auto"/>
        </w:rPr>
      </w:pPr>
    </w:p>
    <w:p>
      <w:pPr>
        <w:ind w:left="880" w:right="520" w:hanging="548"/>
        <w:spacing w:after="0" w:line="277" w:lineRule="auto"/>
        <w:tabs>
          <w:tab w:leader="none" w:pos="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Scenario 1, which assumes no holders of HEC Class A common stock exercise their redemption rights, the common stock subject to redemption into cash amounting to $346.9 million would be transferred to permanent equity.</w:t>
      </w:r>
    </w:p>
    <w:p>
      <w:pPr>
        <w:spacing w:after="0" w:line="75" w:lineRule="exact"/>
        <w:rPr>
          <w:rFonts w:ascii="Arial" w:cs="Arial" w:eastAsia="Arial" w:hAnsi="Arial"/>
          <w:sz w:val="18"/>
          <w:szCs w:val="18"/>
          <w:color w:val="auto"/>
        </w:rPr>
      </w:pPr>
    </w:p>
    <w:p>
      <w:pPr>
        <w:ind w:left="880" w:hanging="548"/>
        <w:spacing w:after="0"/>
        <w:tabs>
          <w:tab w:leader="none" w:pos="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reflect the recapitalization of Talkspace through the contribution of all the share capital of Talkspace to Talkspace, Inc.</w:t>
      </w:r>
    </w:p>
    <w:p>
      <w:pPr>
        <w:spacing w:after="0" w:line="130" w:lineRule="exact"/>
        <w:rPr>
          <w:rFonts w:ascii="Arial" w:cs="Arial" w:eastAsia="Arial" w:hAnsi="Arial"/>
          <w:sz w:val="18"/>
          <w:szCs w:val="18"/>
          <w:color w:val="auto"/>
        </w:rPr>
      </w:pPr>
    </w:p>
    <w:p>
      <w:pPr>
        <w:ind w:left="880" w:right="60" w:hanging="548"/>
        <w:spacing w:after="0" w:line="275" w:lineRule="auto"/>
        <w:tabs>
          <w:tab w:leader="none" w:pos="8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Scenario 2, which assumes the maximum number of shares are redeemed into cash by the HEC Class A common stock, $364.0 million would be paid out in cash. The $364.0 million or 36.4 million shares of HEC Class A common stock represents the maximum redemption amount providing for a minimum closing cash of $400.0 million after including an aggregate commitment amount of $300.0 million cash proceeds from the PIPE Investment, $50.0 million received pursuant to the HEC Forward Purchase Agreement and giving effect to payments to redeeming stockholders assuming the Closing occurred on March 31, 2021.</w:t>
      </w:r>
    </w:p>
    <w:p>
      <w:pPr>
        <w:spacing w:after="0" w:line="81" w:lineRule="exact"/>
        <w:rPr>
          <w:rFonts w:ascii="Arial" w:cs="Arial" w:eastAsia="Arial" w:hAnsi="Arial"/>
          <w:sz w:val="17"/>
          <w:szCs w:val="17"/>
          <w:color w:val="auto"/>
        </w:rPr>
      </w:pPr>
    </w:p>
    <w:p>
      <w:pPr>
        <w:ind w:left="880" w:hanging="548"/>
        <w:spacing w:after="0"/>
        <w:tabs>
          <w:tab w:leader="none" w:pos="8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Scenario 1, which assumes a maximum cash election by holders of Talkspace stock and vested options, to reflect an aggregate of</w:t>
      </w:r>
    </w:p>
    <w:p>
      <w:pPr>
        <w:spacing w:after="0" w:line="34" w:lineRule="exact"/>
        <w:rPr>
          <w:rFonts w:ascii="Arial" w:cs="Arial" w:eastAsia="Arial" w:hAnsi="Arial"/>
          <w:sz w:val="17"/>
          <w:szCs w:val="17"/>
          <w:color w:val="auto"/>
        </w:rPr>
      </w:pPr>
    </w:p>
    <w:p>
      <w:pPr>
        <w:ind w:left="880"/>
        <w:spacing w:after="0" w:line="295" w:lineRule="auto"/>
        <w:rPr>
          <w:rFonts w:ascii="Arial" w:cs="Arial" w:eastAsia="Arial" w:hAnsi="Arial"/>
          <w:sz w:val="17"/>
          <w:szCs w:val="17"/>
          <w:color w:val="auto"/>
        </w:rPr>
      </w:pPr>
      <w:r>
        <w:rPr>
          <w:rFonts w:ascii="Arial" w:cs="Arial" w:eastAsia="Arial" w:hAnsi="Arial"/>
          <w:sz w:val="16"/>
          <w:szCs w:val="16"/>
          <w:color w:val="auto"/>
        </w:rPr>
        <w:t>$440.0 million of cash consideration payment (equivalent to 44,400,000 shares at $10 per share), to those holders of Talkspace stock and vested options who are eligible to make a cash election on a pro rata basis. In Scenario 2, which assumes a maximum cash election by holders of Talkspace stock and vested options, to reflect an aggregate of $101.0 million cash consideration payment (equivalent to 10,100,000 shares at $10 per share), to those holders of Talkspace stock and vested options who are eligible to make a cash election on a pro rata basis.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hanging="4"/>
        <w:spacing w:after="0" w:line="282" w:lineRule="auto"/>
        <w:tabs>
          <w:tab w:leader="none" w:pos="3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the Year Ended December 31, 2020</w:t>
      </w:r>
    </w:p>
    <w:p>
      <w:pPr>
        <w:spacing w:after="0" w:line="58"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The unaudited pro forma condensed combined statements of operations include pro forma adjustments that are: (i) directly attributable to the transactions described above, (ii) factually supportable, and (iii) expected to have a continuing impact on the results of the post-combination company, Talkspace, Inc. HEC and Talkspace did not have any historical relationship prior to the business combination. Accordingly, no pro forma adjustments were required to eliminate activities between the companies. HEC recognized $562,643 of transaction costs during the three months ended March 31, 2021 and $1.4 million of transaction costs during the period from February 6, 2020 (inception) through December 31, 2020. Talkspace recognized $2.7 million of transaction costs during the three months ended March 31, 2021 and $0.7 million during the year ended December 31, 2020.</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shares of Talkspace, Inc. outstanding at the Closing, assuming the Closing occurred on January 1, 2020. As the unaudited pro forma condensed combined statements of operations are in a loss position, anti-dilutive instruments were not included in the calculation of diluted weighted average number of common shares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31" w:lineRule="exact"/>
        <w:rPr>
          <w:sz w:val="20"/>
          <w:szCs w:val="20"/>
          <w:color w:val="auto"/>
        </w:rPr>
      </w:pPr>
    </w:p>
    <w:p>
      <w:pPr>
        <w:ind w:left="540" w:hanging="424"/>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statement of operations of HEC for the three months ended March 31, 2021.</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Derived from the unaudited condensed consolidated statement of comprehensive loss of Talkspace for the three months ended March 31, 2021.</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HEC for the period from inception through December 31, 2020 (As Restated).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Derived from the audited condensed consolidated statement of comprehensive loss of Talkspace for the year ended December 31,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31" w:lineRule="exact"/>
        <w:rPr>
          <w:sz w:val="20"/>
          <w:szCs w:val="20"/>
          <w:color w:val="auto"/>
        </w:rPr>
      </w:pPr>
    </w:p>
    <w:p>
      <w:pPr>
        <w:ind w:left="540" w:hanging="424"/>
        <w:spacing w:after="0"/>
        <w:tabs>
          <w:tab w:leader="none" w:pos="5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To reflect an adjustment to eliminate $1.8 million for administrative and support services to the Sponsor that terminates upon the Closing.</w:t>
      </w:r>
    </w:p>
    <w:p>
      <w:pPr>
        <w:spacing w:after="0" w:line="142" w:lineRule="exact"/>
        <w:rPr>
          <w:rFonts w:ascii="Arial" w:cs="Arial" w:eastAsia="Arial" w:hAnsi="Arial"/>
          <w:sz w:val="17"/>
          <w:szCs w:val="17"/>
          <w:color w:val="auto"/>
        </w:rPr>
      </w:pPr>
    </w:p>
    <w:p>
      <w:pPr>
        <w:ind w:left="540" w:right="200" w:hanging="424"/>
        <w:spacing w:after="0" w:line="311" w:lineRule="auto"/>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To reflect an adjustment to eliminate the impact of the change in the fair value of warrant liability for warrants issued by Talkspace as it is assumed that all warrants would have been exercised for Talkspace common stock pursuant to the Merger Agreement. As a result, such warrants would no longer be subject to fair value accounting following the assumed closing of the business combination on January 1, 2020.</w:t>
      </w:r>
    </w:p>
    <w:p>
      <w:pPr>
        <w:spacing w:after="0" w:line="54" w:lineRule="exact"/>
        <w:rPr>
          <w:rFonts w:ascii="Arial" w:cs="Arial" w:eastAsia="Arial" w:hAnsi="Arial"/>
          <w:sz w:val="16"/>
          <w:szCs w:val="16"/>
          <w:color w:val="auto"/>
        </w:rPr>
      </w:pPr>
    </w:p>
    <w:p>
      <w:pPr>
        <w:ind w:left="540" w:right="540" w:hanging="424"/>
        <w:spacing w:after="0" w:line="277"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reflect an adjustment to eliminate the impact of the change in the fair value of FPA liability issued by HEC for the period from inception through December 31, 2020.</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To reflect an adjustment to eliminate interest income on cash and marketable securities held in the trust account as of the beginning of the period.</w:t>
      </w:r>
    </w:p>
    <w:p>
      <w:pPr>
        <w:spacing w:after="0" w:line="153" w:lineRule="exact"/>
        <w:rPr>
          <w:rFonts w:ascii="Arial" w:cs="Arial" w:eastAsia="Arial" w:hAnsi="Arial"/>
          <w:sz w:val="16"/>
          <w:szCs w:val="16"/>
          <w:color w:val="auto"/>
        </w:rPr>
      </w:pPr>
    </w:p>
    <w:p>
      <w:pPr>
        <w:ind w:left="540" w:hanging="424"/>
        <w:spacing w:after="0" w:line="279" w:lineRule="auto"/>
        <w:tabs>
          <w:tab w:leader="none" w:pos="5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As the business combination, the PIPE Investment and the transactions contemplated by the HEC Forward Purchase Agreement are being reflected as if they had occurred at the beginning of the period presented, the calculation of weighted average shares outstanding for basic and diluted net loss per share assumes that the shares issuable relating to the business combination, the PIPE Investment and the transactions contemplated by the HEC Forward Purchase Agreement have been outstanding for the entirety of the period presented. If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the maximum number of shares are redeemed, this calculation is retroactively adjusted to eliminate such shares for the entire period. Weighted average common shares outstanding on a fully diluted net exercise basis—for the three months ended March 31, 2021 and year ended December 31, 2020 is calculated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Scenario 1</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Combined</w:t>
            </w: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(Assuming No</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Redemption)</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calculation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Shares held by public shareholders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41,400,000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Issuance pursuant to the HEC Forward Purchase Agreement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Founder shares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7,245,000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Issuance of Talkspace, Inc. common stock in connection with closing of the PIPE Investment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w w:val="99"/>
              </w:rPr>
              <w:t>Issuance of Talkspace, Inc. common stock to holders of Talkspace stock and options (on a net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jc w:val="right"/>
              <w:ind w:right="2930"/>
              <w:spacing w:after="0"/>
              <w:rPr>
                <w:sz w:val="20"/>
                <w:szCs w:val="20"/>
                <w:color w:val="auto"/>
              </w:rPr>
            </w:pPr>
            <w:r>
              <w:rPr>
                <w:rFonts w:ascii="Arial" w:cs="Arial" w:eastAsia="Arial" w:hAnsi="Arial"/>
                <w:sz w:val="18"/>
                <w:szCs w:val="18"/>
                <w:color w:val="auto"/>
                <w:w w:val="93"/>
              </w:rPr>
              <w:t>exercise basis) in connection with the business combination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83,900,000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117,800,000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on a fully diluted net exercise basis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165,045,000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165,045,000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jc w:val="right"/>
              <w:ind w:right="2210"/>
              <w:spacing w:after="0"/>
              <w:rPr>
                <w:sz w:val="20"/>
                <w:szCs w:val="20"/>
                <w:color w:val="auto"/>
              </w:rPr>
            </w:pPr>
            <w:r>
              <w:rPr>
                <w:rFonts w:ascii="Arial" w:cs="Arial" w:eastAsia="Arial" w:hAnsi="Arial"/>
                <w:sz w:val="18"/>
                <w:szCs w:val="18"/>
                <w:color w:val="auto"/>
              </w:rPr>
              <w:t>256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HEC’S SELECTED HISTORICAL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HEC is providing the following selected historical financial information to assist you in your analysis of the financial aspects of the Transactions.</w:t>
      </w:r>
    </w:p>
    <w:p>
      <w:pPr>
        <w:spacing w:after="0" w:line="23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HEC’s balance sheet data as of December 31, 2020 (As Restated) and statement of operations data for the period from February 6, 2020 (inception) through December 31, 2020 (As Restated) are derived from HEC’s audited financial statements, included elsewhere in this proxy statement/prospectus. HEC’s condensed consolidated balance sheet data as of March 31, 2021 and condensed consolidated statement of operations data for the three months ended March 31, 2021 and the period from February 6, 2020 (inception) through March 31, 2020 is derived from HEC’s unaudited condensed consolidated financial statements for the three months ended March 31, 2021, included elsewhere in this proxy statement/prospectus.</w:t>
      </w:r>
    </w:p>
    <w:p>
      <w:pPr>
        <w:spacing w:after="0" w:line="16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information is only a summary and should be read in conjunction with HEC’s financial statements and related notes and “</w:t>
      </w:r>
      <w:r>
        <w:rPr>
          <w:rFonts w:ascii="Arial" w:cs="Arial" w:eastAsia="Arial" w:hAnsi="Arial"/>
          <w:sz w:val="17"/>
          <w:szCs w:val="17"/>
          <w:i w:val="1"/>
          <w:iCs w:val="1"/>
          <w:color w:val="auto"/>
        </w:rPr>
        <w:t>Other Information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to HEC</w:t>
      </w:r>
      <w:r>
        <w:rPr>
          <w:rFonts w:ascii="Arial" w:cs="Arial" w:eastAsia="Arial" w:hAnsi="Arial"/>
          <w:sz w:val="17"/>
          <w:szCs w:val="17"/>
          <w:color w:val="auto"/>
        </w:rPr>
        <w:t>” and “</w:t>
      </w:r>
      <w:r>
        <w:rPr>
          <w:rFonts w:ascii="Arial" w:cs="Arial" w:eastAsia="Arial" w:hAnsi="Arial"/>
          <w:sz w:val="17"/>
          <w:szCs w:val="17"/>
          <w:i w:val="1"/>
          <w:iCs w:val="1"/>
          <w:color w:val="auto"/>
        </w:rPr>
        <w:t>HEC’s Management’s Discussion and Analysis of Financial Condition and Results of Operations (As Restated).</w:t>
      </w:r>
      <w:r>
        <w:rPr>
          <w:rFonts w:ascii="Arial" w:cs="Arial" w:eastAsia="Arial" w:hAnsi="Arial"/>
          <w:sz w:val="17"/>
          <w:szCs w:val="17"/>
          <w:color w:val="auto"/>
        </w:rPr>
        <w:t>” The historical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below and elsewhere in this proxy statement/prospectus are not indicative of the future performance of HEC.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Operations: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February 6, 2020</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6, 2020</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(Inception)</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Through</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Restated)</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728,422</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46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(728,422)</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(1,776,306)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8,467,400</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(18,896,400)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2,575,000</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w w:val="93"/>
              </w:rPr>
              <w:t>Compensation expense in connection with issuance of Private Placement Warrants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47,151</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228,281</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11,089,551</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(25,449,532)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10,361,129</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(27,225,838)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86"/>
              </w:rPr>
              <w:t>10,361,129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(27,235,908)</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41,400,000</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w w:val="96"/>
              </w:rPr>
              <w:t>Weighted average shares outstanding of Class B non-redeemable common stock</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10,350,000</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Basic and diluted net loss per share, Class B non-redeemable common stock</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5360"/>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Sheet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6"/>
              </w:rPr>
              <w:t>As of March 31,</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377,294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Prepaid expenses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151,334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118,525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in trust account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414,275,432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414,228,281</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414,804,060</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415,525,183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62,868,208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73,950,460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subject to possible redemption, 34,693,585 and 33,657,472 shares at $10.00 per share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as of March 31, 2021 and December 31, 2020, respectively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346,935,850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336,574,720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Class B common stock</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21,873,075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32,234,102</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Accumulated deficit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(16,874,779)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(27,235,908)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5,000,003</w:t>
            </w:r>
          </w:p>
        </w:tc>
        <w:tc>
          <w:tcPr>
            <w:tcW w:w="0" w:type="dxa"/>
            <w:vAlign w:val="bottom"/>
          </w:tcPr>
          <w:p>
            <w:pPr>
              <w:spacing w:after="0"/>
              <w:rPr>
                <w:sz w:val="1"/>
                <w:szCs w:val="1"/>
                <w:color w:val="auto"/>
              </w:rPr>
            </w:pPr>
          </w:p>
        </w:tc>
      </w:tr>
      <w:tr>
        <w:trPr>
          <w:trHeight w:val="372"/>
        </w:trPr>
        <w:tc>
          <w:tcPr>
            <w:tcW w:w="8100" w:type="dxa"/>
            <w:vAlign w:val="bottom"/>
          </w:tcPr>
          <w:p>
            <w:pPr>
              <w:ind w:left="536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TALKSPACE’S SELECTED HISTORICAL FINANCIAL INFORMATION</w:t>
      </w:r>
    </w:p>
    <w:p>
      <w:pPr>
        <w:spacing w:after="0" w:line="22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selected historical consolidated statements of comprehensive loss data of Talkspace for the years ended December 31, 2020 and 2019 and the selected historical consolidated balance sheet data as of December 31, 2020 and 2019 are derived from Talkspace’s audited consolidated financial statements included elsewhere in this proxy statement/prospectus. The selected historical consolidated statements of comprehensive loss data of Talkspace for the three months ended March 31, 2021 and 2020 and the selected consolidated balance sheet data as of March 31, 2021 are derived from Talkspace’s unaudited interim consolidated financial statements included elsewhere in this proxy statement/prospectus. In Talkspace management’s opinion, the unaudited interim consolidated financial statements include all adjustments necessary to state fairly Talkspace’s financial position as of March 31, 2021 and the results of operations for the three months ended March 31, 2021 and 2020.</w:t>
      </w:r>
    </w:p>
    <w:p>
      <w:pPr>
        <w:spacing w:after="0" w:line="17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Talkspace’s historical results are not necessarily indicative of the results that may be expected in the future and Talkspace’s results for three months ended March 31, 2021 are not necessarily indicative of the results that may be expected for the full year ending December 31, 2021 or any other period. You should read the following selected historical consolidated financial data together with “Talkspace’s Management’s Discussion and Analysis of Financial Condition and Results of Operations” and Talkspace’s consolidated financial statements and related notes included elsewhere in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Statements of Comprehensive loss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4"/>
          </w:tcPr>
          <w:p>
            <w:pPr>
              <w:jc w:val="center"/>
              <w:ind w:left="633"/>
              <w:spacing w:after="0"/>
              <w:rPr>
                <w:sz w:val="20"/>
                <w:szCs w:val="20"/>
                <w:color w:val="auto"/>
              </w:rPr>
            </w:pPr>
            <w:r>
              <w:rPr>
                <w:rFonts w:ascii="Arial" w:cs="Arial" w:eastAsia="Arial" w:hAnsi="Arial"/>
                <w:sz w:val="14"/>
                <w:szCs w:val="14"/>
                <w:b w:val="1"/>
                <w:bCs w:val="1"/>
                <w:color w:val="auto"/>
                <w:w w:val="90"/>
              </w:rPr>
              <w:t>Year ended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26,353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18,042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17,343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Clinical operations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22,251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10,199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12,730</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 average number of common shares used in computing</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share</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12,134,482</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11,728,768</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11,779,604</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11,219,242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1340" w:type="dxa"/>
            <w:vAlign w:val="bottom"/>
            <w:gridSpan w:val="3"/>
          </w:tcPr>
          <w:p>
            <w:pPr>
              <w:jc w:val="right"/>
              <w:ind w:right="613"/>
              <w:spacing w:after="0"/>
              <w:rPr>
                <w:sz w:val="20"/>
                <w:szCs w:val="20"/>
                <w:color w:val="auto"/>
              </w:rPr>
            </w:pPr>
            <w:r>
              <w:rPr>
                <w:rFonts w:ascii="Arial" w:cs="Arial" w:eastAsia="Arial" w:hAnsi="Arial"/>
                <w:sz w:val="18"/>
                <w:szCs w:val="18"/>
                <w:color w:val="auto"/>
              </w:rPr>
              <w:t>259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sheet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1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14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  34,919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$ 41,929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liabilities</w:t>
            </w:r>
          </w:p>
        </w:tc>
        <w:tc>
          <w:tcPr>
            <w:tcW w:w="2260" w:type="dxa"/>
            <w:vAlign w:val="bottom"/>
            <w:gridSpan w:val="2"/>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32,838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20,489</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111,282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140" w:type="dxa"/>
            <w:vAlign w:val="bottom"/>
            <w:gridSpan w:val="2"/>
          </w:tcPr>
          <w:p>
            <w:pPr>
              <w:ind w:left="440"/>
              <w:spacing w:after="0"/>
              <w:rPr>
                <w:sz w:val="20"/>
                <w:szCs w:val="20"/>
                <w:color w:val="auto"/>
              </w:rPr>
            </w:pPr>
            <w:r>
              <w:rPr>
                <w:rFonts w:ascii="Arial" w:cs="Arial" w:eastAsia="Arial" w:hAnsi="Arial"/>
                <w:sz w:val="18"/>
                <w:szCs w:val="18"/>
                <w:color w:val="auto"/>
              </w:rPr>
              <w:t>Total stockholders’ deficit</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(109,201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(98,898)</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(79,599)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 data:</w:t>
            </w: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8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5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gridSpan w:val="3"/>
            <w:vMerge w:val="continue"/>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19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960" w:type="dxa"/>
            <w:vAlign w:val="bottom"/>
            <w:gridSpan w:val="4"/>
          </w:tcPr>
          <w:p>
            <w:pPr>
              <w:jc w:val="right"/>
              <w:ind w:right="328"/>
              <w:spacing w:after="0"/>
              <w:rPr>
                <w:sz w:val="20"/>
                <w:szCs w:val="20"/>
                <w:color w:val="auto"/>
              </w:rPr>
            </w:pPr>
            <w:r>
              <w:rPr>
                <w:rFonts w:ascii="Arial" w:cs="Arial" w:eastAsia="Arial" w:hAnsi="Arial"/>
                <w:sz w:val="18"/>
                <w:szCs w:val="18"/>
                <w:color w:val="auto"/>
              </w:rPr>
              <w:t>$(3,879)</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95"/>
              </w:rPr>
              <w:t>$(7,797)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$(15,175)</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$(21,192)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96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12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4580" w:type="dxa"/>
            <w:vAlign w:val="bottom"/>
            <w:gridSpan w:val="3"/>
          </w:tcPr>
          <w:p>
            <w:pPr>
              <w:ind w:left="440"/>
              <w:spacing w:after="0"/>
              <w:rPr>
                <w:sz w:val="20"/>
                <w:szCs w:val="20"/>
                <w:color w:val="auto"/>
              </w:rPr>
            </w:pPr>
            <w:r>
              <w:rPr>
                <w:rFonts w:ascii="Arial" w:cs="Arial" w:eastAsia="Arial" w:hAnsi="Arial"/>
                <w:sz w:val="18"/>
                <w:szCs w:val="18"/>
                <w:color w:val="auto"/>
              </w:rPr>
              <w:t>Financing activities</w:t>
            </w:r>
          </w:p>
        </w:tc>
        <w:tc>
          <w:tcPr>
            <w:tcW w:w="19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TALKSPACE’S MANAGEMENT’S DISCUSSION AND ANALYSIS OF FINANCIAL CONDITION AND RESULTS OF OPERATIONS</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the business of Talkspace and its subsidiaries prior to the consummation of the business combination.</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“Talkspace Selected Historical Financial Information” section of this proxy statement/prospectus and our financial statements and the related notes appearing elsewhere in this proxy statement/prospectus. This discussion contains forward-looking statements that reflect our plans, estimates, and beliefs that involve risks and uncertainties. As a result of many factors, such as those set forth under the “Risk Factors” and “Cautionary Note Regarding Forward-Looking Statements” sections and elsewhere in this proxy statement/prospectus, our actual results may differ materially from those anticipated in these forward-looking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B2C channel, comprised of individual consumers who subscribe directly to our platform, and our B2B channel, comprised of large enterprise clients such as Google and Expedia and large health plans and employee assistance programs (“health plan clients”) such as Aetna, Cigna, Premera, Humana and Optum (collectively, our “clients”), who offer their employees and insured members access to our platform for free or at in-network reimbursement rates, respectively.</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 the year ended December 31, 2020, we provided therapy to approximately 200,000 members on our platform, as compared to approximately 92,000 members for the year ended December 31, 2019, and for the three months ended March 31, 2021, we provided therapy to approximately 65,000 members on our platform, as compared to approximately 39,000 members for the three months ended March 31, 2020. As of March 31, 2021, we had over 60,000 active members receiving care through our B2C and B2B channels, including approximately 35,000 B2C active members, and nearly 42 million B2B eligible lives. As of May 1, 2021, our B2B eligible lives grew to over 55 million.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 For the years ended December 31, 2019 and 2020, approximately 66% and 62% of our B2C members, respectively, and for the three months ended March 31, 2020 and 2021, approximately 60% and 58% of our B2C members, respectively, remained active on our platform beyond the initial term of their subscription.</w:t>
      </w:r>
    </w:p>
    <w:p>
      <w:pPr>
        <w:spacing w:after="0" w:line="184"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70"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While the global crisis resulting from the spread of COVID-19 has not had a negative impact on our business and results of operations so far, the COVID-19 pandemic has caused general business disruption worldwide beginning in January 2020. The full extent to which the COVID-19 pandemic will directly or indirectly impact our business, results of operations and financial condition will depend on future developments that are highly uncertain and cannot be accurately predicted, and we continue to closely monitor how the COVID-19 pandemic is impacting our business. Thus far, we believe that the COVID-19 pandemic has been a contributing factor to the acceleration of growth of our business. However, we cannot determine the extent to which our results of operations and overall financial performance have been affected by the COVID-19 pandemic. While our financial condition and results of operations were not negatively impacted by the COVID-19 pandemic, the impact of the pandemic on our future growth, results of operations, cash flow and financial condition is unknown, and we are unable to accurately predict such future impact. There can be no assurance that the circumstances that have accelerated the growth of our business stemming from the effects of the COVID-19 pandemic will continue over time whether during or after the COVID-19 pandemic.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impacts of the COVID-19 pandemic on our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and allocates resources.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8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number of health plan and enterprise clients)</w:t>
            </w: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8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vMerge w:val="continue"/>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Number of B2C active members at period end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Number of B2B eligible lives at period end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41,820.7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9,569.0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39,444.4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7,607.1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Number of health plan clients at period end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Number of enterprise clients at period end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active members at period end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Total number of members treated on Talkspace platform during period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197.3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i w:val="1"/>
          <w:iCs w:val="1"/>
          <w:color w:val="auto"/>
        </w:rPr>
        <w:t xml:space="preserve">Active Members: </w:t>
      </w:r>
      <w:r>
        <w:rPr>
          <w:rFonts w:ascii="Arial" w:cs="Arial" w:eastAsia="Arial" w:hAnsi="Arial"/>
          <w:sz w:val="16"/>
          <w:szCs w:val="16"/>
          <w:color w:val="auto"/>
        </w:rPr>
        <w:t>We consider members “active” (i) in the case of our B2C members, commencing on the date such member initiates contact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w:t>
      </w:r>
    </w:p>
    <w:p>
      <w:pPr>
        <w:spacing w:after="0" w:line="157" w:lineRule="exact"/>
        <w:rPr>
          <w:sz w:val="20"/>
          <w:szCs w:val="20"/>
          <w:color w:val="auto"/>
        </w:rPr>
      </w:pPr>
    </w:p>
    <w:p>
      <w:pPr>
        <w:ind w:left="120" w:right="480"/>
        <w:spacing w:after="0" w:line="311" w:lineRule="auto"/>
        <w:rPr>
          <w:sz w:val="20"/>
          <w:szCs w:val="20"/>
          <w:color w:val="auto"/>
        </w:rPr>
      </w:pPr>
      <w:r>
        <w:rPr>
          <w:rFonts w:ascii="Arial" w:cs="Arial" w:eastAsia="Arial" w:hAnsi="Arial"/>
          <w:sz w:val="16"/>
          <w:szCs w:val="16"/>
          <w:i w:val="1"/>
          <w:iCs w:val="1"/>
          <w:color w:val="auto"/>
        </w:rPr>
        <w:t xml:space="preserve">B2B Eligible Lives: </w:t>
      </w:r>
      <w:r>
        <w:rPr>
          <w:rFonts w:ascii="Arial" w:cs="Arial" w:eastAsia="Arial" w:hAnsi="Arial"/>
          <w:sz w:val="16"/>
          <w:szCs w:val="16"/>
          <w:color w:val="auto"/>
        </w:rPr>
        <w:t>We consider B2B lives “eligible” if such persons are eligible to receive treatment on the Talkspace platform, in the case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clients, for free when their employer is under an active contract with Talkspace, or, in the case of health plan clients, at an agreed upon reimbursement rate through insurance under an employee assistance program or other network behavioral health paid benefit program.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40"/>
        <w:spacing w:after="0" w:line="342" w:lineRule="auto"/>
        <w:rPr>
          <w:sz w:val="20"/>
          <w:szCs w:val="20"/>
          <w:color w:val="auto"/>
        </w:rPr>
      </w:pPr>
      <w:r>
        <w:rPr>
          <w:rFonts w:ascii="Arial" w:cs="Arial" w:eastAsia="Arial" w:hAnsi="Arial"/>
          <w:sz w:val="16"/>
          <w:szCs w:val="16"/>
          <w:color w:val="auto"/>
        </w:rPr>
        <w:t>We calculate adjusted EBITDA as net loss adjusted to exclude (i) interest and other expenses (income), net, (ii) tax benefit and expense, (iii) depreciation and amortization (iv) stock-based compensation expense and (v) business combination and other financing expenses.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a reconciliation of adjusted EBITDA from the most comparable GAAP measure, net loss, for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 and for the years ended December 31, 2020 and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76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7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6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(12,738</w:t>
            </w:r>
          </w:p>
        </w:tc>
        <w:tc>
          <w:tcPr>
            <w:tcW w:w="2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(7,900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(22,370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(29,086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Add:</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18</w:t>
            </w:r>
          </w:p>
        </w:tc>
        <w:tc>
          <w:tcPr>
            <w:tcW w:w="11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379</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(30)</w:t>
            </w:r>
          </w:p>
        </w:tc>
        <w:tc>
          <w:tcPr>
            <w:tcW w:w="1100" w:type="dxa"/>
            <w:vAlign w:val="bottom"/>
            <w:gridSpan w:val="3"/>
          </w:tcPr>
          <w:p>
            <w:pPr>
              <w:jc w:val="right"/>
              <w:ind w:right="241"/>
              <w:spacing w:after="0"/>
              <w:rPr>
                <w:sz w:val="20"/>
                <w:szCs w:val="20"/>
                <w:color w:val="auto"/>
              </w:rPr>
            </w:pPr>
            <w:r>
              <w:rPr>
                <w:rFonts w:ascii="Arial" w:cs="Arial" w:eastAsia="Arial" w:hAnsi="Arial"/>
                <w:sz w:val="18"/>
                <w:szCs w:val="18"/>
                <w:color w:val="auto"/>
              </w:rPr>
              <w:t>364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24</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Legal expenses related to business combination</w:t>
            </w: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41"/>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401</w:t>
            </w:r>
          </w:p>
        </w:tc>
        <w:tc>
          <w:tcPr>
            <w:tcW w:w="11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2,977</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Adjusted EBITDA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(10,582</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(7,508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(18,449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(25,965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58" w:lineRule="auto"/>
        <w:rPr>
          <w:sz w:val="20"/>
          <w:szCs w:val="20"/>
          <w:color w:val="auto"/>
        </w:rPr>
      </w:pPr>
      <w:r>
        <w:rPr>
          <w:rFonts w:ascii="Arial" w:cs="Arial" w:eastAsia="Arial" w:hAnsi="Arial"/>
          <w:sz w:val="18"/>
          <w:szCs w:val="18"/>
          <w:color w:val="auto"/>
        </w:rPr>
        <w:t>Some of the limitations of adjusted EBITDA include (i) adjusted EBITDA does not properly reflect capital commitments to be paid in the future and (ii) although depreciation and amortization are non-cash charges, the</w:t>
      </w:r>
    </w:p>
    <w:p>
      <w:pPr>
        <w:spacing w:after="0" w:line="1" w:lineRule="exact"/>
        <w:rPr>
          <w:sz w:val="20"/>
          <w:szCs w:val="20"/>
          <w:color w:val="auto"/>
        </w:rPr>
      </w:pPr>
    </w:p>
    <w:p>
      <w:pPr>
        <w:ind w:left="120" w:right="100"/>
        <w:spacing w:after="0" w:line="251" w:lineRule="auto"/>
        <w:rPr>
          <w:sz w:val="20"/>
          <w:szCs w:val="20"/>
          <w:color w:val="auto"/>
        </w:rPr>
      </w:pPr>
      <w:r>
        <w:rPr>
          <w:rFonts w:ascii="Arial" w:cs="Arial" w:eastAsia="Arial" w:hAnsi="Arial"/>
          <w:sz w:val="18"/>
          <w:szCs w:val="18"/>
          <w:color w:val="auto"/>
        </w:rPr>
        <w:t>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generate revenues from the sale of monthly, quarterly and bi-annual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anytime and will receive a pro-rata refund for the subscription price.</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recognize contracted revenue from our enterprise clients from the commencement of their contracted term through the annual period based on a per-member-per month model. We recognize revenues from services provided to insured members at a point in time, as virtual therapy session is rendered. Revenue is recognized in an amount that reflects the consideration that is expected in exchange for the service. Our contracts with B2B clients generally provide for 90 days advance notice prior to termination.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growth is generated from increasing our membership subscriptions, contracting with enterprise clients and health plans.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demonstrated continued revenue growth during 2019 and 2020 as a direct result of the increased penetration of the direct-to-consumer market, and the Company’s 2018 entry into the commercial insurance and enterprise sales markets. The Company’s revenues grew 144.2% from $11.1 million for the three months ended March 31, 2020 to $27.2 million for the three months ended March 31, 2021, and 99.6% from $38.2 million for the year ended December 31, 2019 to $76.2 million for the year ended December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without incentive bonuses.</w:t>
      </w:r>
    </w:p>
    <w:p>
      <w:pPr>
        <w:spacing w:after="0" w:line="17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While we expect increased investments to support accelerated growth and the required investment to scale our provider network, we also expect increased efficiencies and economies of scale. Our quarterly cost of revenues as a percentage of revenues is expected to fluctuate from period to period depending on the interplay of these aforementioned factors.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4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We expect research and development expenses will increase on an absolute dollar basis as we continue to grow our platform and product offerings; however, the anticipated corresponding future revenue growth is expected to result in lower research and development expenses as a percentage of revenue.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Operations Expenses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65"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We expect clinical operations expenses will increase on an absolute dollar basis as we continue to grow our provider network and product offerings. 265</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spacing w:after="0" w:line="15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following the completion of the business combination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expenses (income), net</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Financial income, net includes interest earned on cash equivalents deposited in our bank accounts, other financial expenses in connection with bank charges and the impact from changes in the fair value of our liability classified warrants.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taxes on income consists primarily of foreign income taxes related to income generated by our subsidiary organized under the laws of Israel. As we expand the scale of our international business activities, any changes in the U.S. and foreign taxation of such activities may increase our overall provision for income taxes in the future.</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results of operations for the three months ended March 31,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2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gridSpan w:val="4"/>
          </w:tcPr>
          <w:p>
            <w:pPr>
              <w:jc w:val="right"/>
              <w:ind w:right="708"/>
              <w:spacing w:after="0" w:line="142" w:lineRule="exact"/>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$27,157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$11,120</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$16,037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revenues</w:t>
            </w:r>
          </w:p>
        </w:tc>
        <w:tc>
          <w:tcPr>
            <w:tcW w:w="2960" w:type="dxa"/>
            <w:vAlign w:val="bottom"/>
            <w:gridSpan w:val="2"/>
          </w:tcPr>
          <w:p>
            <w:pPr>
              <w:jc w:val="right"/>
              <w:ind w:right="108"/>
              <w:spacing w:after="0"/>
              <w:rPr>
                <w:sz w:val="20"/>
                <w:szCs w:val="20"/>
                <w:color w:val="auto"/>
              </w:rPr>
            </w:pPr>
            <w:r>
              <w:rPr>
                <w:rFonts w:ascii="Arial" w:cs="Arial" w:eastAsia="Arial" w:hAnsi="Arial"/>
                <w:sz w:val="18"/>
                <w:szCs w:val="18"/>
                <w:color w:val="auto"/>
              </w:rPr>
              <w:t>9,814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5,410</w:t>
            </w:r>
          </w:p>
        </w:tc>
        <w:tc>
          <w:tcPr>
            <w:tcW w:w="1160" w:type="dxa"/>
            <w:vAlign w:val="bottom"/>
            <w:gridSpan w:val="2"/>
          </w:tcPr>
          <w:p>
            <w:pPr>
              <w:jc w:val="right"/>
              <w:ind w:right="328"/>
              <w:spacing w:after="0"/>
              <w:rPr>
                <w:sz w:val="20"/>
                <w:szCs w:val="20"/>
                <w:color w:val="auto"/>
              </w:rPr>
            </w:pPr>
            <w:r>
              <w:rPr>
                <w:rFonts w:ascii="Arial" w:cs="Arial" w:eastAsia="Arial" w:hAnsi="Arial"/>
                <w:sz w:val="18"/>
                <w:szCs w:val="18"/>
                <w:color w:val="auto"/>
              </w:rPr>
              <w:t>4,404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17,343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5,710</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11,633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203.7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2,964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2,728</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236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Clinical operations</w:t>
            </w:r>
          </w:p>
        </w:tc>
        <w:tc>
          <w:tcPr>
            <w:tcW w:w="2960" w:type="dxa"/>
            <w:vAlign w:val="bottom"/>
            <w:gridSpan w:val="2"/>
          </w:tcPr>
          <w:p>
            <w:pPr>
              <w:jc w:val="right"/>
              <w:ind w:right="108"/>
              <w:spacing w:after="0"/>
              <w:rPr>
                <w:sz w:val="20"/>
                <w:szCs w:val="20"/>
                <w:color w:val="auto"/>
              </w:rPr>
            </w:pPr>
            <w:r>
              <w:rPr>
                <w:rFonts w:ascii="Arial" w:cs="Arial" w:eastAsia="Arial" w:hAnsi="Arial"/>
                <w:sz w:val="18"/>
                <w:szCs w:val="18"/>
                <w:color w:val="auto"/>
              </w:rPr>
              <w:t>2,077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877</w:t>
            </w:r>
          </w:p>
        </w:tc>
        <w:tc>
          <w:tcPr>
            <w:tcW w:w="1160" w:type="dxa"/>
            <w:vAlign w:val="bottom"/>
            <w:gridSpan w:val="2"/>
          </w:tcPr>
          <w:p>
            <w:pPr>
              <w:jc w:val="right"/>
              <w:ind w:right="328"/>
              <w:spacing w:after="0"/>
              <w:rPr>
                <w:sz w:val="20"/>
                <w:szCs w:val="20"/>
                <w:color w:val="auto"/>
              </w:rPr>
            </w:pPr>
            <w:r>
              <w:rPr>
                <w:rFonts w:ascii="Arial" w:cs="Arial" w:eastAsia="Arial" w:hAnsi="Arial"/>
                <w:sz w:val="18"/>
                <w:szCs w:val="18"/>
                <w:color w:val="auto"/>
              </w:rPr>
              <w:t>1,200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22,251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8,918</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13,333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149.5</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960" w:type="dxa"/>
            <w:vAlign w:val="bottom"/>
            <w:gridSpan w:val="2"/>
          </w:tcPr>
          <w:p>
            <w:pPr>
              <w:jc w:val="right"/>
              <w:ind w:right="108"/>
              <w:spacing w:after="0"/>
              <w:rPr>
                <w:sz w:val="20"/>
                <w:szCs w:val="20"/>
                <w:color w:val="auto"/>
              </w:rPr>
            </w:pPr>
            <w:r>
              <w:rPr>
                <w:rFonts w:ascii="Arial" w:cs="Arial" w:eastAsia="Arial" w:hAnsi="Arial"/>
                <w:sz w:val="18"/>
                <w:szCs w:val="18"/>
                <w:color w:val="auto"/>
              </w:rPr>
              <w:t>2,608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1,114</w:t>
            </w:r>
          </w:p>
        </w:tc>
        <w:tc>
          <w:tcPr>
            <w:tcW w:w="1160" w:type="dxa"/>
            <w:vAlign w:val="bottom"/>
            <w:gridSpan w:val="2"/>
          </w:tcPr>
          <w:p>
            <w:pPr>
              <w:jc w:val="right"/>
              <w:ind w:right="328"/>
              <w:spacing w:after="0"/>
              <w:rPr>
                <w:sz w:val="20"/>
                <w:szCs w:val="20"/>
                <w:color w:val="auto"/>
              </w:rPr>
            </w:pPr>
            <w:r>
              <w:rPr>
                <w:rFonts w:ascii="Arial" w:cs="Arial" w:eastAsia="Arial" w:hAnsi="Arial"/>
                <w:sz w:val="18"/>
                <w:szCs w:val="18"/>
                <w:color w:val="auto"/>
              </w:rPr>
              <w:t>1,494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134.1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29,900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13,637</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16,263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119.3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loss</w:t>
            </w:r>
          </w:p>
        </w:tc>
        <w:tc>
          <w:tcPr>
            <w:tcW w:w="2960" w:type="dxa"/>
            <w:vAlign w:val="bottom"/>
            <w:gridSpan w:val="2"/>
          </w:tcPr>
          <w:p>
            <w:pPr>
              <w:jc w:val="right"/>
              <w:ind w:right="108"/>
              <w:spacing w:after="0"/>
              <w:rPr>
                <w:sz w:val="20"/>
                <w:szCs w:val="20"/>
                <w:color w:val="auto"/>
              </w:rPr>
            </w:pPr>
            <w:r>
              <w:rPr>
                <w:rFonts w:ascii="Arial" w:cs="Arial" w:eastAsia="Arial" w:hAnsi="Arial"/>
                <w:sz w:val="18"/>
                <w:szCs w:val="18"/>
                <w:color w:val="auto"/>
              </w:rPr>
              <w:t>12,557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7,927</w:t>
            </w:r>
          </w:p>
        </w:tc>
        <w:tc>
          <w:tcPr>
            <w:tcW w:w="1160" w:type="dxa"/>
            <w:vAlign w:val="bottom"/>
            <w:gridSpan w:val="2"/>
          </w:tcPr>
          <w:p>
            <w:pPr>
              <w:jc w:val="right"/>
              <w:ind w:right="328"/>
              <w:spacing w:after="0"/>
              <w:rPr>
                <w:sz w:val="20"/>
                <w:szCs w:val="20"/>
                <w:color w:val="auto"/>
              </w:rPr>
            </w:pPr>
            <w:r>
              <w:rPr>
                <w:rFonts w:ascii="Arial" w:cs="Arial" w:eastAsia="Arial" w:hAnsi="Arial"/>
                <w:sz w:val="18"/>
                <w:szCs w:val="18"/>
                <w:color w:val="auto"/>
              </w:rPr>
              <w:t>4,630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203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676.7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2960" w:type="dxa"/>
            <w:vAlign w:val="bottom"/>
            <w:gridSpan w:val="2"/>
          </w:tcPr>
          <w:p>
            <w:pPr>
              <w:jc w:val="right"/>
              <w:ind w:right="108"/>
              <w:spacing w:after="0"/>
              <w:rPr>
                <w:sz w:val="20"/>
                <w:szCs w:val="20"/>
                <w:color w:val="auto"/>
              </w:rPr>
            </w:pPr>
            <w:r>
              <w:rPr>
                <w:rFonts w:ascii="Arial" w:cs="Arial" w:eastAsia="Arial" w:hAnsi="Arial"/>
                <w:sz w:val="18"/>
                <w:szCs w:val="18"/>
                <w:color w:val="auto"/>
              </w:rPr>
              <w:t>12,730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7,897</w:t>
            </w:r>
          </w:p>
        </w:tc>
        <w:tc>
          <w:tcPr>
            <w:tcW w:w="1160" w:type="dxa"/>
            <w:vAlign w:val="bottom"/>
            <w:gridSpan w:val="2"/>
          </w:tcPr>
          <w:p>
            <w:pPr>
              <w:jc w:val="right"/>
              <w:ind w:right="328"/>
              <w:spacing w:after="0"/>
              <w:rPr>
                <w:sz w:val="20"/>
                <w:szCs w:val="20"/>
                <w:color w:val="auto"/>
              </w:rPr>
            </w:pPr>
            <w:r>
              <w:rPr>
                <w:rFonts w:ascii="Arial" w:cs="Arial" w:eastAsia="Arial" w:hAnsi="Arial"/>
                <w:sz w:val="18"/>
                <w:szCs w:val="18"/>
                <w:color w:val="auto"/>
              </w:rPr>
              <w:t>4,833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166.7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ind w:right="108"/>
              <w:spacing w:after="0"/>
              <w:rPr>
                <w:sz w:val="20"/>
                <w:szCs w:val="20"/>
                <w:color w:val="auto"/>
              </w:rPr>
            </w:pPr>
            <w:r>
              <w:rPr>
                <w:rFonts w:ascii="Arial" w:cs="Arial" w:eastAsia="Arial" w:hAnsi="Arial"/>
                <w:sz w:val="18"/>
                <w:szCs w:val="18"/>
                <w:color w:val="auto"/>
              </w:rPr>
              <w:t>$12,738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$ 7,900</w:t>
            </w:r>
          </w:p>
        </w:tc>
        <w:tc>
          <w:tcPr>
            <w:tcW w:w="1160" w:type="dxa"/>
            <w:vAlign w:val="bottom"/>
            <w:gridSpan w:val="2"/>
          </w:tcPr>
          <w:p>
            <w:pPr>
              <w:jc w:val="right"/>
              <w:ind w:right="328"/>
              <w:spacing w:after="0"/>
              <w:rPr>
                <w:sz w:val="20"/>
                <w:szCs w:val="20"/>
                <w:color w:val="auto"/>
              </w:rPr>
            </w:pPr>
            <w:r>
              <w:rPr>
                <w:rFonts w:ascii="Arial" w:cs="Arial" w:eastAsia="Arial" w:hAnsi="Arial"/>
                <w:sz w:val="18"/>
                <w:szCs w:val="18"/>
                <w:color w:val="auto"/>
              </w:rPr>
              <w:t>$ 4,838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Revenues increased by $16.0 million, or 144.2%, to $27.2 million for the three months ended March 31, 2021 from $11.1 million for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months ended March 31, 2020. The increase was principally driven by increased B2C member subscriptions, the addition of a new health plan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client and new enterprise clients and an increase in year-over-year revenue from existing health plan clients. B2C member subscriptions revenue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increased by $8.8 million, or 90.2%, from $9.8 million for the three months ended March 31, 2020 to $18.6 million for the three months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2021. Revenue from our health plan clients increased by $4.8 million, or 897.4%, to $5.3 million for the three months ended March 31,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from $0.5 million for the three months ended March 31, 2020. Enterprise client contracts increased by 66 clients, or 264.0%, from 25 clients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2020 to 91 clients as of March 31, 2021. This increase in the number of enterprise clients increased revenue by $2.4 million, or 297.5%,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$0.8 million for the three months ended March 31, 2020 to $3.2 million for the three months ended March 31, 2021. We believe that the appeal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technology platform, the quality of our providers and the cost of our services will continue to represent the primary drivers of revenue growth from B2C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and B2B clients.</w:t>
      </w:r>
    </w:p>
    <w:p>
      <w:pPr>
        <w:spacing w:after="0" w:line="207" w:lineRule="exact"/>
        <w:rPr>
          <w:sz w:val="20"/>
          <w:szCs w:val="20"/>
          <w:color w:val="auto"/>
        </w:rPr>
      </w:pPr>
    </w:p>
    <w:p>
      <w:pPr>
        <w:ind w:left="120" w:right="100"/>
        <w:spacing w:after="0" w:line="289" w:lineRule="auto"/>
        <w:rPr>
          <w:sz w:val="20"/>
          <w:szCs w:val="20"/>
          <w:color w:val="auto"/>
        </w:rPr>
      </w:pPr>
      <w:r>
        <w:rPr>
          <w:rFonts w:ascii="Arial" w:cs="Arial" w:eastAsia="Arial" w:hAnsi="Arial"/>
          <w:sz w:val="17"/>
          <w:szCs w:val="17"/>
          <w:b w:val="1"/>
          <w:bCs w:val="1"/>
          <w:color w:val="auto"/>
        </w:rPr>
        <w:t xml:space="preserve">Costs of revenues. </w:t>
      </w:r>
      <w:r>
        <w:rPr>
          <w:rFonts w:ascii="Arial" w:cs="Arial" w:eastAsia="Arial" w:hAnsi="Arial"/>
          <w:sz w:val="17"/>
          <w:szCs w:val="17"/>
          <w:color w:val="auto"/>
        </w:rPr>
        <w:t>Cost of revenues increased by $4.4 million, or 81.4%, to $9.8 million for the three months ended March 31, 2021 from $5.4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three months ended March 31, 2020. This is primarily due to costs associated with an increase of providers on our platform. This increase of providers was required to service the increased demand for our therapy services in both our B2C and B2B businesses.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employee provider headcount was 102 as of March 31, 2021.</w:t>
      </w:r>
    </w:p>
    <w:p>
      <w:pPr>
        <w:spacing w:after="0" w:line="221"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profit increased by $11.6 million, or 203.7%, to $17.3 million for the three months ended March 31, 2021 from $5.7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March 31, 2020. This increase was primarily due to the 144.2% increase in revenues.</w:t>
      </w:r>
    </w:p>
    <w:p>
      <w:pPr>
        <w:spacing w:after="0" w:line="16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expenses increased by $0.2 million, or 8.7%, to $3.0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2021 from $2.7 million for the three months ended March 31, 2020. This was primarily due to an increase of $0.8 million in employee-related costs (inclusive of stock compensation expense), partially offset by a decrease of $0.3 million in contractor related costs and $0.2 million in cost savings related to the application of research grant proceeds.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Clinical operations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operations expenses increased by $1.2 million, or 136.8%, to $2.1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from $0.9 million for the three months ended March 31, 2020. This was primarily due to an increase of $0.6 million in provider recruiting costs and $0.6 million in employee-related costs (inclusive of stock compensation expense).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clinical operation employee headcount increased to 22 employees as of March 31, 2021, as compared to 17 employees as of March 31, 2020.</w:t>
      </w:r>
    </w:p>
    <w:p>
      <w:pPr>
        <w:spacing w:after="0" w:line="244" w:lineRule="exact"/>
        <w:rPr>
          <w:sz w:val="20"/>
          <w:szCs w:val="20"/>
          <w:color w:val="auto"/>
        </w:rPr>
      </w:pPr>
    </w:p>
    <w:p>
      <w:pPr>
        <w:ind w:left="120" w:right="20"/>
        <w:spacing w:after="0" w:line="277" w:lineRule="auto"/>
        <w:rPr>
          <w:sz w:val="20"/>
          <w:szCs w:val="20"/>
          <w:color w:val="auto"/>
        </w:rPr>
      </w:pPr>
      <w:r>
        <w:rPr>
          <w:rFonts w:ascii="Arial" w:cs="Arial" w:eastAsia="Arial" w:hAnsi="Arial"/>
          <w:sz w:val="17"/>
          <w:szCs w:val="17"/>
          <w:b w:val="1"/>
          <w:bCs w:val="1"/>
          <w:color w:val="auto"/>
        </w:rPr>
        <w:t>Sales and marketing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Sales and marketing expenses increased by $13.3 million, or 149.5%, to $22.3 million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2021 from $8.9 million for the three months ended March 31, 2020. This increase in sales and marketing expenses primarily consisted of a $10.5 million increase in direct marketing and promotional costs, a $2.1 million increase in employee-related costs including commissions (inclusive of stock compensation expense), a $0.5 million increase in credit card processing fees and a $0.3 million increase in amortization expense related to intangibles acquired in connection with the Company’s November 2020 acquisition of Lasting.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sales and marketing employee headcount increased to 78 employees as of March 31, 2021, as compared to 35 employees as of March 31, 2020.</w:t>
      </w:r>
    </w:p>
    <w:p>
      <w:pPr>
        <w:spacing w:after="0" w:line="24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increased by $1.5 million, or 134.1%, to $2.6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2021 from $1.1 million for the three months ended March 31, 2020. This increase was primarily due to employee-related costs (including stock compensation expense) and consulting and professional services. We expect to incur additional general and administrative costs in compliance, legal, investor relations, insurance, and professional services following the completion of the business combination related to our compliance and reporting obligations as a public company. We also anticipate that as we continue to grow as a company our general and administrative costs will increase on an absolute dollar basis. However, we expect our general and administrative expenses to decrease as a percentage of our total revenue over the next several years.</w:t>
      </w:r>
    </w:p>
    <w:p>
      <w:pPr>
        <w:spacing w:after="0" w:line="19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Total general and administrative employee headcount increased to 26 employees as of March 31, 2021, as compared to 11 employees as of March 31, 2020.</w:t>
      </w:r>
    </w:p>
    <w:p>
      <w:pPr>
        <w:spacing w:after="0" w:line="166"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Financial expenses (income), net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expenses , net increased by $0.2 million, or 676.7%, to $0.2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compared to minimal financial income, net for the three months ended March 31, 2020. The increase in financial expenses was primarily due to change in the fair value of liability classified warrants.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060"/>
          </w:cols>
          <w:pgMar w:left="320" w:top="459"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results of operations for the year ended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5"/>
          </w:tcPr>
          <w:p>
            <w:pPr>
              <w:jc w:val="right"/>
              <w:ind w:right="701"/>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in thousands</w:t>
            </w: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$76,190</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$38,178</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$38,012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26,353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18,042</w:t>
            </w:r>
          </w:p>
        </w:tc>
        <w:tc>
          <w:tcPr>
            <w:tcW w:w="1200" w:type="dxa"/>
            <w:vAlign w:val="bottom"/>
            <w:gridSpan w:val="3"/>
          </w:tcPr>
          <w:p>
            <w:pPr>
              <w:jc w:val="right"/>
              <w:ind w:right="361"/>
              <w:spacing w:after="0"/>
              <w:rPr>
                <w:sz w:val="20"/>
                <w:szCs w:val="20"/>
                <w:color w:val="auto"/>
              </w:rPr>
            </w:pPr>
            <w:r>
              <w:rPr>
                <w:rFonts w:ascii="Arial" w:cs="Arial" w:eastAsia="Arial" w:hAnsi="Arial"/>
                <w:sz w:val="18"/>
                <w:szCs w:val="18"/>
                <w:color w:val="auto"/>
              </w:rPr>
              <w:t>8,311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49,837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20,136</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29,701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147.5</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9,583</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11,997</w:t>
            </w:r>
          </w:p>
        </w:tc>
        <w:tc>
          <w:tcPr>
            <w:tcW w:w="12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(2,414)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Clinical operations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4,332</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4,672</w:t>
            </w:r>
          </w:p>
        </w:tc>
        <w:tc>
          <w:tcPr>
            <w:tcW w:w="1200" w:type="dxa"/>
            <w:vAlign w:val="bottom"/>
            <w:gridSpan w:val="3"/>
          </w:tcPr>
          <w:p>
            <w:pPr>
              <w:jc w:val="right"/>
              <w:ind w:right="301"/>
              <w:spacing w:after="0"/>
              <w:rPr>
                <w:sz w:val="20"/>
                <w:szCs w:val="20"/>
                <w:color w:val="auto"/>
              </w:rPr>
            </w:pPr>
            <w:r>
              <w:rPr>
                <w:rFonts w:ascii="Arial" w:cs="Arial" w:eastAsia="Arial" w:hAnsi="Arial"/>
                <w:sz w:val="18"/>
                <w:szCs w:val="18"/>
                <w:color w:val="auto"/>
              </w:rPr>
              <w:t>(340)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47,705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27,536</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20,169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5,359</w:t>
            </w:r>
          </w:p>
        </w:tc>
        <w:tc>
          <w:tcPr>
            <w:tcW w:w="1200" w:type="dxa"/>
            <w:vAlign w:val="bottom"/>
            <w:gridSpan w:val="3"/>
          </w:tcPr>
          <w:p>
            <w:pPr>
              <w:jc w:val="right"/>
              <w:ind w:right="361"/>
              <w:spacing w:after="0"/>
              <w:rPr>
                <w:sz w:val="20"/>
                <w:szCs w:val="20"/>
                <w:color w:val="auto"/>
              </w:rPr>
            </w:pPr>
            <w:r>
              <w:rPr>
                <w:rFonts w:ascii="Arial" w:cs="Arial" w:eastAsia="Arial" w:hAnsi="Arial"/>
                <w:sz w:val="18"/>
                <w:szCs w:val="18"/>
                <w:color w:val="auto"/>
              </w:rPr>
              <w:t>4,840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71,819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49,564</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22,255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loss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21,982</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29,428</w:t>
            </w:r>
          </w:p>
        </w:tc>
        <w:tc>
          <w:tcPr>
            <w:tcW w:w="1200" w:type="dxa"/>
            <w:vAlign w:val="bottom"/>
            <w:gridSpan w:val="3"/>
          </w:tcPr>
          <w:p>
            <w:pPr>
              <w:jc w:val="right"/>
              <w:ind w:right="301"/>
              <w:spacing w:after="0"/>
              <w:rPr>
                <w:sz w:val="20"/>
                <w:szCs w:val="20"/>
                <w:color w:val="auto"/>
              </w:rPr>
            </w:pPr>
            <w:r>
              <w:rPr>
                <w:rFonts w:ascii="Arial" w:cs="Arial" w:eastAsia="Arial" w:hAnsi="Arial"/>
                <w:sz w:val="18"/>
                <w:szCs w:val="18"/>
                <w:color w:val="auto"/>
              </w:rPr>
              <w:t>(7,446)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714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204.0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Loss before taxes on income</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22,346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(6,732)</w:t>
            </w:r>
          </w:p>
        </w:tc>
        <w:tc>
          <w:tcPr>
            <w:tcW w:w="4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16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22,370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29,086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(6,716</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Revenues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increased by $38.0 million, or 99.6%, to $76.2 million for the year ended December 31, 2020 from $38.2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The increase was principally driven by increased B2C member subscriptions in addition to a new health plan client, increase in year-over-year revenue from existing health plan clients and the addition of new enterprise clients. B2C member subscriptions revenue increased by $26.1 million, or 35.6%, from $35.4 million for the year ended December 31, 2019 to $61.6 million for the year ended December 31, 2020. Revenue from our health plan clients increased by $7.9 million, or 691 %, to $9.1 million for the year ended December 31, 2020 from $1.1 million for the year ended December 31, 2019. Enterprise client contracts increased by 49 clients, or 223%, from 22 clients as of December 31, 2019 to 71 clients as of December 31, 2020. This increase in the number of enterprise clients increased revenue by $3.9 million, or 247%, from $1.6 million for the year ended December 31, 2019 to $5.5 million for the year ended December 31, 2020. We believe that the appeal of our technology platform, the quality of our providers and the cost of our services will continue to represent the primary drivers of revenue growth from B2C members and B2B clients.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auto"/>
        </w:rPr>
        <w:t xml:space="preserve">Costs of revenues. </w:t>
      </w:r>
      <w:r>
        <w:rPr>
          <w:rFonts w:ascii="Arial" w:cs="Arial" w:eastAsia="Arial" w:hAnsi="Arial"/>
          <w:sz w:val="17"/>
          <w:szCs w:val="17"/>
          <w:color w:val="auto"/>
        </w:rPr>
        <w:t>Cost of revenues increased by $8.3 million, or 46.1%, to $26.4 million for the year ended December 31, 2020 from $18.0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year ended December 31, 2019. This is primarily due to costs associated with an increase of providers on our platform. This increase of providers was required to service the increased demand for our therapy services in both our B2C and B2B businesses.</w:t>
      </w:r>
    </w:p>
    <w:p>
      <w:pPr>
        <w:spacing w:after="0" w:line="158"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profit increased by $29.7 million, or 147.5%, to $49.8 million for the year ended December 31, 2020 from $20.1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2019. This increase was primarily due to the 99.6% increase in revenues.</w:t>
      </w:r>
    </w:p>
    <w:p>
      <w:pPr>
        <w:spacing w:after="0" w:line="162"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expenses decreased by $2.4 million, or 20.1%, to $9.6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from $12.0 million for the year ended December 31, 2019. This was primarily due to a decrease of $1.4 million in contractor related costs and $0.6 million in software related costs.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303" w:lineRule="auto"/>
        <w:rPr>
          <w:sz w:val="20"/>
          <w:szCs w:val="20"/>
          <w:color w:val="auto"/>
        </w:rPr>
      </w:pPr>
      <w:r>
        <w:rPr>
          <w:rFonts w:ascii="Arial" w:cs="Arial" w:eastAsia="Arial" w:hAnsi="Arial"/>
          <w:sz w:val="16"/>
          <w:szCs w:val="16"/>
          <w:b w:val="1"/>
          <w:bCs w:val="1"/>
          <w:color w:val="auto"/>
        </w:rPr>
        <w:t>Clinical operations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operations expenses decreased by $0.3 million, or 7.3%, to $4.3 million for the year ended December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from $4.7 million for the year ended December 31, 2019. This was primarily due to the impact of automation tools and platform enhancements that led to a reduction in staff related costs. The costs associated with clinical operations are expected to grow at a faster rate and in greater absolute dollars in future periods. However, the anticipated corresponding growth in revenue is expected to result in a lower expense as a percentage of revenue.</w:t>
      </w:r>
    </w:p>
    <w:p>
      <w:pPr>
        <w:spacing w:after="0" w:line="151" w:lineRule="exact"/>
        <w:rPr>
          <w:sz w:val="20"/>
          <w:szCs w:val="20"/>
          <w:color w:val="auto"/>
        </w:rPr>
      </w:pPr>
    </w:p>
    <w:p>
      <w:pPr>
        <w:ind w:left="120" w:right="80"/>
        <w:spacing w:after="0" w:line="303" w:lineRule="auto"/>
        <w:rPr>
          <w:sz w:val="20"/>
          <w:szCs w:val="20"/>
          <w:color w:val="auto"/>
        </w:rPr>
      </w:pPr>
      <w:r>
        <w:rPr>
          <w:rFonts w:ascii="Arial" w:cs="Arial" w:eastAsia="Arial" w:hAnsi="Arial"/>
          <w:sz w:val="16"/>
          <w:szCs w:val="16"/>
          <w:b w:val="1"/>
          <w:bCs w:val="1"/>
          <w:color w:val="auto"/>
        </w:rPr>
        <w:t>Sales and marketing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Sales and marketing expenses increased by $20.2 million, or 73.2%, to $47.7 million for the year ended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from $27.5 million for the year ended December 31, 2019. This increase in sales and marketing expenses primarily consisted of a $13.1 million increase in direct marketing and promotional costs, a $3.3 million increase in employee-related costs including commissions (inclusive of stock compensation expense), an increase in contractor costs of $1.0 million and a $0.7 million increase in credit card processing fees.</w:t>
      </w:r>
    </w:p>
    <w:p>
      <w:pPr>
        <w:spacing w:after="0" w:line="15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Total sales and marketing employee headcount increased to 61 employees as of December 31, 2020, as compared to 40 employees as of December 31, 2019.</w:t>
      </w:r>
    </w:p>
    <w:p>
      <w:pPr>
        <w:spacing w:after="0" w:line="166"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and administrative expenses increased by $4.8 million, or 90.3%, to $10.2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from $5.4 million for the year ended December 31, 2019. This increase was primarily due to employee-related costs (including bonuses and stock compensation expense) and consulting and professional services. We expect to incur additional general and administrative costs in compliance, legal, investor relations, insurance, and professional services following the completion of the business combination related to our compliance and reporting obligations as a public company. We also anticipate that as we continue to grow as a company our general and administrative costs will increase on an absolute dollar basis. However, we expect our general and administrative expenses to decrease as a percentage of our total revenue over the next several years.</w:t>
      </w:r>
    </w:p>
    <w:p>
      <w:pPr>
        <w:spacing w:after="0" w:line="19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Total general and administrative employee headcount increased to 18 employees as of December 31, 2020, as compared to 11 employees as of December 31, 2019.</w:t>
      </w:r>
    </w:p>
    <w:p>
      <w:pPr>
        <w:spacing w:after="0" w:line="166"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Financial expenses (income), net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expenses (income), net increased by $0.7 million, or 204.0%, to $0.4 million for the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compared to financial income, net of $0.4 million for the year ended December 31, 2019. The increase in financial expenses was primarily due to change in the fair value of liability classified warrants.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historically financed our operations and working capital through periodic issuances of convertible preferred stock. As of March 31, 2021, we had $9.8 million of cash and cash equivalents, which were held for a variety of growth initiatives and investments as well as working capital purposes. Our primary cash needs are to fund working capital requirements and invest in technology development.</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May 2019, we sold an aggregate of 18,655,974 shares of Series D preferred stock at a purchase price of approximately $2.75 per share for aggregate gross proceeds of approximately $51.2 million (after issuance costs of $0.1 million).</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incurred a loss from operations of $12.6 million and a net loss of $12.7 million for the three months ended March 31, 2021 and had an accumulated deficit of $121.5 million as of March 31, 2021, and incurred a loss from operations of $22.0 million and a net loss of $22.4 million for the year ended December 31, 2020 and had an accumulated deficit of $108.8 million as of December 31, 2020. To date, we have funded our operations primarily through private placements of our convertible preferred stock as well as through subscription and platform access sales.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080"/>
          </w:cols>
          <w:pgMar w:left="320" w:top="459"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We had no debt as of March 31, 2021 or December 31, 2020 and expect to generate operating losses in future years. On May 7, 2021, the Company borrowed $6.0 million under the Credit Agreement (as defined below) to provide for additional liquidity. Following the May 7, 2021 borrowing, the Company had a remaining borrowing capacity of $14.0 million under the Credit Agreement.</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March 15, 2021, our board of directors approved a contingency plan, to be effected if needed, in whole or in part, at management’s sole discretion, to allow us to continue our operations and meet our cash obligations. Our board of directors required the contingency plan to be developed in conjunction with our entry into the Credit Agreement (as defined below), and the contingency plan would only be implemented if the Transactions are not completed. The contingency plan will not be implemented if the Transactions are completed. The contingency plan consists of cost reduction, which includes mainly the following steps: reduction in marketing expenses, employee headcount, subcontractor and freelancer headcount and capital expenditures. If the contingency plan were implemented, we would expect there to be a significant reduction in revenues from our B2C channel, a reduced loss and a reduction in required operating cash. We believe that our existing capital resources will be adequate to satisfy our expected liquidity requirements for at least twelve months from the date of this proxy statement/prospectus.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Indebtedness &amp; Lines of Credit</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On April 4, 2019, we entered into a credit line agreement with TriplePoint Venture Growth BDC Corp. for a credit facility in an aggregate principal amount of up to $7.0 million. We did not utilize the credit facility and it is no longer available.</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March 15, 2021, we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 million,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 million, available for a period of two years from the effective date of the Credit Agreement.</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the Credit Agreement, Borrower is required to maintain a minimum 85% of the net revenue disclosed in the annual projections. The loans bear interest at a per annum rate equal to (x) in respect of each term loan, the greater of (i) the prime rate plus the Applicable Margin or (ii) 4.75%, and (y) in respect of each revolving loan, the greater of (i) the prime rate plus the Applicable Margin or (ii) 3.75%. “Applicable Margin” is (x) in respect of each term loan, 1.50% per annum and (y) in respect of each revolving loan, 0.50% per annum.</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As of March 31, 2021, the Company did not have any outstanding borrowings under the Credit Agreement. On May 7, 2021, the Company borrowed $6.0 million under the Credit Agreement to provide for additional liquidity. Following the May 7, 2021 borrowing, the Company had a remaining borrowing capacity of $14.0 million under the Credit Agreement.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Transactions nor (ii) received net proceeds of at least twenty million dollars ($20,000,000) in connection with the issuance of additional equity interests. If the Company either closes the Transactions or receives such net proceeds from an equity issuance prior to June 30, 2021, the Warrant will be exercisable for zero shares and will automatically terminate. Otherwise, the Warrant will be exercisable until March 15, 2031 unless earlier terminated by the lender.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2"/>
              </w:rPr>
              <w:t>ended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2021</w:t>
            </w:r>
          </w:p>
        </w:tc>
        <w:tc>
          <w:tcPr>
            <w:tcW w:w="5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15"/>
              <w:spacing w:after="0" w:line="14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4"/>
                <w:szCs w:val="14"/>
                <w:b w:val="1"/>
                <w:bCs w:val="1"/>
                <w:i w:val="1"/>
                <w:iCs w:val="1"/>
                <w:color w:val="auto"/>
                <w:w w:val="90"/>
              </w:rPr>
              <w:t>$ in thousands</w:t>
            </w:r>
            <w:r>
              <w:rPr>
                <w:rFonts w:ascii="Arial" w:cs="Arial" w:eastAsia="Arial" w:hAnsi="Arial"/>
                <w:sz w:val="14"/>
                <w:szCs w:val="14"/>
                <w:b w:val="1"/>
                <w:bCs w:val="1"/>
                <w:color w:val="auto"/>
                <w:w w:val="90"/>
              </w:rPr>
              <w: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w:t>
            </w:r>
            <w:r>
              <w:rPr>
                <w:rFonts w:ascii="Arial" w:cs="Arial" w:eastAsia="Arial" w:hAnsi="Arial"/>
                <w:sz w:val="14"/>
                <w:szCs w:val="14"/>
                <w:b w:val="1"/>
                <w:bCs w:val="1"/>
                <w:i w:val="1"/>
                <w:iCs w:val="1"/>
                <w:color w:val="auto"/>
                <w:w w:val="88"/>
              </w:rPr>
              <w:t>$ in thousands</w:t>
            </w:r>
            <w:r>
              <w:rPr>
                <w:rFonts w:ascii="Arial" w:cs="Arial" w:eastAsia="Arial" w:hAnsi="Arial"/>
                <w:sz w:val="14"/>
                <w:szCs w:val="14"/>
                <w:b w:val="1"/>
                <w:bCs w:val="1"/>
                <w:color w:val="auto"/>
                <w:w w:val="88"/>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(7,797)</w:t>
            </w:r>
          </w:p>
        </w:tc>
        <w:tc>
          <w:tcPr>
            <w:tcW w:w="118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$(15,175)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5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62"/>
              <w:spacing w:after="0"/>
              <w:rPr>
                <w:sz w:val="20"/>
                <w:szCs w:val="20"/>
                <w:color w:val="auto"/>
              </w:rPr>
            </w:pPr>
            <w:r>
              <w:rPr>
                <w:rFonts w:ascii="Arial" w:cs="Arial" w:eastAsia="Arial" w:hAnsi="Arial"/>
                <w:sz w:val="18"/>
                <w:szCs w:val="18"/>
                <w:color w:val="auto"/>
                <w:w w:val="89"/>
              </w:rPr>
              <w:t>(11,303)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94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$ 51,501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Net cash used in operating activities was $3.9 million and $7.8 million for the three months ended March 31, 2021 and 2020, respectively. The improvement in net cash used in operating activities was driven primarily by favorable timing of payments on our accounts payable balances, partially offset by the negative impact from a higher net loss during the three months ended March 31, 2021 compared to the three months ended March 31, 2020. The higher net loss for the three months ended March 31, 2021 was driven by higher investments in direct marketing and promotional costs to support future growth, partially offset by the additional gross margin generated from increased revenue.</w:t>
      </w:r>
    </w:p>
    <w:p>
      <w:pPr>
        <w:spacing w:after="0" w:line="176"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Net cash used in operating activities was $15.1 million and $21.2 million for the years ended December 31, 2020 and 2019, respectively. The change for the year ended December 31, 2020 compared to the year ended December 31, 2019 was primarily driven by our net loss of $22.4 million. The net loss for the year ended December 31, 2020 was driven by the increase in personnel and platform costs to support the 99.6% increase in revenues and continued investments in software engineering partially offset by the additional gross margin generated from the revenue growth discussed above.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Net cash used in investing activities was $0.3 million for the three months ended March 31, 2021, compared to minimal net cash used in investing activities for the three months ended March 31, 2020. The change was driven primarily by increased purchases of computer equipment to support increased headcount during the three months ended March 31, 2021 compared to the three months ended March 31, 2020.</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Net cash used in investing activities was $11.3 million and $0.1 million for the years ended December 31, 2020 and 2019, respectively. The change for the year ended December 31, 2020 compared to the year ended December 31, 2019 was primarily driven by cash paid in connection with the Company’s November 2020 acquisition of Lasting.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Net cash provided by financing activities was $0.7 million and $0.1 million for the three months ended March 31, 2021 and 2020, respectively. The change was driven primarily by higher proceeds from the exercise of stock options during the three months ended March 31, 2021 compared to the three months ended March 31, 2020.</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Net cash provided by financing activities was $0.1 million and $51.5 million for the years ended December 31, 2020 and 2019, respectively. Cash provided by financing activities for the year ended December 31, 2020 consisted of proceeds from the exercise of stock options. Cash provided by financing activities for the year ended December 31, 2019 consisted of $51.2 million of cash proceeds from our issuance of Series D preferred stock, net of issuance costs, and $0.3 million proceeds received from the exercise of stock options.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As of March 31, 2021, we did not have any long-term debt, capital lease obligations, operating lease obligations or long-term liabilities. On May 7, 2021, the Company borrowed $6.0 million under the Credit Agreement to provide for additional liquidity. Following the May 7, 2021 borrowing the Company had a remaining borrowing capacity of $14.0 million under the Credit Agreement. 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7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We had cash and cash equivalents totaling $9.8 million, $13.2 million and $39.6 million as of March 31, 2021, December 31, 2020 and December 31, 2019, respectively. Cash and cash equivalents are held for a variety of growth and investments as well as working capital purposes.</w:t>
      </w:r>
    </w:p>
    <w:p>
      <w:pPr>
        <w:spacing w:after="0" w:line="12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do not believe that an increase or decrease of 100 basis points in interest rates would have a material effect on our business, financial condition or results of operations. However, our cash equivalents are subject to market risk due to changes in interest rates.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date, a substantial majority of our revenue from customer arrangements has been denominated in U.S. dollars. We have limited operations outside the United States. As of March 31, 2021, we had one foreign subsidiary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 functional currency of the New Israeli Shekel. However, activity in the New Israeli Shekel is not considered significant. Accordingly, we believe we do not have a material exposure to foreign currency risk. In the future, we may choose to focus on international expansion, which may increase our exposure to foreign currency exchange risk.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has been no material change in our market risk exposures since March 31,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GAAP. The preparation of financial statements in conformity with GAAP requires management to make estimates and assumptions that affect the amounts reported in the consolidated financial statements and accompanying notes. We base our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Accordingly, the accounting estimates used in the preparation of our consolidated financial statements will change as new events occur, as more experience is acquired, as additional information is obtained, and as our operating environment evolves.</w:t>
      </w:r>
    </w:p>
    <w:p>
      <w:pPr>
        <w:spacing w:after="0" w:line="18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Changes in estimates are made when circumstances warrant. Such changes in estimates are reflected in the reported results of operations; if material, the effects of changes in estimates are disclosed in the notes to the consolidated financial statements. Significant estimates and assumptions reflected in these consolidated financial statements include, but are not limited to, revenue recognition, business combinations, goodwill and intangible assets and stock-based compensation.</w:t>
      </w:r>
    </w:p>
    <w:p>
      <w:pPr>
        <w:spacing w:after="0" w:line="18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We believe that the accounting policies discussed below are critical to understanding our historical and future performance, as these policies relate to the more significant areas involving management’s judgments and estimates. See Note 2, “Summary of Significant Accounting Policies” in the notes to the consolidated financial statements included in this proxy statement/prospectus for a description of our other significant accounting policies.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were an early adopter of the requirements of the new revenue recognition standard, known as ASC 606, effective January 1, 2018, which utilizes the modified retrospective method of transition. Revenue is recognized upon satisfaction of our performance obligation to provide virtual behavioral healthcare services, which occur over time, when our customers have access to our platform and services. Revenue is recognized in an amount that reflects the consideration that we expect to receive in exchange for the services we provide.</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deferred revenue balance consists of payments received from customers for which revenues have not yet been earned and recognized according to the criteria described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account for stock-based compensation in accordance with ASC No. 718, “Compensation—Stock Compensation.” ASC No. 718 requires companies to estimate the fair value of equity-based payment awards on the date of grant using an option-pricing model. We recognize compensation expenses for the value of its awards granted based on the straight line method over the requisite service period of each of the awards. We recognize forfeitures of awards as they occur.</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selected the Black-Scholes-Merton option pricing model as the most appropriate fair value method for its stock-options awards. The option-pricing model requires a number of assumptions, of which the most significant are the expected stock price volatility and the expected option term. Expected volatility was calculated based upon similar traded companies’ historical share price movements.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We have historically not paid dividends and have no foreseeable plans to pay dividends.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Fair Value of our Common Stock</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Due to the absence of an active market for our shares of common stock, the fair value of our shares of common stock for purposes of determining the exercise price for award grants was determined in good faith by our management and approved by our board of directors. In connection with preparing our financial statements for this offering, our management considered the fair value of our shares of common stock based on a number of objective and subjective factors consistent with the methodologies outlined in the American Institute of Certified Public Accountants Practice Aid, Valuation of Privately-Held-Company Equity Securities Issued as Compensation, referred to as the AICPA Practice Aid, including:</w:t>
      </w:r>
    </w:p>
    <w:p>
      <w:pPr>
        <w:spacing w:after="0" w:line="67" w:lineRule="exact"/>
        <w:rPr>
          <w:sz w:val="20"/>
          <w:szCs w:val="20"/>
          <w:color w:val="auto"/>
        </w:rPr>
      </w:pPr>
    </w:p>
    <w:p>
      <w:pPr>
        <w:ind w:left="1080" w:right="18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given prevailing market conditions and the potential effect of such event on our stock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third-party valuations of our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shares relative to our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prices of our preferred shares sold to outside investors in arms-length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shares of common stock; underlying the award involved illiquid securities in a private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material risks related to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market performance of publicly traded companies in the web services space;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external market conditions affecting the web services space.</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For the purpose of the valuation referred to above, we used the discounted cash flow method to determine our enterprise value. Using this method, our projected after-tax cash flows available to return to holders of invested capital are discounted back to present value, using the discount rate. The discount rate, known as the weighted cost of capital, accounts for the time value of money and the appropriate degree of risks inherent in the business.</w:t>
      </w:r>
    </w:p>
    <w:p>
      <w:pPr>
        <w:spacing w:after="0" w:line="14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determined our enterprise value, and allocated that enterprise value to each element of our capital structure (preferred shares, shares of common stock and options), using two methodologies: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First, we determined our enterprise value based on a fully diluted scenario where all preferred shares convert into shares of common stock in an exit scenario due to a liquidity event, such as an initial public offering, or IPO.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this scenario, we based our enterprise value based on our preliminary discussions with J.P. Morgan’s M&amp;A Advisory group, J.P. Morgan’s Equity Capital Markets group, Citigroup and potential PIPE Investors. The enterprise value was then divided by the resulting number of shares to determine a per share value.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Second, we determined our enterprise value based an assumed liquidity scenario in which the preferred stock benefitted from its liquidation preference, such as a sale, merger or liquidation. We used the discounted cash flow, or DCF, method to determine our enterprise value, and the option pricing methodology, or OPM to allocate it to each element of our capital structure.</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Under the DCF, our projected after-tax cash flows available to return to holders of invested capital were discounted back to present value, using the discount rate. The discount rate, known as the weighted cost of capital, accounts for the time value of money and the appropriate degree of risk inherent in a business.</w:t>
      </w:r>
    </w:p>
    <w:p>
      <w:pPr>
        <w:spacing w:after="0" w:line="18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Under the OPM, ordinary and preferred shares are treated as call options, with the preferred shares having an exercise price based on the liquidation preference of the preferred shares. Shares of common stock will only have value if funds available for distribution to the shareholders exceed the value of the liquidation preference at the time of a liquidity event such as a merger, sale or initial public offering, assuming the enterprise has funds available to make a liquidation preference meaningful and collectible to the shareholders. The shares of common stock are modeled as call options with a meaningful enterprise at an exercise price equal to the remaining value immediately after the convertible preferred shares are liquidated. The value of the call options is determined using the Black Scholes option-pricing model.</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Each valuation scenario under the full dilution scenario and liquidity event scenario was then assigned a probability weighting based on management’s discussions with our board of directors and our assessment of market conditions under the Probability Weighed Expected Return Method (PWERM). The valuation is then discounted due to factors such as marketability and restrictions on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Information regarding recent accounting developments and their impact on our results can be found in Note 2, “Summary of Significant Accounting Policies” in the notes to the consolidated financial statements included in this proxy statement/prospectus.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JOBS Act Transition Period</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 (2)(B) of the Securities Act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emerging growth company until the earlier to occur of (1) the last day of the fiscal year (a) following the fifth anniversary of the completion of this offering, (b) in which we have total annual gross revenues of at least $1.07 billion or (c) in which we are deemed to be a “large accelerated filer” under the rules of the U.S. Securities and Exchange Commission, which means the market value of our shares of common stock that is held by non-affiliates exceeds $700.0 million as of the prior June 30th, and (2) the date on which we have issued more than $1.0 billion in non-convertible debt during the prior three-year period.</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0980"/>
          </w:cols>
          <w:pgMar w:left="320" w:top="459" w:right="59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 xml:space="preserve">The following summary of the material terms of HEC’s securities following the business combination is not intended to be a complete summary of the rights and preferences of such securities. The full text of the second amended and restated certificate of incorporation is attached as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to this proxy statement/prospectus. We urge you to read the second amended and restated certificate of incorporation in its entirety for a complete description of the rights and preferences of HEC’s securities following the business combination.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second amended and restated certificate of incorporation authorizes the issuance of shares of Talkspace, Inc. capital stock, each with a par value of $0.0001, consisting of (a) 1,000,000,000 shares of Talkspace, Inc. common stock and (b) 100,000,000 shares of preferred stock. The outstanding shares of HEC’s common stock are, and the shares of common stock issuable in connection with the business combination, the PIPE Investment and the HEC Forward Purchase will be, duly authorized, validly issued, fully paid and non-assessable.</w:t>
      </w:r>
    </w:p>
    <w:p>
      <w:pPr>
        <w:spacing w:after="0" w:line="17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As of the record date for the HEC special meeting, there were (i) 41,400,000 shares of HEC’s Class A common stock outstanding, (ii) 10,350,000 shares of HEC’s Class B common stock outstanding, (iii) no shares of preferred stock outstanding, (iv) 10,280,000 private placement warrants outstanding and (v) 20,700,000 public warrants outstanding.</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Pursuant to the terms of HEC’s current certificate of incorporation, issued and outstanding shares of HEC’s Class B common stock will automatically convert into an equal number of shares of Talkspace, Inc. common stock upon the Closing. The HEC Insiders have waived any adjustment to the exchange ratio upon conversion of HEC’s Class B common stock into Talkspace, Inc.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Power</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the second amended and restated certificate of incorporation, the holders of Talkspace, Inc. common stock will possess all voting power for the election of directors and all other matters requiring stockholder action and will be entitled to one vote per share on matters to be voted on by stockholders. The holders of Talkspace, Inc. common stock will at all times vote together as one class on all matters submitted to a vote of Talkspace, Inc. common stock under the second amended and restated certificate of incorporation.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the second amended and restated certificate of incorporation, holders of Talkspace, Inc. common stock will be entitled to receive such dividends and other distributions, if any, as may be declared from time to time by the HEC Board in its discretion out of funds legally available therefor and shall share equally on a per share basis in such dividends and distributions.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the event of the voluntary or involuntary liquidation, dissolution, or winding-up of HEC, the holders of Talkspace, Inc. common stock will be entitled to receive all the remaining assets of HEC available for distribution to stockholders, ratably in proportion to the number of shares of Talkspace, Inc. common stock held by them, after the rights of creditors of HEC and the holders of any outstanding shares of preferred stock have been satisfied.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or Other Rights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holders of Talkspace, Inc. common stock will not have preemptive or other subscription rights and there will be no sinking fund or redemption provisions applicable to Talkspace, Inc.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 Prior to the Business Combination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providing stockholders with the opportunity to redeem all or a portion of their public shares of HEC’s Class A common stock upon the Closing at a per-share price, payable in cash, equal to the aggregate amount on deposit in the trust account as of two business days prior to the Closing, subject to the limitations described herein. The Sponsor and the Insiders have agreed to waive their redemption rights with respect to their shares of HEC’s common stock in connection with the consummation of the business combination. The Sponsor and the Insiders have also agreed to waive their right to a conversion price adjustment with respect to any shares of HEC’s common stock they may hold in connection with the consummation of the business combination.</w:t>
      </w:r>
    </w:p>
    <w:p>
      <w:pPr>
        <w:spacing w:after="0" w:line="192"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approval of the business combination requires the affirmative vote of a majority of the votes cast by holders of outstanding shares of HEC’s common stock represented at the special meeting by attendance via the virtual meeting website or by proxy and entitled to vote at the special meeting. However, the participation of the Sponsor and the Insiders, or their affiliates in privately negotiated transactions (as described in this proxy statement/prospectus), if any, could result in the approval of the business combination even if a majority of the stockholders vote, or indicate their intention to vote, against the business combination.</w:t>
      </w:r>
    </w:p>
    <w:p>
      <w:pPr>
        <w:spacing w:after="0" w:line="18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Sponsor and the Insiders have agreed to vote their shares of HEC’s common stock in favor of the business combination and the other proposals described in this proxy statement/prospectus. As of the date of filing this proxy statement/prospectus, the Sponsor and our directors and officers do not currently hold any public shares. Public stockholders may elect to redeem their public shares whether they vote “for” or “against” the business combination.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our current certificate of incorporation, if we are unable to consummate a business combination within the completion window, we will:</w:t>
      </w:r>
    </w:p>
    <w:p>
      <w:pPr>
        <w:spacing w:after="0" w:line="35" w:lineRule="exact"/>
        <w:rPr>
          <w:sz w:val="20"/>
          <w:szCs w:val="20"/>
          <w:color w:val="auto"/>
        </w:rPr>
      </w:pPr>
    </w:p>
    <w:p>
      <w:pPr>
        <w:ind w:left="120" w:right="20" w:hanging="4"/>
        <w:spacing w:after="0" w:line="284" w:lineRule="auto"/>
        <w:tabs>
          <w:tab w:leader="none" w:pos="33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the HEC Board,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 The Sponsor and the Insiders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the Sponsor or any of our officers, directors or any of their respective affiliates acquires public shares,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 The Sponsor and our officers and directors have agreed, pursuant to a written agreement with us, that they will not propose any amendment to our current certificate of incorporation to modify the substance or timing of our obligation to provide for the redemption of our public shares in connection with an initial business combination or to redeem 100% of our public shares if we do not complete our initial</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business combination within the completion window, unless we provide our public stockholders with the opportunity to redeem their shares of HEC’s common stock upon approval of any such amendment at a per share price, payable in cash, equal to their pro rata share of the aggregate amount on deposit in the trust account as of two business days prior to the Closing, including interest not previously released to HEC to pay its franchise and income taxes.</w:t>
      </w:r>
    </w:p>
    <w:p>
      <w:pPr>
        <w:spacing w:after="0" w:line="18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the event of a liquidation, dissolution or winding up of HEC after the consummation of a business combination, our stockholders are entitled to share ratably in all assets remaining available for distribution to them after payment of liabilities and after provision is made for each class of stock, if any, having preference over Talkspace, Inc. common stock. Our stockholders have no preemptive or other subscription rights. There are no sinking fund provisions applicable to HEC’s common stock, except that upon the consummation of the business combination, subject to the limitations described herein, HEC will provide its public stockholders with the opportunity to redeem their shares of HEC’s Class A common stock for cash equal to their pro rata share of the aggregate amount on deposit in the trust account as of two business days prior to the Closing, including interest not previously released to HEC to pay its franchise and income taxes.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unit consists of one share of HEC’s Class A common stock and one-half of one redeemable warrant. Each whole warrant entitles the holder thereof to purchase one share of HEC’s Class A common stock at a price of $11.50 per share, subject to adjustment. Pursuant to the terms of the Warrant Agreement, a warrant holder may exercise its warrants only for a whole number of shares of HEC’s Class A common stock. This means only a whole warrant may be exercised at any given time by a warrant holder. No fractional warrants will be issued upon separation of the units and only whole warrants will trade.</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intend to apply for listing, effective at the time of the Closing, of Talkspace, Inc. common stock and Talkspace, Inc. warrants on the Nasdaq under the symbols “TALK” and “TALKW”, respectively. Our publicly traded units will separate into the component securities upon consummation of the Closing and will no longer trade as a separate security.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connection with the execution of the Merger Agreement, HEC, the HEC Insiders and Talkspace entered into the Sponsor Support Agreement. Pursuant to the terms of the Sponsor Support Agreement, the HEC Insiders agreed to, among other things, (i) vote their shares in favor of the business combination proposal and the other proposals included in the accompanying proxy statement/prospectus, (ii) not transfer their shares for a period of 180 days following the Closing, in each case, subject to certain exceptions and (iii) certain vesting provisions of their shares. Pursuant to the Sponsor Support Agreement, (i) 70% of the unvested founder shares shall vest at Closing, (ii) 15% of the unvested founder shares (the “$</w:t>
      </w:r>
      <w:r>
        <w:rPr>
          <w:rFonts w:ascii="Arial" w:cs="Arial" w:eastAsia="Arial" w:hAnsi="Arial"/>
          <w:sz w:val="16"/>
          <w:szCs w:val="16"/>
          <w:i w:val="1"/>
          <w:iCs w:val="1"/>
          <w:color w:val="auto"/>
        </w:rPr>
        <w:t>12 Founder Shares</w:t>
      </w:r>
      <w:r>
        <w:rPr>
          <w:rFonts w:ascii="Arial" w:cs="Arial" w:eastAsia="Arial" w:hAnsi="Arial"/>
          <w:sz w:val="16"/>
          <w:szCs w:val="16"/>
          <w:color w:val="auto"/>
        </w:rPr>
        <w:t>”) shall vest at such time as, during the 5-year period starting on the Closing Date and ending on the 5-year anniversary of the Closing Date (the “</w:t>
      </w:r>
      <w:r>
        <w:rPr>
          <w:rFonts w:ascii="Arial" w:cs="Arial" w:eastAsia="Arial" w:hAnsi="Arial"/>
          <w:sz w:val="16"/>
          <w:szCs w:val="16"/>
          <w:i w:val="1"/>
          <w:iCs w:val="1"/>
          <w:color w:val="auto"/>
        </w:rPr>
        <w:t>Vesting</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closing price of Talkspace, Inc. common stock is equal to or greater than $12.00, (iii) 15% of the unvested founder shares (the “</w:t>
      </w:r>
      <w:r>
        <w:rPr>
          <w:rFonts w:ascii="Arial" w:cs="Arial" w:eastAsia="Arial" w:hAnsi="Arial"/>
          <w:sz w:val="16"/>
          <w:szCs w:val="16"/>
          <w:i w:val="1"/>
          <w:iCs w:val="1"/>
          <w:color w:val="auto"/>
        </w:rPr>
        <w:t>$15 Founder Shares</w:t>
      </w:r>
      <w:r>
        <w:rPr>
          <w:rFonts w:ascii="Arial" w:cs="Arial" w:eastAsia="Arial" w:hAnsi="Arial"/>
          <w:sz w:val="16"/>
          <w:szCs w:val="16"/>
          <w:color w:val="auto"/>
        </w:rPr>
        <w:t>”) shall vest at such time as, during the Vesting Period, the closing price of Talkspace, Inc. common stock is equal to or greater than</w:t>
      </w:r>
      <w:r>
        <w:rPr>
          <w:rFonts w:ascii="Arial" w:cs="Arial" w:eastAsia="Arial" w:hAnsi="Arial"/>
          <w:sz w:val="16"/>
          <w:szCs w:val="16"/>
          <w:i w:val="1"/>
          <w:iCs w:val="1"/>
          <w:color w:val="auto"/>
        </w:rPr>
        <w:t xml:space="preserve"> </w:t>
      </w:r>
      <w:r>
        <w:rPr>
          <w:rFonts w:ascii="Arial" w:cs="Arial" w:eastAsia="Arial" w:hAnsi="Arial"/>
          <w:sz w:val="16"/>
          <w:szCs w:val="16"/>
          <w:color w:val="auto"/>
        </w:rPr>
        <w:t>$15.00 and (iv) in the event that there is a Company Sale (x) after the Closing but on or prior to the third anniversary of the Closing, the $12 Founder Shares and the $15 Founder Shares will vest and (y) after the third anniversary but on or prior to the fifth anniversary of the Closing Date that will result in the holders of Talkspace, Inc. common stock receiving a price per share (inclusive of any escrows, holdbacks, deferred purchase price, earnouts or similar amounts and assuming the maximum of such amounts will be paid) equal to, or in excess of, the applicable vesting price per share for the $12 Founder Shares and/or the $15 Founder Shares, then immediately prior to the consummation of the Company Sale the applicable unvested founder shares will vest. Sponsor also agreed not to transfer its HEC’s common stock prior to the Closing Date. Please see the section entitled “</w:t>
      </w:r>
      <w:r>
        <w:rPr>
          <w:rFonts w:ascii="Arial" w:cs="Arial" w:eastAsia="Arial" w:hAnsi="Arial"/>
          <w:sz w:val="16"/>
          <w:szCs w:val="16"/>
          <w:i w:val="1"/>
          <w:iCs w:val="1"/>
          <w:color w:val="auto"/>
        </w:rPr>
        <w:t>Proposal No. 1—</w:t>
      </w:r>
      <w:r>
        <w:rPr>
          <w:rFonts w:ascii="Arial" w:cs="Arial" w:eastAsia="Arial" w:hAnsi="Arial"/>
          <w:sz w:val="16"/>
          <w:szCs w:val="16"/>
          <w:color w:val="auto"/>
        </w:rPr>
        <w:t xml:space="preserve"> </w:t>
      </w:r>
      <w:r>
        <w:rPr>
          <w:rFonts w:ascii="Arial" w:cs="Arial" w:eastAsia="Arial" w:hAnsi="Arial"/>
          <w:sz w:val="16"/>
          <w:szCs w:val="16"/>
          <w:i w:val="1"/>
          <w:iCs w:val="1"/>
          <w:color w:val="auto"/>
        </w:rPr>
        <w:t>The Business Combination Proposal—Certain Agreements Related to the Business Combination—Sponsor Support Agreement</w:t>
      </w:r>
      <w:r>
        <w:rPr>
          <w:rFonts w:ascii="Arial" w:cs="Arial" w:eastAsia="Arial" w:hAnsi="Arial"/>
          <w:sz w:val="16"/>
          <w:szCs w:val="16"/>
          <w:color w:val="auto"/>
        </w:rPr>
        <w:t>.”</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shares of HEC’s Class B common stock will automatically convert into shares of Talkspace, Inc. common stock at the time of our initial business combination on a one-for-one basis, subject to adjustment as provided herein. As additional shares of Talkspace, Inc. common stock are to be issued in excess of the amounts sold in our initial public offering in connection with the proposed business combination, the HEC Insiders have waived their rights to have the ratio at which shares of HEC’s Class B common stock were to convert into shares of Talkspace, Inc. common stock be adjusted so that the number of shares of Talkspace, Inc. common stock issuable upon conversion of all shares of HEC’s Class B common stock equaled, in the aggregate, on an as-converted basis, 20% of the total number of all shares of HEC’s common stock outstanding upon completion of our initial public offering plus all shares of Talkspace, Inc. common stock issued in connection with the proposed business combination (net of the number of shares of HEC’s Class A common stock redeemed in connection with the proposed business combination), excluding any shares issued to existing Talkspace stockholders in the proposed business combination. Pursuant to the terms of the Sponsor Support Agreement, the HEC Insiders agreed to forego any adjustment to the conversion ratio in connection with the Transactions for its shares of HEC’s Class B common stock and, as a result, the shares of HEC’s Class B common stock will automatically convert into shares of Talkspace, Inc. common stock on a one-for-one basis at the closing of the Transactions.</w:t>
      </w:r>
    </w:p>
    <w:p>
      <w:pPr>
        <w:spacing w:after="0" w:line="17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the Sponsor and other permitted transferees, each of whom will be subject to the same transfer restrictions) (i) if the initial business combination does not close, until the earlier of (A) one year after the completion of our initial business combination, (B) subsequent to our initial business combination, if the closing price of Talkspace, Inc. common stock equals or exceeds $12.00 per share (as adjusted for stock splits, stock dividends, reorganizations, recapitalizations and the like) for any twenty (20) trading days within any thirty (30)-trading day period commencing at least 150 days after our initial business combination and (C) following the completion of our initial business combination, such future date on which we complete a liquidation, merger, stock exchange, reorganization or other similar transaction that results in all of our public stockholders having the right to exchange their shares of Talkspace, Inc. common stock for cash, securities or other property and (ii) if the initial business combination does close, until eighteen months from the date of such closing.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current certificate of incorporation authorizes 1,000,000 shares of preferred stock and provides that shares of preferred stock may be issued from time to time in one or more series. The HEC Board is authorized to fix the voting rights, if any, designations, powers, preferences, the relative, participating, optional or other special rights and any qualifications, limitations and restrictions thereof, applicable to the shares of each series. The HEC Board is be able to, without stockholder approval, issue preferred stock with voting and other rights that could adversely affect the voting power and other rights of the holders of Talkspace, Inc. common stock and could have anti-takeover effects. The ability of the HEC Board to issue preferred stock without stockholder approval could have the effect of delaying, deferring or preventing a change of control of us or the removal of existing management. We have no preferred stock outstanding as of the date of this proxy statement/prospectus. Although we do not currently intend to issue any shares of preferred stock, we cannot assure you that we will not do so in the future. No shares of preferred stock are being issued or registered in the Transactions.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Each whole warrant entitles the registered holder to purchase one share of Talkspace, Inc. common stock at a price of $11.50 per share, subject to adjustment as discussed below, at any time commencing on the later of 12 months from the closing of the HEC IPO and thirty (30) days after the completion of our initial business combination. Pursuant to the terms of the Warrant Agreement, a warrant holder may exercise its warrants only for a whole number of shares of Talkspace, Inc. common stock. This means only a whole warrant may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exercised at a given time by a warrant holder. No fractional warrants will be issued upon separation of the units and only whole warrants will trade. The warrants will expire five years after the completion of our initial business combination, at 5:00 p.m., New York City time, or earlier upon redemption or liquidation.</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not obligated to deliver any shares of Talkspace, Inc. common stock pursuant to the exercise of a warrant and have no obligation to settle such warrant exercise unless a registration statement under the Securities Act covering the issuance of the shares of Talkspace, Inc. common issuable upon exercise of the warrants is then effective and a current prospectus relating to those shares of Talkspace, Inc. common stock is available, subject to our satisfying our obligations described below with respect to registration. No warrant will be exercisable for cash or on a cashless basis (unless permitted by HEC in certain circumstances specified in the Warrant Agreement), and we are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Talkspace, Inc. common stock underlying such unit.</w:t>
      </w:r>
    </w:p>
    <w:p>
      <w:pPr>
        <w:spacing w:after="0" w:line="16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reasonable efforts to file with the SEC, and within sixty (60) business days following our initial business combination to have declared effective, a registration statement covering the issuance of the shares of Talkspace, Inc. common stock issuable upon exercise of the warrants and to maintain a current prospectus relating to those shares of Talkspace, Inc. common stock until the warrants expire or are redeemed. Notwithstanding the above, if Talkspace, Inc. common stock is at the time of any exercise of a warrant not listed on a national securities exchange such that it satisfies the definition of a “covered security” under Section 18(b)(1) of the Securities Act, we may, at our option, require public stockholders who exercise their warrants to do so on a “cashless basis” in accordance with Section 3(a)(9) of the Securities Act and, in the event we so elect, we will not be required to file or maintain in effect a registration statement, but will use our reasonable efforts to qualify the shares under applicable blue sky laws to the extent an exemption is not available.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 redemption:</w:t>
      </w:r>
    </w:p>
    <w:p>
      <w:pPr>
        <w:spacing w:after="0" w:line="131" w:lineRule="exact"/>
        <w:rPr>
          <w:sz w:val="20"/>
          <w:szCs w:val="20"/>
          <w:color w:val="auto"/>
        </w:rPr>
      </w:pPr>
    </w:p>
    <w:p>
      <w:pPr>
        <w:ind w:left="540" w:hanging="316"/>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upon a minimum of thirty (30) days’ prior written notice of redemption, or the thirty (30)-day redemption period, to each warrant holder; and</w:t>
      </w:r>
    </w:p>
    <w:p>
      <w:pPr>
        <w:spacing w:after="0" w:line="142" w:lineRule="exact"/>
        <w:rPr>
          <w:rFonts w:ascii="Arial" w:cs="Arial" w:eastAsia="Arial" w:hAnsi="Arial"/>
          <w:sz w:val="17"/>
          <w:szCs w:val="17"/>
          <w:color w:val="auto"/>
        </w:rPr>
      </w:pPr>
    </w:p>
    <w:p>
      <w:pPr>
        <w:ind w:left="540" w:right="60" w:hanging="316"/>
        <w:spacing w:after="0" w:line="263"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and only if, the closing price of Talkspace, Inc. common stock equals or exceeds $18.00 per share (as adjusted for stock splits, stock recapitalizations, reorganizations, recapitalizations and the like) for any twenty (20) trading days within a thirty (30)-trading day period ending on the third business day prior to the date on which we send the notice of redemption to the warrant holders.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Talkspace, Inc. common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may fall below the $18.00 redemption trigger price (as adjusted for stock splits, stock capitalizations, reorganizations, recapitalizations and the like) as well as the $11.50 warrant exercise price after the redemption notice is issued.</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Redemption Procedures and Cashless Exercise. </w:t>
      </w:r>
      <w:r>
        <w:rPr>
          <w:rFonts w:ascii="Arial" w:cs="Arial" w:eastAsia="Arial" w:hAnsi="Arial"/>
          <w:sz w:val="16"/>
          <w:szCs w:val="16"/>
          <w:color w:val="auto"/>
        </w:rPr>
        <w:t>If we call the warrants for redemption as described above, our management will have the option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Talkspace, Inc. common stock issuable upon the exercise of our warrants. In such event, each holder would pay the exercise price by surrendering the warrants for that number of shares of Talkspace, Inc. common stock equal to the quotient obtained by dividing (x) the product of the number of shares of Talkspace, Inc. common stock underlying the warrants, multiplied by the excess of the “fair market value” (defined below) over the exercise price per share of the warrants by (y) the fair market value. The “fair market value” shall mean the average closing price per share of Talkspace, Inc. common stock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Talkspace, Inc.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Talkspace, Inc. common stock outstanding immediately after giving effect to such exercise.</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Anti-Dilution Adjustments. </w:t>
      </w:r>
      <w:r>
        <w:rPr>
          <w:rFonts w:ascii="Arial" w:cs="Arial" w:eastAsia="Arial" w:hAnsi="Arial"/>
          <w:sz w:val="16"/>
          <w:szCs w:val="16"/>
          <w:color w:val="auto"/>
        </w:rPr>
        <w:t>If the number of outstanding shares of Talkspace, Inc. common stock is increased by a stock dividend payable in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Talkspace, Inc. common stock, or by a split-up of shares of Talkspace, Inc. common stock or other similar event, then, on the effective date of such stock dividend, split-up or similar event, the number of shares of Talkspace, Inc. common stock issuable on exercise of each warrant will be increased in proportion to such increase in the outstanding shares of Talkspace, Inc. common stock. A rights offering to holders of Talkspace, Inc. common stock entitling holders to purchase shares of Talkspace, Inc. common stock at a price less than the fair market value will be deemed a stock dividend of a number of shares of Talkspace, Inc. common stock equal to the product of (1) the number of shares of Talkspace, Inc. common stock actually sold in such rights offering (or issuable under any other equity securities sold in such rights offering that are convertible into or exercisable for Talkspace, Inc. common stock) multiplied by (2) the quotient of (x) the price per share of Talkspace, Inc. common stock paid in such rights offering divided by (y) the fair market value. For these purposes (1) if the rights offering is for securities convertible into or exercisable for Talkspace, Inc. common stock, in determining the price payable for Talkspace, Inc. common stock, there will be taken into account any consideration received for such rights, as well as any additional amount payable upon exercise or conversion and (2) fair market value means the volume weighted average price per share of Talkspace, Inc. common stock as reported during the ten trading day period ending on the trading day prior to the first date on which the shares of Talkspace, Inc. common stock trade on the applicable exchange or in the applicable market, regular way, without the right to receive such rights.</w:t>
      </w:r>
    </w:p>
    <w:p>
      <w:pPr>
        <w:spacing w:after="0" w:line="17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Talkspace, Inc. common stock on account of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of Talkspace, Inc. common stock (or other shares of our capital stock into which the warrants are convertible), other than (a) as described above,</w:t>
      </w:r>
    </w:p>
    <w:p>
      <w:pPr>
        <w:spacing w:after="0" w:line="46" w:lineRule="exact"/>
        <w:rPr>
          <w:sz w:val="20"/>
          <w:szCs w:val="20"/>
          <w:color w:val="auto"/>
        </w:rPr>
      </w:pPr>
    </w:p>
    <w:p>
      <w:pPr>
        <w:ind w:left="120" w:right="20" w:hanging="4"/>
        <w:spacing w:after="0" w:line="295" w:lineRule="auto"/>
        <w:tabs>
          <w:tab w:leader="none" w:pos="37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certain ordinary cash dividends, (c) to satisfy the redemption rights of the holders of Talkspace, Inc.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Talkspace, Inc. common stock in respect of such event.</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number of outstanding shares of Talkspace, Inc. common stock is decreased by a consolidation, combination, reverse stock split or reclassification of shares of Talkspace, Inc. common stock or other similar event, then, on the effective date of such consolidation, combination, reverse stock split, reclassification or similar event, the number of shares of Talkspace, Inc. common stock issuable on exercise of each warrant will be decreased in proportion to such decrease in outstanding shares of Talkspace, Inc. common stock.</w:t>
      </w:r>
    </w:p>
    <w:p>
      <w:pPr>
        <w:spacing w:after="0" w:line="18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Whenever the number of shares of Talkspace, Inc.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Talkspace, Inc. common stock purchasable upon the exercise of the warrants immediately prior to such adjustment, and (y) the denominator of which will be the number of shares of Talkspace, Inc. common stock so purchasable immediately thereafter.</w:t>
      </w:r>
    </w:p>
    <w:p>
      <w:pPr>
        <w:spacing w:after="0" w:line="15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if (x) HEC issues additional shares of Talkspace, Inc. common stock or equity-linked securities for capital raising purposes in connection with the closing of our initial business combination (excluding any issuance of forward purchase securities), at an issue price or effective issue price of less than $9.20 per share of Talkspace, Inc.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w:t>
      </w:r>
      <w:r>
        <w:rPr>
          <w:rFonts w:ascii="Arial" w:cs="Arial" w:eastAsia="Arial" w:hAnsi="Arial"/>
          <w:sz w:val="16"/>
          <w:szCs w:val="16"/>
          <w:i w:val="1"/>
          <w:iCs w:val="1"/>
          <w:color w:val="auto"/>
        </w:rPr>
        <w:t>Newly Issued Price</w:t>
      </w:r>
      <w:r>
        <w:rPr>
          <w:rFonts w:ascii="Arial" w:cs="Arial" w:eastAsia="Arial" w:hAnsi="Arial"/>
          <w:sz w:val="16"/>
          <w:szCs w:val="16"/>
          <w:color w:val="auto"/>
        </w:rPr>
        <w:t>”)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Talkspace, Inc. common stock during the 20 trading day period starting on the trading day after the day on which we consummate our initial business combination (such price, the “</w:t>
      </w:r>
      <w:r>
        <w:rPr>
          <w:rFonts w:ascii="Arial" w:cs="Arial" w:eastAsia="Arial" w:hAnsi="Arial"/>
          <w:sz w:val="16"/>
          <w:szCs w:val="16"/>
          <w:i w:val="1"/>
          <w:iCs w:val="1"/>
          <w:color w:val="auto"/>
        </w:rPr>
        <w:t>Market Value</w:t>
      </w:r>
      <w:r>
        <w:rPr>
          <w:rFonts w:ascii="Arial" w:cs="Arial" w:eastAsia="Arial" w:hAnsi="Arial"/>
          <w:sz w:val="16"/>
          <w:szCs w:val="16"/>
          <w:color w:val="auto"/>
        </w:rPr>
        <w:t>”)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7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case of any reclassification or reorganization of the outstanding shares of Talkspace, Inc. common stock (other than those described above or that solely affects the par value of such shares of Talkspace, Inc. common stock), or in the case of any merger or consolidation of us with or into another corporation (other than a consolidation or merger in which we are the continuing corporation and that does not result in any reclassification or reorganization of our outstanding shares of Talkspace, Inc.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Talkspace, Inc.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Additionally, if less than 70% of the consideration receivable by the holders of Talkspace, Inc. common stock in such a transaction is payable in the form of common stock in the successor entity that is listed for trading on a national securities exchange or is quoted in 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warrants were issued in registered form under the Warrant Agreement. If you hold warrants, you should review a copy of the Warrant Agreement, which was filed as an exhibit to the registration statement pertaining to the HEC IPO,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Talkspace, Inc. common stock and any voting rights until they exercise their warrants and receive shares of Talkspace, Inc. common stock. After the issuance of shares of Talkspace, Inc. common stock upon exercise of the warrants, each holder will be entitled to one vote for each share held of record on all matters to be voted on by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private placement warrants (including Talkspace, Inc. common stock issuable upon exercise of the private placement warrants) are not transferable, assignable or salable until (i) subject to the closing of the business combination with Talkspace, with respect to 10,280,000 private placement warrants and pursuant to the terms of the Registration Rights Agreement, 180 days after the completion of our initial business combination (except, among other limited exceptions, to our officers and directors and other persons or entities affiliated with the Sponsor) and (ii) with respect to all other private placement warrants (in the event the closing of the business combination with Talkspace does not occur), thirty (30) days after the completion of our initial business combination (except, among other limited exceptions, to our officers and directors and other persons or entities affiliated with the Sponsor) and they will not be redeemable by us so long as they are held by the Sponsor or its permitted transferees. The Sponsor, or its permitted transferees, has the option to exercise the private placement warrants on a cashless basis and will be entitled to certain registration rights.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182"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their warrants for that number of shares of Talkspace, Inc. common stock equal to the quotient obtained by dividing (x) the product of the number of shares of Talkspace, Inc. common stock underlying the warrants, multiplied by the excess of the “fair market value” (defined below) over the exercise price per share of the warrants by (y) the fair market value. The “fair market value” shall mean the average closing price per share of Talkspace, Inc. common stock for the ten (10) trading days ending on the third trading day prior to the date on which the notice of redemption is sent to the holders of warrants.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We have not paid any cash dividends on HEC’s common stock to date and do not intend to pay cash dividends prior to the completion of our initial business combination. The payment of cash dividends in the future (following the Closing) will be dependent upon our revenues and earnings, if any, capital requirements, the terms of any outstanding indebtedness and general financial condition subsequent to completion of our initial business combination. The payment of any cash dividends subsequent to a business combination will be within the discretion of the HEC Board at such time. In addition, the HEC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transfer agent for HEC’s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5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Continental Stock Transfer &amp; Trust Company has agreed that it has no right of set-off or any right, title, interest or claim of any kind to, or to any distribution of, the trust account, and waives any and all rights to seek any recourse, reimbursement, payment or satisfaction for any claim against the trust account. Accordingly, any indemnification provided will only be able to be satisfied, or a claim will only be able to be pursued, solely against HEC and HEC’s assets outside the trust account and not against the any monies in the trust account or interest earned thereon.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Range of HEC’s Securities</w:t>
      </w:r>
    </w:p>
    <w:p>
      <w:pPr>
        <w:spacing w:after="0" w:line="12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Our public units, each of which consists of one share of HEC’s Class A common stock and one-half of one public warrant, each whole public warrant entitling the holder thereof to purchase one share of HEC’s Class A common stock, began trading on the Nasdaq under the symbol “HECCU” on June 11, 2020. On July 28, 2020, we announced that holders of our public units could elect to separately trade HEC’s Class A common stock and the public warrants included in the public units, or to continue to trade the public units without separating them. On or about July 30, 2020, HEC’s Class A common stock and public warrants began trading on the Nasdaq under the symbols “HECC” and “HECCW,” respectively. Each public warrant entitles the holder to purchase one share of HEC’s Class A common stock at a price of $11.50 per share, subject to adjustments as described in our final prospectus dated June 8, 2020, which was filed with the SEC. Warrants may only be exercised for a whole number of shares of HEC’s Class A common stock and will become exercisable 30 days after the completion of an initial business combination. Our public warrants will expire five years after the completion of an initial business combination or earlier upon redemption or liquidation as described in the HEC IPO prospectus.</w:t>
      </w:r>
    </w:p>
    <w:p>
      <w:pPr>
        <w:spacing w:after="0" w:line="16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sets forth, for the calendar quarter indicated, the high and low sales prices per unit, HEC’s Class A common stock and public warrants as reported on the Nasdaq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2021</w:t>
            </w:r>
          </w:p>
        </w:tc>
        <w:tc>
          <w:tcPr>
            <w:tcW w:w="6480" w:type="dxa"/>
            <w:vAlign w:val="bottom"/>
          </w:tcPr>
          <w:p>
            <w:pPr>
              <w:spacing w:after="0"/>
              <w:rPr>
                <w:sz w:val="14"/>
                <w:szCs w:val="14"/>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360" w:type="dxa"/>
            <w:vAlign w:val="bottom"/>
            <w:gridSpan w:val="5"/>
          </w:tcPr>
          <w:p>
            <w:pPr>
              <w:ind w:left="200"/>
              <w:spacing w:after="0"/>
              <w:rPr>
                <w:sz w:val="20"/>
                <w:szCs w:val="20"/>
                <w:color w:val="auto"/>
              </w:rPr>
            </w:pPr>
            <w:r>
              <w:rPr>
                <w:rFonts w:ascii="Arial" w:cs="Arial" w:eastAsia="Arial" w:hAnsi="Arial"/>
                <w:sz w:val="14"/>
                <w:szCs w:val="14"/>
                <w:b w:val="1"/>
                <w:bCs w:val="1"/>
                <w:color w:val="auto"/>
              </w:rPr>
              <w:t>Warrants</w:t>
            </w:r>
          </w:p>
        </w:tc>
        <w:tc>
          <w:tcPr>
            <w:tcW w:w="880" w:type="dxa"/>
            <w:vAlign w:val="bottom"/>
            <w:gridSpan w:val="4"/>
          </w:tcPr>
          <w:p>
            <w:pPr>
              <w:ind w:left="4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6480" w:type="dxa"/>
            <w:vAlign w:val="bottom"/>
          </w:tcPr>
          <w:p>
            <w:pPr>
              <w:spacing w:after="0"/>
              <w:rPr>
                <w:sz w:val="12"/>
                <w:szCs w:val="12"/>
                <w:color w:val="auto"/>
              </w:rPr>
            </w:pPr>
          </w:p>
        </w:tc>
        <w:tc>
          <w:tcPr>
            <w:tcW w:w="62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2"/>
                <w:szCs w:val="12"/>
                <w:color w:val="auto"/>
              </w:rPr>
            </w:pPr>
          </w:p>
        </w:tc>
        <w:tc>
          <w:tcPr>
            <w:tcW w:w="6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$9.60</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$1.18</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$13.26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gridSpan w:val="2"/>
          </w:tcPr>
          <w:p>
            <w:pPr>
              <w:spacing w:after="0" w:line="194" w:lineRule="exact"/>
              <w:rPr>
                <w:sz w:val="20"/>
                <w:szCs w:val="20"/>
                <w:color w:val="auto"/>
              </w:rPr>
            </w:pPr>
            <w:r>
              <w:rPr>
                <w:rFonts w:ascii="Arial" w:cs="Arial" w:eastAsia="Arial" w:hAnsi="Arial"/>
                <w:sz w:val="18"/>
                <w:szCs w:val="18"/>
                <w:color w:val="auto"/>
              </w:rPr>
              <w:t>Second Quarter (though May 27, 2021)</w:t>
            </w:r>
          </w:p>
        </w:tc>
        <w:tc>
          <w:tcPr>
            <w:tcW w:w="620" w:type="dxa"/>
            <w:vAlign w:val="bottom"/>
            <w:gridSpan w:val="2"/>
          </w:tcPr>
          <w:p>
            <w:pPr>
              <w:jc w:val="right"/>
              <w:ind w:right="120"/>
              <w:spacing w:after="0" w:line="194" w:lineRule="exact"/>
              <w:rPr>
                <w:sz w:val="20"/>
                <w:szCs w:val="20"/>
                <w:color w:val="auto"/>
              </w:rPr>
            </w:pPr>
            <w:r>
              <w:rPr>
                <w:rFonts w:ascii="Arial" w:cs="Arial" w:eastAsia="Arial" w:hAnsi="Arial"/>
                <w:sz w:val="18"/>
                <w:szCs w:val="18"/>
                <w:color w:val="auto"/>
                <w:w w:val="87"/>
              </w:rPr>
              <w:t>$10.00</w:t>
            </w:r>
          </w:p>
        </w:tc>
        <w:tc>
          <w:tcPr>
            <w:tcW w:w="840" w:type="dxa"/>
            <w:vAlign w:val="bottom"/>
            <w:gridSpan w:val="3"/>
          </w:tcPr>
          <w:p>
            <w:pPr>
              <w:jc w:val="right"/>
              <w:ind w:right="280"/>
              <w:spacing w:after="0" w:line="194" w:lineRule="exact"/>
              <w:rPr>
                <w:sz w:val="20"/>
                <w:szCs w:val="20"/>
                <w:color w:val="auto"/>
              </w:rPr>
            </w:pPr>
            <w:r>
              <w:rPr>
                <w:rFonts w:ascii="Arial" w:cs="Arial" w:eastAsia="Arial" w:hAnsi="Arial"/>
                <w:sz w:val="18"/>
                <w:szCs w:val="18"/>
                <w:color w:val="auto"/>
              </w:rPr>
              <w:t>$9.87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line="194" w:lineRule="exact"/>
              <w:rPr>
                <w:sz w:val="20"/>
                <w:szCs w:val="20"/>
                <w:color w:val="auto"/>
              </w:rPr>
            </w:pPr>
            <w:r>
              <w:rPr>
                <w:rFonts w:ascii="Arial" w:cs="Arial" w:eastAsia="Arial" w:hAnsi="Arial"/>
                <w:sz w:val="18"/>
                <w:szCs w:val="18"/>
                <w:color w:val="auto"/>
              </w:rPr>
              <w:t>1.31</w:t>
            </w:r>
          </w:p>
        </w:tc>
        <w:tc>
          <w:tcPr>
            <w:tcW w:w="820" w:type="dxa"/>
            <w:vAlign w:val="bottom"/>
            <w:gridSpan w:val="3"/>
          </w:tcPr>
          <w:p>
            <w:pPr>
              <w:jc w:val="right"/>
              <w:ind w:right="260"/>
              <w:spacing w:after="0" w:line="194" w:lineRule="exact"/>
              <w:rPr>
                <w:sz w:val="20"/>
                <w:szCs w:val="20"/>
                <w:color w:val="auto"/>
              </w:rPr>
            </w:pPr>
            <w:r>
              <w:rPr>
                <w:rFonts w:ascii="Arial" w:cs="Arial" w:eastAsia="Arial" w:hAnsi="Arial"/>
                <w:sz w:val="18"/>
                <w:szCs w:val="18"/>
                <w:color w:val="auto"/>
              </w:rPr>
              <w:t>$1.05</w:t>
            </w:r>
          </w:p>
        </w:tc>
        <w:tc>
          <w:tcPr>
            <w:tcW w:w="640" w:type="dxa"/>
            <w:vAlign w:val="bottom"/>
            <w:gridSpan w:val="2"/>
          </w:tcPr>
          <w:p>
            <w:pPr>
              <w:spacing w:after="0" w:line="194" w:lineRule="exact"/>
              <w:rPr>
                <w:sz w:val="20"/>
                <w:szCs w:val="20"/>
                <w:color w:val="auto"/>
              </w:rPr>
            </w:pPr>
            <w:r>
              <w:rPr>
                <w:rFonts w:ascii="Arial" w:cs="Arial" w:eastAsia="Arial" w:hAnsi="Arial"/>
                <w:sz w:val="18"/>
                <w:szCs w:val="18"/>
                <w:color w:val="auto"/>
              </w:rPr>
              <w:t>$10.93</w:t>
            </w:r>
          </w:p>
        </w:tc>
        <w:tc>
          <w:tcPr>
            <w:tcW w:w="24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line="194" w:lineRule="exact"/>
              <w:rPr>
                <w:sz w:val="20"/>
                <w:szCs w:val="20"/>
                <w:color w:val="auto"/>
              </w:rPr>
            </w:pPr>
            <w:r>
              <w:rPr>
                <w:rFonts w:ascii="Arial" w:cs="Arial" w:eastAsia="Arial" w:hAnsi="Arial"/>
                <w:sz w:val="18"/>
                <w:szCs w:val="18"/>
                <w:color w:val="auto"/>
                <w:w w:val="84"/>
              </w:rPr>
              <w:t>10.15</w:t>
            </w: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2020</w:t>
            </w:r>
          </w:p>
        </w:tc>
        <w:tc>
          <w:tcPr>
            <w:tcW w:w="6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$10.81</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$0.79</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$10.53</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$9.75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1.215</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$0.70</w:t>
            </w:r>
          </w:p>
        </w:tc>
        <w:tc>
          <w:tcPr>
            <w:tcW w:w="640" w:type="dxa"/>
            <w:vAlign w:val="bottom"/>
            <w:gridSpan w:val="2"/>
          </w:tcPr>
          <w:p>
            <w:pPr>
              <w:spacing w:after="0"/>
              <w:rPr>
                <w:sz w:val="20"/>
                <w:szCs w:val="20"/>
                <w:color w:val="auto"/>
              </w:rPr>
            </w:pPr>
            <w:r>
              <w:rPr>
                <w:rFonts w:ascii="Arial" w:cs="Arial" w:eastAsia="Arial" w:hAnsi="Arial"/>
                <w:sz w:val="18"/>
                <w:szCs w:val="18"/>
                <w:color w:val="auto"/>
              </w:rPr>
              <w:t>$10.55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First Quarter (1)(2)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HEC’s Class A common stock and warrants began trading separately on the Nasdaq on July 30,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HEC’s units began trading on the Nasdaq on June 11, 2020.</w:t>
      </w:r>
    </w:p>
    <w:p>
      <w:pPr>
        <w:spacing w:after="0" w:line="21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On January 12, 2021, the last trading date before the public announcement of the Transactions, HEC’s units, HEC’s Class A common stock and public warrants closed at $12.79, $11.51 and $2.60, respectively. On May 27, 2021, the last practicable date, HEC’s units, HEC’s Class A common stock and public warrants closed at $10.93, $9.92 and $1.24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HEC has not paid any cash dividends on HEC’s common stock to date and does not intend to pay cash dividends prior to the completion of our initial business combination. The payment of cash dividends in the future is dependent upon HEC’s revenues and earnings, if any, capital requirements, the terms of any indebtedness and general financial condition subsequent to completion of the business combination. The payment of any cash dividends subsequent to the business combination will be within the discretion of the HEC Board at such time. In addition, the HEC Board is not currently contemplating and does not anticipate declaring any stock dividends in the foreseeable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Range of Talkspace’s Securities</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Historical market price information regarding Talkspace is not provided because there is no public market for Talkspace’s securities. For information regarding Talkspace’s liquidity and capital resources, see “</w:t>
      </w:r>
      <w:r>
        <w:rPr>
          <w:rFonts w:ascii="Arial" w:cs="Arial" w:eastAsia="Arial" w:hAnsi="Arial"/>
          <w:sz w:val="18"/>
          <w:szCs w:val="18"/>
          <w:i w:val="1"/>
          <w:iCs w:val="1"/>
          <w:color w:val="auto"/>
        </w:rPr>
        <w:t>Talkspace’s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Operations—Liquidity and Capital Resources</w:t>
      </w:r>
      <w:r>
        <w:rPr>
          <w:rFonts w:ascii="Arial" w:cs="Arial" w:eastAsia="Arial" w:hAnsi="Arial"/>
          <w:sz w:val="18"/>
          <w:szCs w:val="18"/>
          <w:color w:val="auto"/>
        </w:rPr>
        <w: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OWNERSHIP OF SECURITIES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following table sets forth information known to HEC regarding (i) the actual beneficial ownership of HEC’s common stock as of April 30, 2021 (pre-business combination) and (ii) the expected beneficial ownership of Talkspace, Inc. common stock immediately following the Closing, assuming a “no redemption” scenario and assuming a “maximum redemption” scenario as described below by:</w:t>
      </w:r>
    </w:p>
    <w:p>
      <w:pPr>
        <w:spacing w:after="0" w:line="89" w:lineRule="exact"/>
        <w:rPr>
          <w:sz w:val="20"/>
          <w:szCs w:val="20"/>
          <w:color w:val="auto"/>
        </w:rPr>
      </w:pPr>
    </w:p>
    <w:p>
      <w:pPr>
        <w:ind w:left="540" w:right="80" w:hanging="316"/>
        <w:spacing w:after="0" w:line="277"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who is, or is expected to be, the beneficial owner of more than 5% of the outstanding shares of HEC’s common stock and is expected to be the beneficial owner of more than 5% of shares of Talkspace, Inc. common stock following the Closing;</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of HEC’s current executive officers and directors;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who will become a named executive officer or director of Talkspace, Inc. following the Closing; and</w:t>
      </w:r>
    </w:p>
    <w:p>
      <w:pPr>
        <w:spacing w:after="0" w:line="130"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executive officers and directors of HEC, as a group, and all executive officers and directors of Talkspace, Inc. following the Closing, as a group.</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w:t>
      </w:r>
    </w:p>
    <w:p>
      <w:pPr>
        <w:spacing w:after="0" w:line="17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beneficial ownership of HEC’s common stock pre-business combination is based on 41,400,000 shares of HEC’s Class A common stock and 10,350,000 shares of HEC’s Class B common stock issued and outstanding as of April 30,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beneficial ownership of Talkspace, Inc. common stock post-business combination assumes two scenarios:</w:t>
      </w:r>
    </w:p>
    <w:p>
      <w:pPr>
        <w:spacing w:after="0" w:line="127" w:lineRule="exact"/>
        <w:rPr>
          <w:sz w:val="20"/>
          <w:szCs w:val="20"/>
          <w:color w:val="auto"/>
        </w:rPr>
      </w:pPr>
    </w:p>
    <w:p>
      <w:pPr>
        <w:ind w:left="1080" w:right="120" w:hanging="424"/>
        <w:spacing w:after="0" w:line="274" w:lineRule="auto"/>
        <w:tabs>
          <w:tab w:leader="none" w:pos="1080" w:val="left"/>
        </w:tabs>
        <w:numPr>
          <w:ilvl w:val="0"/>
          <w:numId w:val="242"/>
        </w:numPr>
        <w:rPr>
          <w:rFonts w:ascii="Arial" w:cs="Arial" w:eastAsia="Arial" w:hAnsi="Arial"/>
          <w:sz w:val="17"/>
          <w:szCs w:val="17"/>
          <w:color w:val="auto"/>
        </w:rPr>
      </w:pPr>
      <w:r>
        <w:rPr>
          <w:rFonts w:ascii="Arial" w:cs="Arial" w:eastAsia="Arial" w:hAnsi="Arial"/>
          <w:sz w:val="17"/>
          <w:szCs w:val="17"/>
          <w:b w:val="1"/>
          <w:bCs w:val="1"/>
          <w:color w:val="auto"/>
        </w:rPr>
        <w:t>Scenario 1—Assuming No Redemption</w:t>
      </w:r>
      <w:r>
        <w:rPr>
          <w:rFonts w:ascii="Arial" w:cs="Arial" w:eastAsia="Arial" w:hAnsi="Arial"/>
          <w:sz w:val="17"/>
          <w:szCs w:val="17"/>
          <w:color w:val="auto"/>
        </w:rPr>
        <w:t>: This presentation assumes that (i) no public stockholders of HEC exercise redemption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options who are eligible to make a cash election on a pro rata basis.</w:t>
      </w:r>
    </w:p>
    <w:p>
      <w:pPr>
        <w:spacing w:after="0" w:line="78" w:lineRule="exact"/>
        <w:rPr>
          <w:rFonts w:ascii="Arial" w:cs="Arial" w:eastAsia="Arial" w:hAnsi="Arial"/>
          <w:sz w:val="17"/>
          <w:szCs w:val="17"/>
          <w:color w:val="auto"/>
        </w:rPr>
      </w:pPr>
    </w:p>
    <w:p>
      <w:pPr>
        <w:ind w:left="1080" w:hanging="424"/>
        <w:spacing w:after="0" w:line="285" w:lineRule="auto"/>
        <w:tabs>
          <w:tab w:leader="none" w:pos="1080" w:val="left"/>
        </w:tabs>
        <w:numPr>
          <w:ilvl w:val="0"/>
          <w:numId w:val="242"/>
        </w:numPr>
        <w:rPr>
          <w:rFonts w:ascii="Arial" w:cs="Arial" w:eastAsia="Arial" w:hAnsi="Arial"/>
          <w:sz w:val="16"/>
          <w:szCs w:val="16"/>
          <w:color w:val="auto"/>
        </w:rPr>
      </w:pPr>
      <w:r>
        <w:rPr>
          <w:rFonts w:ascii="Arial" w:cs="Arial" w:eastAsia="Arial" w:hAnsi="Arial"/>
          <w:sz w:val="16"/>
          <w:szCs w:val="16"/>
          <w:b w:val="1"/>
          <w:bCs w:val="1"/>
          <w:color w:val="auto"/>
        </w:rPr>
        <w:t>Scenario 2—Assuming Maximum Redemption</w:t>
      </w:r>
      <w:r>
        <w:rPr>
          <w:rFonts w:ascii="Arial" w:cs="Arial" w:eastAsia="Arial" w:hAnsi="Arial"/>
          <w:sz w:val="16"/>
          <w:szCs w:val="16"/>
          <w:color w:val="auto"/>
        </w:rPr>
        <w:t>: This presentation assumes that (i) 36,400,000 of HEC’s public shares are redeemed for</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payment of $364.0 million, which is derived from the number of shares that could be redeemed in connection with the business combination at an assumed redemption price of approximately $10.00 per share of HEC’s Class A common stock based on the trust account balance as of March 31, 2021 in order for (A) the amount of cash available in the trust account following the special meeting of stockholders plus (B) the PIPE Investment amount actually received by HEC at or prior to the Closing Date plus (C) the amount actually received by HEC at or prior to the Closing Date under the HEC Forward Purchase Agreement, to be at least equal to $400.0 million,</w:t>
      </w:r>
    </w:p>
    <w:p>
      <w:pPr>
        <w:spacing w:after="0" w:line="3" w:lineRule="exact"/>
        <w:rPr>
          <w:rFonts w:ascii="Arial" w:cs="Arial" w:eastAsia="Arial" w:hAnsi="Arial"/>
          <w:sz w:val="16"/>
          <w:szCs w:val="16"/>
          <w:color w:val="auto"/>
        </w:rPr>
      </w:pPr>
    </w:p>
    <w:p>
      <w:pPr>
        <w:ind w:left="1080"/>
        <w:spacing w:after="0" w:line="273" w:lineRule="auto"/>
        <w:rPr>
          <w:rFonts w:ascii="Arial" w:cs="Arial" w:eastAsia="Arial" w:hAnsi="Arial"/>
          <w:sz w:val="16"/>
          <w:szCs w:val="16"/>
          <w:color w:val="auto"/>
        </w:rPr>
      </w:pPr>
      <w:r>
        <w:rPr>
          <w:rFonts w:ascii="Arial" w:cs="Arial" w:eastAsia="Arial" w:hAnsi="Arial"/>
          <w:sz w:val="17"/>
          <w:szCs w:val="17"/>
          <w:color w:val="auto"/>
        </w:rPr>
        <w:t>(ii)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options who are eligible to make a cash election on a pro rata basis.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each scenario assumes that all holders of Talkspace stock make a Stockholder Standard Mixed</w:t>
      </w:r>
    </w:p>
    <w:p>
      <w:pPr>
        <w:spacing w:after="0" w:line="2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Election and all holders of Talkspace vested options make an Optionholder Standard Mixed Election. Based on the foregoing assumptions, we estimate that there would be 152,863,400 shares of Talkspace, Inc. common stock issued and outstanding immediately following the Closing in the “no redemption” scenario, and 147,941,394 shares of Talkspace, Inc. common stock issued and outstanding immediately following the Closing in the “maximum redemption” scenario. If the actual facts are different from the foregoing assumptions, ownership figures in the combined company will be different. In either a “no redemption” scenario and a “maximum redemption” scenario, each stockholder of Talkspace, Inc. that will control 10% or more of the voting securities of Talkspace, Inc. following the Closing was also a stockholder of Talkspace, Inc. that controlled 10% or more of the voting securities of Talkspace, Inc. prior to the consummation of the business combination.</w:t>
      </w:r>
    </w:p>
    <w:p>
      <w:pPr>
        <w:spacing w:after="0" w:line="18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following table does not reflect record of beneficial ownership of any shares of Talkspace, Inc. common stock issuable upon exercise of public warrants or private placement warrants, as such securities are not exercisable or convertible within 60 days of April 30, 2021.</w:t>
      </w:r>
    </w:p>
    <w:p>
      <w:pPr>
        <w:spacing w:after="0" w:line="14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Unless otherwise indicated, HEC believes that all persons named in the table below have sole voting and investment power with respect to the voting securities beneficially owned by them.</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20" w:type="dxa"/>
            <w:vAlign w:val="bottom"/>
            <w:gridSpan w:val="4"/>
          </w:tcPr>
          <w:p>
            <w:pPr>
              <w:ind w:left="60"/>
              <w:spacing w:after="0"/>
              <w:rPr>
                <w:sz w:val="20"/>
                <w:szCs w:val="20"/>
                <w:color w:val="auto"/>
              </w:rPr>
            </w:pPr>
            <w:r>
              <w:rPr>
                <w:rFonts w:ascii="Arial" w:cs="Arial" w:eastAsia="Arial" w:hAnsi="Arial"/>
                <w:sz w:val="14"/>
                <w:szCs w:val="14"/>
                <w:b w:val="1"/>
                <w:bCs w:val="1"/>
                <w:color w:val="auto"/>
              </w:rPr>
              <w:t>Pre-Business Combination</w:t>
            </w:r>
          </w:p>
        </w:tc>
        <w:tc>
          <w:tcPr>
            <w:tcW w:w="2580" w:type="dxa"/>
            <w:vAlign w:val="bottom"/>
            <w:gridSpan w:val="7"/>
          </w:tcPr>
          <w:p>
            <w:pPr>
              <w:jc w:val="center"/>
              <w:ind w:left="228"/>
              <w:spacing w:after="0"/>
              <w:rPr>
                <w:sz w:val="20"/>
                <w:szCs w:val="20"/>
                <w:color w:val="auto"/>
              </w:rPr>
            </w:pPr>
            <w:r>
              <w:rPr>
                <w:rFonts w:ascii="Arial" w:cs="Arial" w:eastAsia="Arial" w:hAnsi="Arial"/>
                <w:sz w:val="14"/>
                <w:szCs w:val="14"/>
                <w:b w:val="1"/>
                <w:bCs w:val="1"/>
                <w:color w:val="auto"/>
                <w:w w:val="89"/>
              </w:rPr>
              <w:t>Post-Business Combination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and PIPE Investment</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and PIPE Investment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Borders>
              <w:top w:val="single" w:sz="8" w:color="auto"/>
            </w:tcBorders>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Assuming No</w:t>
            </w:r>
          </w:p>
        </w:tc>
        <w:tc>
          <w:tcPr>
            <w:tcW w:w="960" w:type="dxa"/>
            <w:vAlign w:val="bottom"/>
            <w:tcBorders>
              <w:top w:val="single" w:sz="8" w:color="auto"/>
            </w:tcBorders>
            <w:gridSpan w:val="2"/>
          </w:tcPr>
          <w:p>
            <w:pPr>
              <w:jc w:val="center"/>
              <w:ind w:left="228"/>
              <w:spacing w:after="0" w:line="119" w:lineRule="exact"/>
              <w:rPr>
                <w:sz w:val="20"/>
                <w:szCs w:val="20"/>
                <w:color w:val="auto"/>
              </w:rPr>
            </w:pPr>
            <w:r>
              <w:rPr>
                <w:rFonts w:ascii="Arial" w:cs="Arial" w:eastAsia="Arial" w:hAnsi="Arial"/>
                <w:sz w:val="13"/>
                <w:szCs w:val="13"/>
                <w:b w:val="1"/>
                <w:bCs w:val="1"/>
                <w:color w:val="auto"/>
                <w:w w:val="98"/>
              </w:rPr>
              <w:t>Assuming</w:t>
            </w:r>
          </w:p>
        </w:tc>
        <w:tc>
          <w:tcPr>
            <w:tcW w:w="2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6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Redemption</w:t>
            </w: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15"/>
        </w:trPr>
        <w:tc>
          <w:tcPr>
            <w:tcW w:w="58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4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3"/>
                <w:szCs w:val="13"/>
                <w:b w:val="1"/>
                <w:bCs w:val="1"/>
                <w:color w:val="auto"/>
              </w:rPr>
              <w:t>Number</w:t>
            </w:r>
          </w:p>
        </w:tc>
        <w:tc>
          <w:tcPr>
            <w:tcW w:w="5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96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3"/>
                <w:szCs w:val="13"/>
                <w:b w:val="1"/>
                <w:bCs w:val="1"/>
                <w:color w:val="auto"/>
              </w:rPr>
              <w:t>Number</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Owner(1)</w:t>
            </w:r>
          </w:p>
        </w:tc>
        <w:tc>
          <w:tcPr>
            <w:tcW w:w="46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Shares(2)</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of Shares</w:t>
            </w:r>
          </w:p>
        </w:tc>
        <w:tc>
          <w:tcPr>
            <w:tcW w:w="5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of Shares</w:t>
            </w:r>
          </w:p>
        </w:tc>
        <w:tc>
          <w:tcPr>
            <w:tcW w:w="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8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5% Holders</w:t>
            </w:r>
          </w:p>
        </w:tc>
        <w:tc>
          <w:tcPr>
            <w:tcW w:w="9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HEC Sponsor (our sponsor) (3)</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10,300,000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12,800,000</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12,245,000</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Norwest Venture Partners XIII, LP (4)</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11,548,908</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16,215,273</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11.0%</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Entities affiliated with Spark Capital (5)</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9,724,969</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13,654,367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Qumra Capital II, L.P. (6)</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6,734,274</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9,455,273</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Revolution Growth III, LP (7)</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6,776,040</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9,513,915</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Entities affiliated with Firstime Ventures (8)</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6,343,151</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8,906,117</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Directors and Executive Officers Pre-Business Combination</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L. Braunstein (3)</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Douglas G. Bergeron (3)</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Jonathan Dobres</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Thelma Duggin</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Amy Schulman</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HEC directors and executive officers as a group (6 individuals)</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50,000</w:t>
            </w: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Directors and Executive Officers Post-Business Combination</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Oren Frank (9)</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3,207,479</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4,503,471</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Mark Hirschhorn (10)</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567,083</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796,215</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Roni Frank (11)</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3,207,479</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4,503,471</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Samara H. Braunstein (12)</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49,740</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69,838</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Gil Margolin (13)</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1,243,312</w:t>
            </w: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1,745,676</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John C. Reilly (14)</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237,429</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333,364</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L. Braunstein (3)</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Jeffrey M. Crowe (4)</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11,548,908</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16,215,273</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11.0%</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Erez Shachar (6)</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6,734,274</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9,455,273</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Curtis Warfield</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Jacqueline Yeaney</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Charles Berg</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Madhu Pawar</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860" w:type="dxa"/>
            <w:vAlign w:val="bottom"/>
            <w:gridSpan w:val="2"/>
          </w:tcPr>
          <w:p>
            <w:pPr>
              <w:spacing w:after="0"/>
              <w:rPr>
                <w:sz w:val="20"/>
                <w:szCs w:val="20"/>
                <w:color w:val="auto"/>
              </w:rPr>
            </w:pPr>
            <w:r>
              <w:rPr>
                <w:rFonts w:ascii="Arial" w:cs="Arial" w:eastAsia="Arial" w:hAnsi="Arial"/>
                <w:sz w:val="14"/>
                <w:szCs w:val="14"/>
                <w:color w:val="auto"/>
              </w:rPr>
              <w:t>All Talkspace, Inc. directors and executive officers as a group (13 individuals)</w:t>
            </w:r>
          </w:p>
        </w:tc>
        <w:tc>
          <w:tcPr>
            <w:tcW w:w="11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26,795,704</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17.0%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37,622,581</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24.2%</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60" w:hanging="424"/>
        <w:spacing w:after="0" w:line="290" w:lineRule="auto"/>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those listed in the table above pre-business combination is 570 Lexington Avenue, 35th Floor, New York, NY 10022 and post-business combination is 2578 Broadway #607, New York, NY 10025.</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(2) Interests shown consist solely of HEC’s Class B common stock. Such shares will automatically convert into HEC’s Class A common stock concurrently with or immediately following the consummation of the business combination on a one-for-one basis, subject to adjustment. Excludes HEC’s Class A common stock issuable pursuant to the HEC forward purchase agreement, as such shares will only be issued concurrently with the Closing.</w:t>
      </w:r>
    </w:p>
    <w:p>
      <w:pPr>
        <w:spacing w:after="0" w:line="2" w:lineRule="exact"/>
        <w:rPr>
          <w:sz w:val="20"/>
          <w:szCs w:val="20"/>
          <w:color w:val="auto"/>
        </w:rPr>
      </w:pPr>
    </w:p>
    <w:p>
      <w:pPr>
        <w:ind w:left="540" w:right="2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Sponsor is the record holder of the shares reported herein. HEC Fund and Messrs. Braunstein and Bergeron are among the members of the Sponsor and share voting and investment discretion with respect to the common stock held of record by the Sponsor. Each of the Messrs. Braunstein and Bergeron disclaims any beneficial ownership of the securities held by the Sponsor other than to the extent of any pecuniary interest he may have therein, directly or indirectly. Certain other members of our management team and the CEO Network are also among members of the Sponsor and may be entitled to distributions of founder shares and private placement warrants held by the Sponsor. Interests shown include shares of HEC Class B common stock beneficially owned by the Sponsor and shares that HEC Fund committed to purchase in accordance with the HEC Forward Purchase. 3,090,000 of such shares shall unvest at the Closing and revest at such time as the stock price of Talkspace, Inc. reaches certain trading prices specified in the Sponsor Support Agreement.</w:t>
      </w:r>
    </w:p>
    <w:p>
      <w:pPr>
        <w:spacing w:after="0" w:line="1" w:lineRule="exact"/>
        <w:rPr>
          <w:rFonts w:ascii="Arial" w:cs="Arial" w:eastAsia="Arial" w:hAnsi="Arial"/>
          <w:sz w:val="17"/>
          <w:szCs w:val="17"/>
          <w:color w:val="auto"/>
        </w:rPr>
      </w:pPr>
    </w:p>
    <w:p>
      <w:pPr>
        <w:ind w:left="540" w:right="100" w:hanging="424"/>
        <w:spacing w:after="0" w:line="281" w:lineRule="auto"/>
        <w:tabs>
          <w:tab w:leader="none" w:pos="5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Consists of shares of Talkspace, Inc. common stock that will be held by Norwest Venture Partners XIII, LP (“NVP XIII”) following the Closing. Genesis VC Partners XIII, LLC is the general partner of NVP XIII and may be deemed to have sole voting and dispositive power over the shares held by NVP XIII. NVP Associates, LLC, the managing member of Genesis VC Partners XIII, LLC and each of Promod Haque, Jeffrey Crowe and Jon Kossow, as Co-Chief Executive Officers of NVP Associates, LLC and members of the general partner, may be deemed to share voting and dispositive power over the shares held by NVP XIII. Such persons and entities disclaim beneficial ownership of the shares held by NVP XIII, except to the extent of any proportionate pecuniary interest therein. Upon the Closing, Mr. Crowe is expected to serve as a member of Talkspace, Inc.’s board of directors. The address for these entities is 525 University Avenue, #800, Palo Alto, CA 94301.</w:t>
      </w:r>
    </w:p>
    <w:p>
      <w:pPr>
        <w:spacing w:after="0" w:line="4"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(i) 95,303 shares assuming Scenario 1 or 133,811 shares assuming Scenario 2 that will be held by Spark Capital Founders’ Fund IV, L.P. and (ii) 9,629,666 shares assuming Scenario 1 or 13,520,556 shares assuming Scenario 2 that will be held by Spark Capital IV, L.P. (collectively, the “Spark Entities”). Each of Santo Politi, Bijan Sabet, Paul Conway and Alex Finkelstein is a managing member of the general partner of these funds, which makes all voting and investment decisions for these funds through the vote of such managing members. The address of these entities is 137 Newbury St., 8th Floor, Boston, Massachusetts 02116.</w:t>
      </w:r>
    </w:p>
    <w:p>
      <w:pPr>
        <w:spacing w:after="0" w:line="2"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Consists of shares of Talkspace, Inc. common stock that will be held by Qumra Capital II, L.P (“Qumra II”) following the Closing. Qumra Capital GP II, L.P. (“Qumra GP II”) is the general partner of Qumra II and Qumra Capital Israel I Ltd. (“Qumra Capital Ltd.”) is the general partner of Qumra GP II. Boaz Dinte and Erez Shachar serve as the managing partners of Qumra Capital Ltd. and share voting and dispositive power with respect to the shares held by Qumra II. Upon the Closing, Mr. Shachar is expected to serve as a member of Talkspace, Inc.’s board of directors. The address for these entities are c/o Qumra Capital, HaNevi’im St 4, Tel Aviv-Yafo, Israel.</w:t>
      </w:r>
    </w:p>
    <w:p>
      <w:pPr>
        <w:ind w:left="540" w:right="8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Consists of shares of Talkspace, Inc. common stock that will be held by Revolution Growth III, LP (“Revolution Growth III”) following the Closing. Steven J. Murray is the operating manager of Revolution Growth UGP III, LLC (“Revolution Growth UGP III”), the general partner of Revolution Growth GP III, LP (“Revolution Growth GP III”), which is the general partner of Revolution Growth III. Revolution Growth UGP III, Revolution Growth GP III and Mr. Murray may be deemed to have voting power with respect to the shares held by Revolution Growth III. Revolution Growth UGP III, Revolution Growth GP III, Revolution Growth III, and Mr. Murray, Theodore J. Leonsis and Stephen M. Case, as members of Revolution Growth UGP III’s investment committee, may be deemed to share dispositive power over such shares. The address of these entities is 1717 Rhode Island Avenue, NW, 10th Floor, Washington, D.C. 20036.</w:t>
      </w:r>
    </w:p>
    <w:p>
      <w:pPr>
        <w:spacing w:after="0" w:line="1" w:lineRule="exact"/>
        <w:rPr>
          <w:rFonts w:ascii="Arial" w:cs="Arial" w:eastAsia="Arial" w:hAnsi="Arial"/>
          <w:sz w:val="17"/>
          <w:szCs w:val="17"/>
          <w:color w:val="auto"/>
        </w:rPr>
      </w:pPr>
    </w:p>
    <w:p>
      <w:pPr>
        <w:ind w:left="540" w:right="500" w:hanging="424"/>
        <w:spacing w:after="0" w:line="260"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(i) 629,043 shares assuming Scenario 1 or 883,209 shares assuming Scenario 2 that will be held by Firstime Ventures L.P.,</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80"/>
        <w:spacing w:after="0" w:line="287" w:lineRule="auto"/>
        <w:rPr>
          <w:sz w:val="20"/>
          <w:szCs w:val="20"/>
          <w:color w:val="auto"/>
        </w:rPr>
      </w:pPr>
      <w:r>
        <w:rPr>
          <w:rFonts w:ascii="Arial" w:cs="Arial" w:eastAsia="Arial" w:hAnsi="Arial"/>
          <w:sz w:val="16"/>
          <w:szCs w:val="16"/>
          <w:color w:val="auto"/>
        </w:rPr>
        <w:t>(ii) 1,412,526 shares assuming Scenario 1 or 1,983,261 shares assuming Scenario 2 that will be held by Firstime Investors A LP, (iii) 4,030,541 shares assuming Scenario 1 or 5,659,091 shares assuming Scenario 2 that will be held by Firstime Ventures (A) L.P. (collectively, the “Firstime Entities”) and (iv) 271,041 shares assuming Scenario 1 or 380,556 shares assuming Scenario 2 that will be held by Nextime Ventures I L.P.</w:t>
      </w:r>
    </w:p>
    <w:p>
      <w:pPr>
        <w:spacing w:after="0" w:line="2" w:lineRule="exact"/>
        <w:rPr>
          <w:sz w:val="20"/>
          <w:szCs w:val="20"/>
          <w:color w:val="auto"/>
        </w:rPr>
      </w:pPr>
    </w:p>
    <w:p>
      <w:pPr>
        <w:ind w:left="540" w:right="40"/>
        <w:spacing w:after="0" w:line="265" w:lineRule="auto"/>
        <w:rPr>
          <w:sz w:val="20"/>
          <w:szCs w:val="20"/>
          <w:color w:val="auto"/>
        </w:rPr>
      </w:pPr>
      <w:r>
        <w:rPr>
          <w:rFonts w:ascii="Arial" w:cs="Arial" w:eastAsia="Arial" w:hAnsi="Arial"/>
          <w:sz w:val="17"/>
          <w:szCs w:val="17"/>
          <w:color w:val="auto"/>
        </w:rPr>
        <w:t>(“Nextime”). Firstime Ventures G.P Ltd. (“GPGP”), which is the managing member of the Firstime Entities, is also the general partner of Firstime Ventures General Partner L.P., which in turn is the general partner of the Firstime Entities and may be deemed to have sole voting and dispositive power over the shares held by the Firstime Entities. Ilan Shiloah, Nir Tarlovsky and Jonathan Benartzi serve as Managing Partners of GPGP and may be deemed to share voting and dispositive power with respect to the shares held by the Firstime Entities. Firstime Ventures 2 G.P Ltd. (“GPGP 2”) is the general partner of Nextime Ventures General Partner L.P., which in turn is the general partner of Nextime. Ilan Shiloah, Nir Tarlovsky and Jonathan Benartzi serve as Managing Partners of GPGP 2 and may be deemed to share voting and dispositive power with respect to the shares held by Nextime. These individuals disclaim beneficial ownership of such shares except to the extent of his pecuniary interest therein. The address for these entities is 6 Hanehoshet Street, Tel-Aviv, Israel 6971070.</w:t>
      </w:r>
    </w:p>
    <w:p>
      <w:pPr>
        <w:spacing w:after="0" w:line="1" w:lineRule="exact"/>
        <w:rPr>
          <w:sz w:val="20"/>
          <w:szCs w:val="20"/>
          <w:color w:val="auto"/>
        </w:rPr>
      </w:pPr>
    </w:p>
    <w:p>
      <w:pPr>
        <w:ind w:left="540" w:right="140" w:hanging="424"/>
        <w:spacing w:after="0" w:line="281" w:lineRule="auto"/>
        <w:tabs>
          <w:tab w:leader="none" w:pos="5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Consists of the following shares of Talkspace, Inc. common stock following the Closing: (i)(x) 1,368,658 shares assuming Scenario 1, consisting of (1) 995,775 shares that will be held by Oren Frank and (2) 372,883 shares that will be held by the Oren Frank 2018 Trust or (y) 1,921,668 shares assuming Scenario 2, consisting of (1) 1,398,120 shares that will be held by Oren Frank and (2) 523,548 shares that will be held by the Oren Frank 2018 Trust and (ii) 1,838,821 shares issuable upon the exercise of options assuming Scenario 1 or 2,581,803 shares issuable upon the exercise of options assuming Scenario 2, in each case exercisable as of or within 60 days of April 30, 2021.</w:t>
      </w:r>
    </w:p>
    <w:p>
      <w:pPr>
        <w:spacing w:after="0" w:line="2"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Consists of the following shares of Talkspace, Inc. common stock following the Closing: (i) 425,312 shares assuming Scenario 1 or 597,161 shares assuming Scenario 2 and (ii) 141,771 shares issuable upon the exercise of options assuming Scenario 1 or 199,054 shares issuable upon the exercise of options assuming Scenario 2, in each case exercisable as of or within 60 days of April 30, 2021.</w:t>
      </w:r>
    </w:p>
    <w:p>
      <w:pPr>
        <w:ind w:left="540" w:hanging="424"/>
        <w:spacing w:after="0" w:line="265"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Consists of the following shares of Talkspace, Inc. common stock following the Closing: (i)(x) 1,368,658 shares assuming Scenario 1, consisting of (1) 995,775 shares that will be held by Roni Frank and (2) 372,883 shares that will be held by the Roni Frank 2018 Trust or (y) 1,921,668 shares assuming Scenario 2, consisting of (1) 1,398,120 shares that will be held by Roni Frank and (2) 523,548 shares that will be held by the Roni Frank 2018 Trust and (ii) 1,838,821 shares issuable upon the exercise of options assuming Scenario 1 or 2,581,803 shares issuable upon the exercise of options assuming Scenario 2, in each case exercisable as of or within 60 days of April 30, 2021.</w:t>
      </w:r>
    </w:p>
    <w:p>
      <w:pPr>
        <w:ind w:left="540" w:right="140" w:hanging="424"/>
        <w:spacing w:after="0" w:line="250"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49,740 shares issuable upon the exercise of options assuming Scenario 1 or 69,838 shares issuable upon the exercise of options assuming Scenario 2, in each case exercisable as of or within 60 days of April 30, 2021.</w:t>
      </w:r>
    </w:p>
    <w:p>
      <w:pPr>
        <w:spacing w:after="0" w:line="1" w:lineRule="exact"/>
        <w:rPr>
          <w:rFonts w:ascii="Arial" w:cs="Arial" w:eastAsia="Arial" w:hAnsi="Arial"/>
          <w:sz w:val="18"/>
          <w:szCs w:val="18"/>
          <w:color w:val="auto"/>
        </w:rPr>
      </w:pPr>
    </w:p>
    <w:p>
      <w:pPr>
        <w:jc w:val="both"/>
        <w:ind w:left="540" w:right="240" w:hanging="424"/>
        <w:spacing w:after="0" w:line="250"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1,243,312 shares issuable upon the exercise of options assuming Scenario 1 or 1,745,676 shares issuable upon the exercise of options assuming Scenario 2, in each case exercisable as of or within 60 days of April 30, 2021.</w:t>
      </w:r>
    </w:p>
    <w:p>
      <w:pPr>
        <w:spacing w:after="0" w:line="1"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Consists of the following shares of Talkspace, Inc. common stock following the Closing: (i) 149,153 shares assuming Scenario 1 or 209,419 shares assuming Scenario 2 and (ii) 88,276 shares issuable upon the exercise of options assuming Scenario 1 or 123,945 shares issuable upon the exercise of options assuming Scenario 2, in each case exercisable as of or within 60 days of April 30, 2021.</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HEC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February 2020, the Sponsor purchased an aggregate of 8,625,000 shares of HEC’s Class B common stock for an aggregate purchase price of</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$25,000, or approximately $0.0029 per share. On June 8, 2020, the Sponsor effected a 1:1.2 stock split of its Class B common stock, resulting in an aggregate of 10,350,000 founder shares issued and outstanding, of which 10,300,000 founder shares are held by the Sponsor and 50,000 founder shares are held by the directors. The founder shares included an aggregate of up to 1,350,000 shares subject to forfeiture by the Sponsor to the extent that the underwriters’ over-allotment was not exercised in full or in part, so that the number of founder shares would collectively represent approximately 20% of HEC’s issued and outstanding shares after the HEC IPO (assuming the Sponsor did not purchase any public shares in the HEC IPO). As a result of the underwriters’ election to fully exercise their over-allotment option, 1,350,000 founder shares are no longer subject to forfeiture.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Sponsor also purchased an aggregate of 10,280,000 private placement warrants for a purchase price of $1.00 per warrant in a private placement that occurred simultaneously with the closing of HEC IPO. As such, the Sponsor’s interest in the HEC IPO was valued at $10,280,000, based on the number of private placement warrants purchased. Each private placement warrant entitles the holder thereof to purchase one share of HEC’s Class A common stock at a price of $11.50 per share, subject to adjustment.</w:t>
      </w:r>
    </w:p>
    <w:p>
      <w:pPr>
        <w:spacing w:after="0" w:line="18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HEC entered into a forward purchase agreement with HEC Fund pursuant to which HEC Fund has committed to purchase from HEC up to 5,000,000 Forward Purchase Units, consisting of one share of Talkspace, Inc. common stock and one-half of one warrant to purchase one share of Talkspace, Inc. common stock for $10.00 per unit, or an aggregate amount of up to $50,000,000, in a private placement that will close concurrently with the closing of a business combination. 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Please see the section entitled “</w:t>
      </w:r>
      <w:r>
        <w:rPr>
          <w:rFonts w:ascii="Arial" w:cs="Arial" w:eastAsia="Arial" w:hAnsi="Arial"/>
          <w:sz w:val="18"/>
          <w:szCs w:val="18"/>
          <w:i w:val="1"/>
          <w:iCs w:val="1"/>
          <w:color w:val="auto"/>
        </w:rPr>
        <w:t>Proposal No. 1—The Business Combination Proposal—Certain Agreements Related to the Business Combination—HEC Forward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Each of the Insiders has an indirect economic interest in the founder shares and private placement warrants purchased by the Sponsor as a result of his or her membership interest in the Sponsor. In addition, Douglas Braunstein and Douglas Bergeron may be deemed to have an indirect economic interest in the founder shares and private placement warrants purchased by the Sponsor as a result of HEC Fund, having membership interests in the Sponsor, and their respective affiliation with such entities. In considering the recommendations of the HEC Board to vote for the business combination proposal and the other proposals described in this proxy statement/prospectus, HEC’s stockholders should consider these interests.</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HEC entered into an Administrative Services Agreement pursuant to which it pays an affiliate of its Sponsor a total of $10,000 per month for office space, administrative and support services. Upon completion of HEC’s initial business combination or its liquidation, it will cease paying these monthly fees.</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Sponsor, officers and directors or any of their respective affiliates will be reimbursed for any out-of-pocket expenses incurred in connection with activities on its behalf such as paying for office space, secretarial and administrative services, identifying potential target businesses and performing due diligence on suitable business combinations. HEC’s audit committee reviews on a quarterly basis all payments that were made by HEC to its Sponsor, officers, directors or its or any of their respective affiliates and determines which expenses and the amount of expenses that will be reimbursed. There is no cap or ceiling on the reimbursement of out-of-pocket expenses incurred by such persons in connection with activities on HEC’s behalf.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connection with the execution of the Merger Agreement, HEC, the HEC Insiders and Talkspace entered into the Sponsor Support Agreement pursuant to which the HEC Insiders agreed to, among other things, vote to adopt and approve the Merger Agreement and the Transactions, in each case, subject to the terms and conditions of the Sponsor Support Agreement. Please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Agreements Related to the Business Combination—Sponsor Support Agreement.</w:t>
      </w:r>
      <w:r>
        <w:rPr>
          <w:rFonts w:ascii="Arial" w:cs="Arial" w:eastAsia="Arial" w:hAnsi="Arial"/>
          <w:sz w:val="17"/>
          <w:szCs w:val="17"/>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At the Closing, HEC, the Sponsor, Talkspace’s independent directors, certain former stockholders of Talkspace and certain other parties thereto will enter into an Amended and Restated Registration Rights Agreement, pursuant to which pursuant to which HEC will agree to register for resale, pursuant to Rule 415 under the Securities Act, certain shares of Talkspace, Inc. common stock and other equity securities of HEC that are held by the parties thereto from time to time. Please see the section entitled “</w:t>
      </w:r>
      <w:r>
        <w:rPr>
          <w:rFonts w:ascii="Arial" w:cs="Arial" w:eastAsia="Arial" w:hAnsi="Arial"/>
          <w:sz w:val="18"/>
          <w:szCs w:val="18"/>
          <w:i w:val="1"/>
          <w:iCs w:val="1"/>
          <w:color w:val="auto"/>
        </w:rPr>
        <w:t>Proposal No. 1</w:t>
      </w:r>
      <w:r>
        <w:rPr>
          <w:rFonts w:ascii="Arial" w:cs="Arial" w:eastAsia="Arial" w:hAnsi="Arial"/>
          <w:sz w:val="18"/>
          <w:szCs w:val="18"/>
          <w:color w:val="auto"/>
        </w:rPr>
        <w:t>—</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w:t>
      </w:r>
      <w:r>
        <w:rPr>
          <w:rFonts w:ascii="Arial" w:cs="Arial" w:eastAsia="Arial" w:hAnsi="Arial"/>
          <w:sz w:val="18"/>
          <w:szCs w:val="18"/>
          <w:i w:val="1"/>
          <w:iCs w:val="1"/>
          <w:color w:val="auto"/>
        </w:rPr>
        <w:t>Certain Agreements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Talkspace’s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Samara Braunstein Employment Letter Agreement</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On December 31, 2020, Talkspace entered into an employment letter agreement with Samara Braunstein to serve as its Chief Marketing Officer. Ms. Braunstein is married to Doug Braunstein who is currently the President and Chairman of HEC and is expected to serve as the Chairman of the Talkspace, Inc. board of directors upon the Closing.</w:t>
      </w:r>
    </w:p>
    <w:p>
      <w:pPr>
        <w:spacing w:after="0" w:line="184"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Ms. Braunstein’s employment pursuant to the letter agreement is “at-will” and is terminable by either party for any reason at any time. Pursuant to the letter agreement, Ms. Braunstein’s initial base salary is $300,000 per year and she is eligible to receive an annual bonus to be paid based on the achievement of company and individual performance goals with a target amount of $100,000. The letter agreement also provides that Ms. Braunstein is entitled to the benefits generally made available to Talkspace’s similarly situated regular, full-time salaried executive-level employees. Under the letter agreement, if Ms. Braunstein’s employment is terminated by Talkspace without “cause” or if she resigns with “good reason”, then Ms. Braunstein will be eligible to receive an amount equal to six (6) months’ of her base salary, continued payment of her health, dental and vision coverage benefits for a period of six (6) months from the date of termination, a prorated bonus for the year of termination and accelerated vesting of any unvested options or other equity granted to Ms. Braunstein by Talkspace which would have vested in the six (6) month period following the date of termination.</w:t>
      </w:r>
    </w:p>
    <w:p>
      <w:pPr>
        <w:spacing w:after="0" w:line="16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Pursuant to the letter agreement, upon the approval by Talkspace’s board of directors on January 14, 2021, Ms. Braunstein was granted an option to purchase 457,356 shares of Talkspace, with an exercise price of $8.21 per share. The option vests over a period of four years from Ms. Braunstein’s start date, with the initial 1/48 of the option vesting on the date of grant, and an additional 1/48 of the option vesting each month thereafter, subject to Ms. Braunstein’s continuing eligibility pursuant to the letter agreement and related option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May 2019, Talkspace issued and sold an aggregate of 18,655,974 shares of its Series D preferred stock to investors that included certain related persons at a purchase price of approximately $2.75 per share for aggregate gross proceeds of approximately $51.3 million. The following table summarizes purchases of Series D preferred stock from Talkspace by such related persons. Talkspace’s Series D preferred stock will convert into shares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Talkspace, Inc.’s common stock in connection with the Closing as described elsewhere in this proxy statement/prospectus.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4"/>
                <w:szCs w:val="14"/>
                <w:color w:val="auto"/>
              </w:rPr>
            </w:pPr>
          </w:p>
        </w:tc>
        <w:tc>
          <w:tcPr>
            <w:tcW w:w="314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0"/>
              </w:rPr>
              <w:t>Shares of Series D</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TotalPurchase Price</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92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Revolution Growth III, LP (1)</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9,086,000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25,000,129</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Norwest Venture Partners XIII, LP (2)</w:t>
            </w: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2,725,800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7,500,039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Qumra Capital II, L.P. (3)</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1,453,760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4,000,021</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Entities affiliated with Compound VC</w:t>
            </w: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363,440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1,000,005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Softbank Capital Fund ’10 L.P.</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363,440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Entities affiliated with Spark Capital</w:t>
            </w: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181,720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500,003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14,174,160</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39,000,202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0" w:hanging="424"/>
        <w:spacing w:after="0" w:line="291" w:lineRule="auto"/>
        <w:tabs>
          <w:tab w:leader="none" w:pos="5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Patrick Conroy is a member of Talkspace’s board of directors and an affiliate of Revolution Growth III, LP .. Revolution Growth III, LP currently holds more than 5% of Talkspace’s capital stock. Mr. Conroy is not expected to serve on the post-Closing board of directors of Talkspace, Inc.</w:t>
      </w:r>
    </w:p>
    <w:p>
      <w:pPr>
        <w:jc w:val="both"/>
        <w:ind w:left="540" w:right="40" w:hanging="424"/>
        <w:spacing w:after="0" w:line="250"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Jeffrey Crowe is a member of Talkspace’s board of directors and an affiliate of Norwest Venture Partners XIII, LP. Norwest Venture Partners XIII, LP currently holds more than 5% of Talkspace’s capital stock. Mr. Crowe is expected to serve on the post-Closing board of directors of Talkspace, Inc.</w:t>
      </w:r>
    </w:p>
    <w:p>
      <w:pPr>
        <w:spacing w:after="0" w:line="1" w:lineRule="exact"/>
        <w:rPr>
          <w:rFonts w:ascii="Arial" w:cs="Arial" w:eastAsia="Arial" w:hAnsi="Arial"/>
          <w:sz w:val="18"/>
          <w:szCs w:val="18"/>
          <w:color w:val="auto"/>
        </w:rPr>
      </w:pPr>
    </w:p>
    <w:p>
      <w:pPr>
        <w:ind w:left="540" w:right="140" w:hanging="424"/>
        <w:spacing w:after="0" w:line="290" w:lineRule="auto"/>
        <w:tabs>
          <w:tab w:leader="none" w:pos="5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Erez Shachar is a member of Talkspace’s board of directors and an affiliate of Qumra Capital II, L.P. Qumra Capital II, L.P. currently holds more than 5% of Talkspace’s capital stock. Mr. Shachar is expected to serve on the post-Closing board of directors of Talkspace, Inc.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Talkspace is party to the Sixth Amended and Restated Investors’ Rights Agreement, dated as of May 15, 2019, which grants registration rights and information rights, among other things, to certain holders of its capital stock, including Oren Frank and Roni Frank, each executive officers of Talkspace, and entities affiliated with Revolution Growth III, LP, Norwest Venture Partners XIII, LP, Qumra Capital II, L.P., Compound VC, Softbank, Spark Capital and Firstime Capital Ventures, each of which currently hold more than 5% of Talkspace’s capital stock. Patrick Conroy, Jeffrey Crowe and Erez Shachar, each of whom are directors of Talkspace, are affiliated with Revolution Growth III, LP, Norwest Venture Partners XIII, LP and Qumra Capital II, L.P., respectively. This agreement will terminate upon the Closing.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Talkspace is a party to the Sixth Amended and Restated Right of First Refusal and Co-Sale Agreement, dated as of May 15, 2019 (the “ROFR Agreement”), which grants Talkspace or its assignees the right to purchase shares of Talkspace’s capital stock which certain stockholders propose to sell to other parties. Certain holders of Talkspace’s capital stock, including Oren Frank, Roni Frank and John Reilly, each executive officers of Talkspace, and entities affiliated with Revolution Growth III, LP, Norwest Venture Partners XIII, LP, Qumra Capital II, L.P., Compound VC, Softbank, Spark Capital and Firstime Capital Ventures, each of which currently hold more than 5% of Talkspace’s capital stock, have rights of first refusal and co-sale under the ROFR Agreement. Patrick Conroy, Jeffrey Crowe and Erez Shachar, each of whom are directors of Talkspace, are affiliated with Revolution Growth III, LP, Norwest Venture Partners XIII, LP and Qumra Capital II, L.P., respectively. This agreement will terminate upon the Closing.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Talkspace is a party to the Sixth Amended and Restated Voting Agreement, dated as of May 15, 2019, pursuant to which certain holders of its capital stock, including Oren Frank, Roni Frank and John Reilly, each executive officers of Talkspace, and entities affiliated with Revolution Growth III, LP, Norwest Venture Partners XIII, LP,</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Qumra Capital II, L.P., Compound VC, Softbank, Spark Capital and Firstime Capital Ventures, each of which currently hold more than 5% of Talkspace’s capital stock, have rights of first refusal and co-sale under the ROFR Agreement. Patrick Conroy, Jeffrey Crowe and Erez Shachar, each of whom are directors of Talkspace, are affiliated with Revolution Growth III, LP, Norwest Venture Partners XIII, LP and Qumra Capital II, L.P., respectively. This agreement will terminate upon the Closing.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Rights Agreement with Revolution Growth III, LP</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Talkspace is a party to a Management Rights Agreement, dated as of May 15, 2019, pursuant to which Revolution Growth III, LP is granted certain inspection, consultation and information rights. This agreement will terminate upon the Closing.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Talkspace’s charter and bylaws provide for indemnification and advancement of expenses for its directors and officers to the fullest extent permitted by the DGCL, subject to certain limited exceptions. Talkspace has entered into indemnification agreements with certain of its directors. In connection with the Closing, Talkspace expects that these agreements will be replaced with new indemnification agreements for each post-Closing director and executive officer of Talkspace, Inc.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Talkspace PIPE Investors entered into subscription agreements with HEC, pursuant to which the Talkspace PIPE Investors have subscribed for shares of Talkspace, Inc.’s common stock in connection with the PIPE Investment.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Effective upon the Closing, the board of directors of Talkspace, Inc. will adopt a written related person transaction policy that will set forth the following policies and procedures for the review and approval or ratification of related person transactions. A “related person transaction” is a transaction, arrangement or relationship in which Talkspace, Inc. or any of its subsidiaries was, is or will be a participant, the amount of which involved exceeds $120,000, and in which any related person had, has or will have a direct or indirect material interest. A “related person” means:</w:t>
      </w:r>
    </w:p>
    <w:p>
      <w:pPr>
        <w:spacing w:after="0" w:line="77" w:lineRule="exact"/>
        <w:rPr>
          <w:sz w:val="20"/>
          <w:szCs w:val="20"/>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Talkspace, Inc.’s executive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person who is known by Talkspace, Inc. to be the beneficial owner of more than 5% of Talkspace, Inc. voting stock;</w:t>
      </w:r>
    </w:p>
    <w:p>
      <w:pPr>
        <w:spacing w:after="0" w:line="130" w:lineRule="exact"/>
        <w:rPr>
          <w:rFonts w:ascii="Arial" w:cs="Arial" w:eastAsia="Arial" w:hAnsi="Arial"/>
          <w:sz w:val="18"/>
          <w:szCs w:val="18"/>
          <w:color w:val="auto"/>
        </w:rPr>
      </w:pPr>
    </w:p>
    <w:p>
      <w:pPr>
        <w:ind w:left="1080" w:right="160" w:hanging="424"/>
        <w:spacing w:after="0" w:line="279"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Talkspace, Inc.’s voting stock, and any person (other than a tenant or employee) sharing the household of such director, executive officer or beneficial owner of more than 5% of Talkspace, Inc.’s voting stock; and</w:t>
      </w:r>
    </w:p>
    <w:p>
      <w:pPr>
        <w:spacing w:after="0" w:line="76"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Talkspace, Inc.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ACT RESTRICTIONS ON RESALE OF HEC’S SECURITIES</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general, Rule 144 of the Securities Act, (“</w:t>
      </w:r>
      <w:r>
        <w:rPr>
          <w:rFonts w:ascii="Arial" w:cs="Arial" w:eastAsia="Arial" w:hAnsi="Arial"/>
          <w:sz w:val="18"/>
          <w:szCs w:val="18"/>
          <w:i w:val="1"/>
          <w:iCs w:val="1"/>
          <w:color w:val="auto"/>
        </w:rPr>
        <w:t>Rule 144</w:t>
      </w:r>
      <w:r>
        <w:rPr>
          <w:rFonts w:ascii="Arial" w:cs="Arial" w:eastAsia="Arial" w:hAnsi="Arial"/>
          <w:sz w:val="18"/>
          <w:szCs w:val="18"/>
          <w:color w:val="auto"/>
        </w:rPr>
        <w:t>”),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92" w:lineRule="exact"/>
        <w:rPr>
          <w:sz w:val="20"/>
          <w:szCs w:val="20"/>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540" w:right="200" w:hanging="316"/>
        <w:spacing w:after="0" w:line="308" w:lineRule="auto"/>
        <w:tabs>
          <w:tab w:leader="none" w:pos="5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51" w:lineRule="exact"/>
        <w:rPr>
          <w:rFonts w:ascii="Arial" w:cs="Arial" w:eastAsia="Arial" w:hAnsi="Arial"/>
          <w:sz w:val="17"/>
          <w:szCs w:val="17"/>
          <w:color w:val="auto"/>
        </w:rPr>
      </w:pPr>
    </w:p>
    <w:p>
      <w:pPr>
        <w:ind w:left="540" w:right="40" w:hanging="316"/>
        <w:spacing w:after="0" w:line="277"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anticipate that following the consummation of the Transactions, we will no longer be a shell company, and as long as the conditions set forth in the exceptions listed above are satisfied, Rule 144 will become available for the resale of our restricted securities.</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If the above conditions have been met and Rule 144 is available, a person who has beneficially owned restricted shares of HEC’s common stock or warrants for at least one year would be entitled to sell their securities pursuant to Rule 144, provided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82" w:lineRule="exact"/>
        <w:rPr>
          <w:sz w:val="20"/>
          <w:szCs w:val="20"/>
          <w:color w:val="auto"/>
        </w:rPr>
      </w:pPr>
    </w:p>
    <w:p>
      <w:pPr>
        <w:ind w:left="540" w:hanging="316"/>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1% of the total number of shares of HEC’s common stock or warrants, as applicable, then outstanding; or</w:t>
      </w:r>
    </w:p>
    <w:p>
      <w:pPr>
        <w:spacing w:after="0" w:line="130"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average weekly reported trading volume of HEC’s common stock or warrants, as applicable, during the four calendar weeks preceding the filing of a notice on Form 144 with respect to the sale.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the date of this proxy statement/prospectus, HEC had 41,400,000 shares of Class A common stock outstanding. Of these shares, 41,400,000 shares sold in the HEC IPO are freely tradable without restriction or further registration under the Securities Act, except for any shares purchased by one of our affiliates within the meaning of Rule 144 under the Securities Act. All of the shares of HEC’s Class A common stock owned by the Sponsor are restricted securities under Rule 144, in that they were issued in private transactions not involving a public offering. If the Transactions are approved, the shares of Talkspace, Inc. common stock we issue to the PIPE Investors pursuant to the Subscription Agreements will be restricted securities for purposes of Rule 144.</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the date of this proxy statement/prospectus, there are 30,980,000 warrants of HEC outstanding, consisting of 20,700,000 public warrants originally sold as part of the units issued in the HEC IPO and 10,280,000 private placement warrants that were sold by HEC to the Sponsor in a private sale prior to the HEC IPO. Each warrant is exercisable for one share of HEC’s Class A common stock, in accordance with the terms of the Warrant Agreement governing the warrants. The public warrants are freely tradable, except for any warrants purchased by one of our affiliates within the meaning of Rule 144 under the Securities Act. In addition, we will be obligated to file no later than the later of (i) forty-five (45) days of the closing of the Transactions or (ii) ninety (90) days following HEC’s most recent fiscal year end a registration statement under the Securities Act covering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20,700,000 shares of Talkspace, Inc. common stock that may be issued upon the exercise of the public warrants, and cause such registration statement to become effective and maintain the effectiveness of such registration statement until the expiration of the warrants.</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Transactions.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HEC stockholders nor HEC unit or warrant holders have appraisal rights under the DGCL in connection with the Transactions.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229"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8"/>
          <w:szCs w:val="18"/>
          <w:color w:val="auto"/>
        </w:rPr>
        <w:t>The HEC Board is aware of no other matter that may be brought before the special meeting. Under Delaware law, only business that is specified in the notice of special meeting to stockholders may be transacted at the special meeting.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Talkspace, Inc’s Proposed Bylaws establish an advance notice procedure for stockholders who wish to present a proposal before an annual meeting of stockholders. Talkspace, Inc’s Proposed Bylaws provide that the only business that may be conducted at an annual meeting of stockholders is business that is (i) specified in the notice of such meeting (or any supplement thereto) given by or at the direction of Talkspace, Inc’s board of directors,</w:t>
      </w:r>
    </w:p>
    <w:p>
      <w:pPr>
        <w:spacing w:after="0" w:line="2" w:lineRule="exact"/>
        <w:rPr>
          <w:sz w:val="20"/>
          <w:szCs w:val="20"/>
          <w:color w:val="auto"/>
        </w:rPr>
      </w:pPr>
    </w:p>
    <w:p>
      <w:pPr>
        <w:ind w:left="120" w:hanging="4"/>
        <w:spacing w:after="0" w:line="267" w:lineRule="auto"/>
        <w:tabs>
          <w:tab w:leader="none" w:pos="38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otherwise properly brought before such meeting by the Talkspace, Inc’s board of directors or the chairperson of the board, or (iii) otherwise properly brought before such meeting by a stockholder present in person who (A) (1) was a record owner of shares of Talkspace, Inc both at the time of giving the notice and at the time of such meeting, (2) is entitled to vote at such meeting, and (3) has complied with notice procedures specified in Talkspace, Inc’s Proposed Bylaws in all applicable respects or (B) properly made such proposal in accordance with Rule 14a-8 under the Exchange Act. To be timely for Talkspace, Inc’s annual meeting of stockholders, a stockholders’ notice must be delivered to, or mailed and received at, the principal executive offices of the corporation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In no event shall any adjournment or postponement of an annual meeting or the announcement thereof commence a new time period (or extend any time period) for the giving of timely notice as described above.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Nominations and proposals also must satisfy other requirements set forth in the Proposed Bylaws.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 Rule 14a-8 of the Exchange Act, a stockholder proposal to be included in the proxy statement and proxy card for the first annual meeting of Talkspace, Inc. stockholders pursuant to Rule 14a-8 must be received at Talkspace, Inc’s principal office a reasonable time before Talkspace, Inc begins to print and send its proxy materials and must comply with Rule 14a-8.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Director Nominees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Talkspace, Inc’s Proposed Bylaws permit stockholders to nominate directors for election at an annual meeting or at a special meeting (but only if the election of directors is a matter specified in the notice of meeting given by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at the direction of the person calling such special meeting) of stockholders, subject to the provisions of Talkspace, Inc’s Certificate of Incorporation. To nominate a director, the stockholder must provide the information required by Talkspace, Inc’s Proposed Bylaws. In addition, the stockholder must give timely notice to Talkspace, Inc’s secretary in accordance with Talkspace, Inc’s Proposed Bylaws, which, in general, require that the notice be received by Talkspace, Inc’s secretary within the time periods described above under “- Stockholder Proposals” for stockholder proposals.</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Milbank LLP, New York, New York, has passed upon the validity of the securities of HEC offered by this proxy statement/prospectus and certain other legal matters related to this proxy statement/prospectus.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financial statements for HEC as of December 31, 2020, and for the period from February 6, 2020 (inception) through December 31, 2020, included in this proxy statement/prospectus have been audited by WithumSmith+Brown, PC, independent registered public accounting firm, as stated in their report appearing herein. Such financial statements are included in reliance upon the report of such firm given upon their authority as experts in accounting and auditing.</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consolidated financial statements of Talkspace and subsidiaries as of December 31, 2020 and 2019 and for each of the two years in the period ended December 31, 2020 included in this proxy statement/prospectus, which is referred to and made a part of this Registration Statement, have been audited by Kost Forer Gabbay &amp; Kasierer, a member of Ernst &amp; Young Global, an independent registered public accounting firm, as set forth in their report thereon appearing elsewhere herein, and are included in reliance upon such report given on the authority of such firm as experts in accounting and auditing.</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STOCKHOLDER COMMUNICATIONS</w:t>
      </w:r>
    </w:p>
    <w:p>
      <w:pPr>
        <w:spacing w:after="0" w:line="22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Stockholders and interested parties may communicate with the HEC Board, any committee chairperson or the non-management directors as a group by writing to the HEC Board or committee chairperson in care of Hudson Executive Investment Corp., 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Pursuant to the rules of the SEC, HEC and services that it employs to deliver communications to its stockholders are permitted to deliver to two or more stockholders sharing the same address a single copy of each of HEC’s annual report to stockholders and HEC’s proxy statement/prospectus. Upon written or oral request, HEC will deliver a separate copy of the annual report and/or proxy statement/prospectus to any stockholder at a shared address to which a single copy of each document was delivered and who wishes to receive separate copies of such documents. Stockholders receiving multiple copies of such documents may likewise request that HEC deliver single copies of such documents in the future. Stockholders receiving multiple copies of such documents may request that HEC deliver single copies of such documents in the future. Stockholders may notify HEC of their requests by calling or writing HEC at its principal executive offices at 570 Lexington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10022 or (212) 521-8495.</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HEC files reports, proxy statements and other information with the SEC as required by the Exchange Act. You may read and copy reports, proxy statements and other information filed by HEC with the Securities SEC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SEC public reference room located at 100 F Street, N.E., Washington, D.C. 20549. You may obtain information on the operation of the Public Reference Room by calling the SEC at 1-800-SEC-0330. You may also obtain copies of the materials described above at prescribed rates by writing to the Securities and Exchange Commission, Public Reference Section, 100 F Street, N.E., Washington, D.C. 20549. You may access information on HEC at the SEC web site containing reports, proxy statements and other information at: </w:t>
      </w:r>
      <w:r>
        <w:rPr>
          <w:rFonts w:ascii="Arial" w:cs="Arial" w:eastAsia="Arial" w:hAnsi="Arial"/>
          <w:sz w:val="17"/>
          <w:szCs w:val="17"/>
          <w:i w:val="1"/>
          <w:iCs w:val="1"/>
          <w:color w:val="auto"/>
        </w:rPr>
        <w:t>http://www.sec.gov.</w:t>
      </w:r>
    </w:p>
    <w:p>
      <w:pPr>
        <w:spacing w:after="0" w:line="17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70"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All information contained in this document relating to HEC has been supplied by HEC, and all such information relating to Talkspace has been supplied by Talkspace. Information provided by one another does not constitute any representation, estimate or projection of the other.</w:t>
      </w:r>
    </w:p>
    <w:p>
      <w:pPr>
        <w:spacing w:after="0" w:line="14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If you would like additional copies of this document or if you have questions about the business combination, you should contact via phone or in writing:</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 (212) 521-8495</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E-mail: HEC.info@investor.morrowsodali.com</w:t>
      </w:r>
    </w:p>
    <w:p>
      <w:pPr>
        <w:spacing w:after="0" w:line="211"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color w:val="auto"/>
        </w:rPr>
        <w:t>If you are a stockholder of HEC and would like to request documents, please do so by June 10, 2021, in order to receive them before the special meeting. If you request any documents from us, we will mail them to you by first class mail, or another equally prompt means.</w:t>
      </w:r>
    </w:p>
    <w:p>
      <w:pPr>
        <w:spacing w:after="0" w:line="146"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This document is a proxy statement/prospectus of HEC for the special meeting. We have not authorized anyone to give any information or make any representation about the Transactions, Talkspace or HEC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12"/>
            <w:vMerge w:val="restart"/>
          </w:tcPr>
          <w:p>
            <w:pPr>
              <w:spacing w:after="0"/>
              <w:rPr>
                <w:rFonts w:ascii="Arial" w:cs="Arial" w:eastAsia="Arial" w:hAnsi="Arial"/>
                <w:sz w:val="18"/>
                <w:szCs w:val="18"/>
                <w:color w:val="0000EE"/>
                <w:w w:val="91"/>
              </w:rPr>
            </w:pPr>
            <w:hyperlink w:anchor="page315">
              <w:r>
                <w:rPr>
                  <w:rFonts w:ascii="Arial" w:cs="Arial" w:eastAsia="Arial" w:hAnsi="Arial"/>
                  <w:sz w:val="18"/>
                  <w:szCs w:val="18"/>
                  <w:color w:val="0000EE"/>
                  <w:w w:val="91"/>
                </w:rPr>
                <w:t>Report of Independent Registered Public Accounting Firm</w:t>
              </w:r>
            </w:hyperlink>
          </w:p>
        </w:tc>
        <w:tc>
          <w:tcPr>
            <w:tcW w:w="6340" w:type="dxa"/>
            <w:vAlign w:val="bottom"/>
            <w:gridSpan w:val="8"/>
            <w:vMerge w:val="restart"/>
          </w:tcPr>
          <w:p>
            <w:pPr>
              <w:spacing w:after="0"/>
              <w:rPr>
                <w:sz w:val="14"/>
                <w:szCs w:val="14"/>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12"/>
            <w:vMerge w:val="continue"/>
          </w:tcPr>
          <w:p>
            <w:pPr>
              <w:spacing w:after="0"/>
              <w:rPr>
                <w:sz w:val="14"/>
                <w:szCs w:val="14"/>
                <w:color w:val="auto"/>
              </w:rPr>
            </w:pPr>
          </w:p>
        </w:tc>
        <w:tc>
          <w:tcPr>
            <w:tcW w:w="6340" w:type="dxa"/>
            <w:vAlign w:val="bottom"/>
            <w:gridSpan w:val="8"/>
            <w:vMerge w:val="continue"/>
          </w:tcPr>
          <w:p>
            <w:pPr>
              <w:spacing w:after="0"/>
              <w:rPr>
                <w:sz w:val="14"/>
                <w:szCs w:val="14"/>
                <w:color w:val="auto"/>
              </w:rPr>
            </w:pPr>
          </w:p>
        </w:tc>
        <w:tc>
          <w:tcPr>
            <w:tcW w:w="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16">
              <w:r>
                <w:rPr>
                  <w:rFonts w:ascii="Arial" w:cs="Arial" w:eastAsia="Arial" w:hAnsi="Arial"/>
                  <w:sz w:val="18"/>
                  <w:szCs w:val="18"/>
                  <w:color w:val="0000EE"/>
                </w:rPr>
                <w:t>Balance Sheet (As Restated)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17">
              <w:r>
                <w:rPr>
                  <w:rFonts w:ascii="Arial" w:cs="Arial" w:eastAsia="Arial" w:hAnsi="Arial"/>
                  <w:sz w:val="18"/>
                  <w:szCs w:val="18"/>
                  <w:color w:val="0000EE"/>
                  <w:w w:val="88"/>
                </w:rPr>
                <w:t>Statement of Operations (As Restated)</w:t>
              </w:r>
            </w:hyperlink>
          </w:p>
        </w:tc>
        <w:tc>
          <w:tcPr>
            <w:tcW w:w="7780" w:type="dxa"/>
            <w:vAlign w:val="bottom"/>
            <w:gridSpan w:val="16"/>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18">
              <w:r>
                <w:rPr>
                  <w:rFonts w:ascii="Arial" w:cs="Arial" w:eastAsia="Arial" w:hAnsi="Arial"/>
                  <w:sz w:val="18"/>
                  <w:szCs w:val="18"/>
                  <w:color w:val="0000EE"/>
                  <w:w w:val="90"/>
                </w:rPr>
                <w:t>Statement of Changes in Stockholders’ Equity (As Restated)</w:t>
              </w:r>
            </w:hyperlink>
          </w:p>
        </w:tc>
        <w:tc>
          <w:tcPr>
            <w:tcW w:w="6200" w:type="dxa"/>
            <w:vAlign w:val="bottom"/>
            <w:gridSpan w:val="7"/>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Statement of Cash Flows (As Restated)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20">
              <w:r>
                <w:rPr>
                  <w:rFonts w:ascii="Arial" w:cs="Arial" w:eastAsia="Arial" w:hAnsi="Arial"/>
                  <w:sz w:val="18"/>
                  <w:szCs w:val="18"/>
                  <w:color w:val="0000EE"/>
                  <w:w w:val="88"/>
                </w:rPr>
                <w:t>Notes to Financial Statements (As Restated)</w:t>
              </w:r>
            </w:hyperlink>
          </w:p>
        </w:tc>
        <w:tc>
          <w:tcPr>
            <w:tcW w:w="7380" w:type="dxa"/>
            <w:vAlign w:val="bottom"/>
            <w:gridSpan w:val="13"/>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43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gridSpan w:val="17"/>
          </w:tcPr>
          <w:p>
            <w:pPr>
              <w:jc w:val="center"/>
              <w:ind w:right="2360"/>
              <w:spacing w:after="0"/>
              <w:rPr>
                <w:sz w:val="20"/>
                <w:szCs w:val="20"/>
                <w:color w:val="auto"/>
              </w:rPr>
            </w:pPr>
            <w:r>
              <w:rPr>
                <w:rFonts w:ascii="Arial" w:cs="Arial" w:eastAsia="Arial" w:hAnsi="Arial"/>
                <w:sz w:val="18"/>
                <w:szCs w:val="18"/>
                <w:b w:val="1"/>
                <w:bCs w:val="1"/>
                <w:color w:val="auto"/>
              </w:rPr>
              <w:t>HUDSON EXECUTIVE INVESTMENT CORP. AND SUBSIDIARIES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80" w:type="dxa"/>
            <w:vAlign w:val="bottom"/>
            <w:gridSpan w:val="13"/>
          </w:tcPr>
          <w:p>
            <w:pPr>
              <w:jc w:val="center"/>
              <w:ind w:right="3420"/>
              <w:spacing w:after="0"/>
              <w:rPr>
                <w:sz w:val="20"/>
                <w:szCs w:val="20"/>
                <w:color w:val="auto"/>
              </w:rPr>
            </w:pPr>
            <w:r>
              <w:rPr>
                <w:rFonts w:ascii="Arial" w:cs="Arial" w:eastAsia="Arial" w:hAnsi="Arial"/>
                <w:sz w:val="18"/>
                <w:szCs w:val="18"/>
                <w:b w:val="1"/>
                <w:bCs w:val="1"/>
                <w:color w:val="auto"/>
              </w:rPr>
              <w:t>UNAUDITED FINANCIAL STATEMENTS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41">
              <w:r>
                <w:rPr>
                  <w:rFonts w:ascii="Arial" w:cs="Arial" w:eastAsia="Arial" w:hAnsi="Arial"/>
                  <w:sz w:val="18"/>
                  <w:szCs w:val="18"/>
                  <w:color w:val="0000EE"/>
                  <w:w w:val="87"/>
                </w:rPr>
                <w:t>Condensed Consolidated Balance Sheet</w:t>
              </w:r>
            </w:hyperlink>
          </w:p>
        </w:tc>
        <w:tc>
          <w:tcPr>
            <w:tcW w:w="7700" w:type="dxa"/>
            <w:vAlign w:val="bottom"/>
            <w:gridSpan w:val="14"/>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F-28</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Condensed Consolidated Statement of Operations</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Condensed Consolidated Statement of Changes in Stockholders’ Equity</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196"/>
        </w:trPr>
        <w:tc>
          <w:tcPr>
            <w:tcW w:w="3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44">
              <w:r>
                <w:rPr>
                  <w:rFonts w:ascii="Arial" w:cs="Arial" w:eastAsia="Arial" w:hAnsi="Arial"/>
                  <w:sz w:val="18"/>
                  <w:szCs w:val="18"/>
                  <w:color w:val="0000EE"/>
                  <w:w w:val="88"/>
                </w:rPr>
                <w:t>Condensed Consolidated Statement of Cash Flows</w:t>
              </w:r>
            </w:hyperlink>
          </w:p>
        </w:tc>
        <w:tc>
          <w:tcPr>
            <w:tcW w:w="1520" w:type="dxa"/>
            <w:vAlign w:val="bottom"/>
            <w:tcBorders>
              <w:top w:val="single" w:sz="8" w:color="0000EE"/>
            </w:tcBorders>
            <w:gridSpan w:val="6"/>
          </w:tcPr>
          <w:p>
            <w:pPr>
              <w:spacing w:after="0"/>
              <w:rPr>
                <w:sz w:val="17"/>
                <w:szCs w:val="17"/>
                <w:color w:val="auto"/>
              </w:rPr>
            </w:pPr>
          </w:p>
        </w:tc>
        <w:tc>
          <w:tcPr>
            <w:tcW w:w="5400" w:type="dxa"/>
            <w:vAlign w:val="bottom"/>
            <w:gridSpan w:val="5"/>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Notes to Condensed Consolidated Financial Statements</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gridSpan w:val="14"/>
          </w:tcPr>
          <w:p>
            <w:pPr>
              <w:jc w:val="center"/>
              <w:ind w:right="2460"/>
              <w:spacing w:after="0"/>
              <w:rPr>
                <w:sz w:val="20"/>
                <w:szCs w:val="20"/>
                <w:color w:val="auto"/>
              </w:rPr>
            </w:pPr>
            <w:r>
              <w:rPr>
                <w:rFonts w:ascii="Arial" w:cs="Arial" w:eastAsia="Arial" w:hAnsi="Arial"/>
                <w:sz w:val="18"/>
                <w:szCs w:val="18"/>
                <w:b w:val="1"/>
                <w:bCs w:val="1"/>
                <w:color w:val="auto"/>
              </w:rPr>
              <w:t>GROOP INTERNET PLATFORM INC. AND ITS SUBSIDIARIES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14"/>
          </w:tcPr>
          <w:p>
            <w:pPr>
              <w:jc w:val="center"/>
              <w:ind w:right="2460"/>
              <w:spacing w:after="0"/>
              <w:rPr>
                <w:sz w:val="20"/>
                <w:szCs w:val="20"/>
                <w:color w:val="auto"/>
              </w:rPr>
            </w:pPr>
            <w:r>
              <w:rPr>
                <w:rFonts w:ascii="Arial" w:cs="Arial" w:eastAsia="Arial" w:hAnsi="Arial"/>
                <w:sz w:val="18"/>
                <w:szCs w:val="18"/>
                <w:b w:val="1"/>
                <w:bCs w:val="1"/>
                <w:color w:val="auto"/>
              </w:rPr>
              <w:t>CONSOLIDATED AUDITED FINANCIAL STATEMENTS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2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62">
              <w:r>
                <w:rPr>
                  <w:rFonts w:ascii="Arial" w:cs="Arial" w:eastAsia="Arial" w:hAnsi="Arial"/>
                  <w:sz w:val="18"/>
                  <w:szCs w:val="18"/>
                  <w:color w:val="0000EE"/>
                  <w:w w:val="91"/>
                </w:rPr>
                <w:t>Report of Independent Registered Public Accounting Firm</w:t>
              </w:r>
            </w:hyperlink>
          </w:p>
        </w:tc>
        <w:tc>
          <w:tcPr>
            <w:tcW w:w="6340" w:type="dxa"/>
            <w:vAlign w:val="bottom"/>
            <w:gridSpan w:val="8"/>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F-49</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63">
              <w:r>
                <w:rPr>
                  <w:rFonts w:ascii="Arial" w:cs="Arial" w:eastAsia="Arial" w:hAnsi="Arial"/>
                  <w:sz w:val="18"/>
                  <w:szCs w:val="18"/>
                  <w:color w:val="0000EE"/>
                </w:rPr>
                <w:t>Consolidated Balance Sheets</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F-50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64">
              <w:r>
                <w:rPr>
                  <w:rFonts w:ascii="Arial" w:cs="Arial" w:eastAsia="Arial" w:hAnsi="Arial"/>
                  <w:sz w:val="18"/>
                  <w:szCs w:val="18"/>
                  <w:color w:val="0000EE"/>
                  <w:w w:val="89"/>
                </w:rPr>
                <w:t>Consolidated Statements of Comprehensive Loss</w:t>
              </w:r>
            </w:hyperlink>
          </w:p>
        </w:tc>
        <w:tc>
          <w:tcPr>
            <w:tcW w:w="6980" w:type="dxa"/>
            <w:vAlign w:val="bottom"/>
            <w:gridSpan w:val="12"/>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F-51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65">
              <w:r>
                <w:rPr>
                  <w:rFonts w:ascii="Arial" w:cs="Arial" w:eastAsia="Arial" w:hAnsi="Arial"/>
                  <w:sz w:val="18"/>
                  <w:szCs w:val="18"/>
                  <w:color w:val="0000EE"/>
                  <w:w w:val="90"/>
                </w:rPr>
                <w:t>Consolidated Statements of Changes in Stockholders’ Deficit</w:t>
              </w:r>
            </w:hyperlink>
          </w:p>
        </w:tc>
        <w:tc>
          <w:tcPr>
            <w:tcW w:w="6140" w:type="dxa"/>
            <w:vAlign w:val="bottom"/>
            <w:gridSpan w:val="6"/>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F-52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66">
              <w:r>
                <w:rPr>
                  <w:rFonts w:ascii="Arial" w:cs="Arial" w:eastAsia="Arial" w:hAnsi="Arial"/>
                  <w:sz w:val="18"/>
                  <w:szCs w:val="18"/>
                  <w:color w:val="0000EE"/>
                </w:rPr>
                <w:t>Consolidated Statements of Cash Flows</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F-53</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7">
              <w:r>
                <w:rPr>
                  <w:rFonts w:ascii="Arial" w:cs="Arial" w:eastAsia="Arial" w:hAnsi="Arial"/>
                  <w:sz w:val="18"/>
                  <w:szCs w:val="18"/>
                  <w:color w:val="0000EE"/>
                </w:rPr>
                <w:t>Notes to Financial Statements</w:t>
              </w:r>
            </w:hyperlink>
          </w:p>
        </w:tc>
        <w:tc>
          <w:tcPr>
            <w:tcW w:w="7700" w:type="dxa"/>
            <w:vAlign w:val="bottom"/>
            <w:gridSpan w:val="14"/>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1"/>
              </w:rPr>
              <w:t>F-54</w:t>
            </w:r>
          </w:p>
        </w:tc>
        <w:tc>
          <w:tcPr>
            <w:tcW w:w="0" w:type="dxa"/>
            <w:vAlign w:val="bottom"/>
          </w:tcPr>
          <w:p>
            <w:pPr>
              <w:spacing w:after="0"/>
              <w:rPr>
                <w:sz w:val="1"/>
                <w:szCs w:val="1"/>
                <w:color w:val="auto"/>
              </w:rPr>
            </w:pPr>
          </w:p>
        </w:tc>
      </w:tr>
      <w:tr>
        <w:trPr>
          <w:trHeight w:val="434"/>
        </w:trPr>
        <w:tc>
          <w:tcPr>
            <w:tcW w:w="2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gridSpan w:val="14"/>
          </w:tcPr>
          <w:p>
            <w:pPr>
              <w:jc w:val="center"/>
              <w:ind w:right="2460"/>
              <w:spacing w:after="0"/>
              <w:rPr>
                <w:sz w:val="20"/>
                <w:szCs w:val="20"/>
                <w:color w:val="auto"/>
              </w:rPr>
            </w:pPr>
            <w:r>
              <w:rPr>
                <w:rFonts w:ascii="Arial" w:cs="Arial" w:eastAsia="Arial" w:hAnsi="Arial"/>
                <w:sz w:val="18"/>
                <w:szCs w:val="18"/>
                <w:b w:val="1"/>
                <w:bCs w:val="1"/>
                <w:color w:val="auto"/>
              </w:rPr>
              <w:t>GROOP INTERNET PLATFORM INC. AND ITS SUBSIDIARIES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14"/>
          </w:tcPr>
          <w:p>
            <w:pPr>
              <w:jc w:val="center"/>
              <w:ind w:right="2460"/>
              <w:spacing w:after="0"/>
              <w:rPr>
                <w:sz w:val="20"/>
                <w:szCs w:val="20"/>
                <w:color w:val="auto"/>
              </w:rPr>
            </w:pPr>
            <w:r>
              <w:rPr>
                <w:rFonts w:ascii="Arial" w:cs="Arial" w:eastAsia="Arial" w:hAnsi="Arial"/>
                <w:sz w:val="18"/>
                <w:szCs w:val="18"/>
                <w:b w:val="1"/>
                <w:bCs w:val="1"/>
                <w:color w:val="auto"/>
              </w:rPr>
              <w:t>CONSOLIDATED UNAUDITED FINANCIAL STATEMENTS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560" w:type="dxa"/>
            <w:vAlign w:val="bottom"/>
            <w:gridSpan w:val="20"/>
          </w:tcPr>
          <w:p>
            <w:pPr>
              <w:spacing w:after="0"/>
              <w:rPr>
                <w:rFonts w:ascii="Arial" w:cs="Arial" w:eastAsia="Arial" w:hAnsi="Arial"/>
                <w:sz w:val="18"/>
                <w:szCs w:val="18"/>
                <w:color w:val="0000EE"/>
              </w:rPr>
            </w:pPr>
            <w:hyperlink w:anchor="page385">
              <w:r>
                <w:rPr>
                  <w:rFonts w:ascii="Arial" w:cs="Arial" w:eastAsia="Arial" w:hAnsi="Arial"/>
                  <w:sz w:val="18"/>
                  <w:szCs w:val="18"/>
                  <w:color w:val="0000EE"/>
                </w:rPr>
                <w:t>Consolidated Balance Sheets as of March 31, 2021 (unaudited) and December 31, 2020</w:t>
              </w:r>
            </w:hyperlink>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F-72</w:t>
            </w:r>
          </w:p>
        </w:tc>
        <w:tc>
          <w:tcPr>
            <w:tcW w:w="0" w:type="dxa"/>
            <w:vAlign w:val="bottom"/>
          </w:tcPr>
          <w:p>
            <w:pPr>
              <w:spacing w:after="0"/>
              <w:rPr>
                <w:sz w:val="1"/>
                <w:szCs w:val="1"/>
                <w:color w:val="auto"/>
              </w:rPr>
            </w:pPr>
          </w:p>
        </w:tc>
      </w:tr>
      <w:tr>
        <w:trPr>
          <w:trHeight w:val="20"/>
        </w:trPr>
        <w:tc>
          <w:tcPr>
            <w:tcW w:w="4020" w:type="dxa"/>
            <w:vAlign w:val="bottom"/>
            <w:gridSpan w:val="11"/>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86">
              <w:r>
                <w:rPr>
                  <w:rFonts w:ascii="Arial" w:cs="Arial" w:eastAsia="Arial" w:hAnsi="Arial"/>
                  <w:sz w:val="18"/>
                  <w:szCs w:val="18"/>
                  <w:color w:val="0000EE"/>
                </w:rPr>
                <w:t>Consolidated Statements of Comprehensive Loss for the three months ended March 31, 2021 and 2020 (unaudited)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F-73</w:t>
            </w:r>
          </w:p>
        </w:tc>
        <w:tc>
          <w:tcPr>
            <w:tcW w:w="0" w:type="dxa"/>
            <w:vAlign w:val="bottom"/>
          </w:tcPr>
          <w:p>
            <w:pPr>
              <w:spacing w:after="0"/>
              <w:rPr>
                <w:sz w:val="1"/>
                <w:szCs w:val="1"/>
                <w:color w:val="auto"/>
              </w:rPr>
            </w:pPr>
          </w:p>
        </w:tc>
      </w:tr>
      <w:tr>
        <w:trPr>
          <w:trHeight w:val="20"/>
        </w:trPr>
        <w:tc>
          <w:tcPr>
            <w:tcW w:w="4020" w:type="dxa"/>
            <w:vAlign w:val="bottom"/>
            <w:gridSpan w:val="11"/>
            <w:shd w:val="clear" w:color="auto" w:fill="0000EE"/>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87">
              <w:r>
                <w:rPr>
                  <w:rFonts w:ascii="Arial" w:cs="Arial" w:eastAsia="Arial" w:hAnsi="Arial"/>
                  <w:sz w:val="18"/>
                  <w:szCs w:val="18"/>
                  <w:color w:val="0000EE"/>
                </w:rPr>
                <w:t>Consolidated Statements of changes in Stockholders’ Deficit for the three months ended March 31, 2021 and 2020 (unaudited)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F-74</w:t>
            </w:r>
          </w:p>
        </w:tc>
        <w:tc>
          <w:tcPr>
            <w:tcW w:w="0" w:type="dxa"/>
            <w:vAlign w:val="bottom"/>
          </w:tcPr>
          <w:p>
            <w:pPr>
              <w:spacing w:after="0"/>
              <w:rPr>
                <w:sz w:val="1"/>
                <w:szCs w:val="1"/>
                <w:color w:val="auto"/>
              </w:rPr>
            </w:pPr>
          </w:p>
        </w:tc>
      </w:tr>
      <w:tr>
        <w:trPr>
          <w:trHeight w:val="196"/>
        </w:trPr>
        <w:tc>
          <w:tcPr>
            <w:tcW w:w="76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388">
              <w:r>
                <w:rPr>
                  <w:rFonts w:ascii="Arial" w:cs="Arial" w:eastAsia="Arial" w:hAnsi="Arial"/>
                  <w:sz w:val="18"/>
                  <w:szCs w:val="18"/>
                  <w:color w:val="0000EE"/>
                  <w:w w:val="89"/>
                </w:rPr>
                <w:t>Consolidated Statements of Cash Flows for the three months ended March 31, 2021 and 2020 (unaudited)</w:t>
              </w:r>
            </w:hyperlink>
          </w:p>
        </w:tc>
        <w:tc>
          <w:tcPr>
            <w:tcW w:w="1500" w:type="dxa"/>
            <w:vAlign w:val="bottom"/>
            <w:tcBorders>
              <w:top w:val="single" w:sz="8" w:color="0000EE"/>
            </w:tcBorders>
            <w:gridSpan w:val="2"/>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F-75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89">
              <w:r>
                <w:rPr>
                  <w:rFonts w:ascii="Arial" w:cs="Arial" w:eastAsia="Arial" w:hAnsi="Arial"/>
                  <w:sz w:val="18"/>
                  <w:szCs w:val="18"/>
                  <w:color w:val="0000EE"/>
                </w:rPr>
                <w:t>Notes to Consolidated Financial Statements (unaudited)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F-76</w:t>
            </w:r>
          </w:p>
        </w:tc>
        <w:tc>
          <w:tcPr>
            <w:tcW w:w="0" w:type="dxa"/>
            <w:vAlign w:val="bottom"/>
          </w:tcPr>
          <w:p>
            <w:pPr>
              <w:spacing w:after="0"/>
              <w:rPr>
                <w:sz w:val="1"/>
                <w:szCs w:val="1"/>
                <w:color w:val="auto"/>
              </w:rPr>
            </w:pPr>
          </w:p>
        </w:tc>
      </w:tr>
      <w:tr>
        <w:trPr>
          <w:trHeight w:val="385"/>
        </w:trPr>
        <w:tc>
          <w:tcPr>
            <w:tcW w:w="2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0" w:type="dxa"/>
            <w:vAlign w:val="bottom"/>
            <w:gridSpan w:val="5"/>
          </w:tcPr>
          <w:p>
            <w:pPr>
              <w:jc w:val="center"/>
              <w:ind w:right="472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Hudson Executive Investment Corp.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audited the accompanying balance sheet of Hudson Executive Investment Corp. (the “Company”) as of December 31, 2020, related statements of operations, changes in stockholders’ equity and cash flows for the period from February 6,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February 6, 2020 (inception) through December 31, 2020, in conformity with accounting principles generally accepted in the United States of America.</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and warrant-related instruments should be accounted for as liabilities. Accordingly, the 2020 financial statements have been restated to correct the accounting and related disclosure for the warrants and warrant-related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then the Company will cease all operations except for the purpose of liquidating. The liquidity condition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4,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3"/>
              </w:rPr>
              <w:t>DECEMBER 31, 2020 (As Restated)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1,178,377</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1,296,902</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414,228,281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415,525,183</w:t>
            </w:r>
          </w:p>
        </w:tc>
        <w:tc>
          <w:tcPr>
            <w:tcW w:w="10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1,631,390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1,641,460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FPA liability</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53,594,000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73,950,460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Class A common stock subject to possible redemption, 33,657,472 shares at $10.00 per share redemption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336,574,720</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120" w:type="dxa"/>
            <w:vAlign w:val="bottom"/>
          </w:tcPr>
          <w:p>
            <w:pPr>
              <w:spacing w:after="0"/>
              <w:rPr>
                <w:sz w:val="17"/>
                <w:szCs w:val="17"/>
                <w:color w:val="auto"/>
              </w:rPr>
            </w:pPr>
          </w:p>
        </w:tc>
        <w:tc>
          <w:tcPr>
            <w:tcW w:w="9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A common stock, $0.0001 par value; 380,000,000 shares authorized; 7,742,528 shares issued and outstanding (excluding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33,657,472 shares subject to possible redemption)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Class B common stock, $0.0001 par value; 20,000,000 shares authorized; 10,350,000 shares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32,234,102</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(27,235,908)</w:t>
            </w: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415,525,183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STATEMENT OF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7"/>
              </w:rPr>
              <w:t>FOR THE PERIOD FEBRUARY 6, 2020 (INCEPTION) THROUGH DECEMBER 31, 2020 (As Restated)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1,776,306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(1,776,306)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Change in fair value of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(18,896,400)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Transaction costs attributable to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228,281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(25,449,532)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(27,225,838)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(27,235,908)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6"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FEBRUARY 6, 2020 (INCEPTION) THROUGH DECEMBER 31, 2020 (AS RESTATED)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02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9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99"/>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February 6, 2020 (Inception)</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Issuance of Class B common stock to initial stockholders</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10,350,000</w:t>
            </w:r>
          </w:p>
        </w:tc>
        <w:tc>
          <w:tcPr>
            <w:tcW w:w="12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w w:val="84"/>
              </w:rPr>
              <w:t>1,035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23,965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w w:val="97"/>
              </w:rPr>
              <w:t>Sale of 41,400,000 Units, net of underwriting discounts, warrant</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and other offering costs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41,400,000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4,140</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368,781,491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268,735,631</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Class A Common stock subject to possible redemption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(33,657,472)</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(3,366)</w:t>
            </w: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(336,571,354)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(336,574,720)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(27,235,908)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(27,235,098)</w:t>
            </w:r>
          </w:p>
        </w:tc>
        <w:tc>
          <w:tcPr>
            <w:tcW w:w="0" w:type="dxa"/>
            <w:vAlign w:val="bottom"/>
          </w:tcPr>
          <w:p>
            <w:pPr>
              <w:spacing w:after="0"/>
              <w:rPr>
                <w:sz w:val="1"/>
                <w:szCs w:val="1"/>
                <w:color w:val="auto"/>
              </w:rPr>
            </w:pPr>
          </w:p>
        </w:tc>
      </w:tr>
      <w:tr>
        <w:trPr>
          <w:trHeight w:val="207"/>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 – December 31,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7,742,528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w w:val="82"/>
              </w:rPr>
              <w:t>774</w:t>
            </w:r>
          </w:p>
        </w:tc>
        <w:tc>
          <w:tcPr>
            <w:tcW w:w="20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87"/>
              </w:rPr>
              <w:t>10,350,000</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4"/>
              </w:rPr>
              <w:t>1,035</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32,234,102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(27,235,908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5,000,003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07"/>
        </w:trPr>
        <w:tc>
          <w:tcPr>
            <w:tcW w:w="9800" w:type="dxa"/>
            <w:vAlign w:val="bottom"/>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40" w:type="dxa"/>
            <w:vAlign w:val="bottom"/>
          </w:tcPr>
          <w:p>
            <w:pPr>
              <w:jc w:val="center"/>
              <w:spacing w:after="0"/>
              <w:rPr>
                <w:sz w:val="20"/>
                <w:szCs w:val="20"/>
                <w:color w:val="auto"/>
              </w:rPr>
            </w:pPr>
            <w:r>
              <w:rPr>
                <w:rFonts w:ascii="Arial" w:cs="Arial" w:eastAsia="Arial" w:hAnsi="Arial"/>
                <w:sz w:val="18"/>
                <w:szCs w:val="18"/>
                <w:b w:val="1"/>
                <w:bCs w:val="1"/>
                <w:color w:val="auto"/>
                <w:w w:val="99"/>
              </w:rPr>
              <w:t>STATEMENT OF CASH FLOWS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4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FOR THE PERIOD FEBRUARY 6, 2020 (INCEPTION) THROUGH DECEMBER 31, 2020 (As Restated)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(27,235,908)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18,896,400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FPA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classification of FPA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Transaction costs attributable to 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Formation costs paid by Sponsor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7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(118,525)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1,631,390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(261,316)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(414,000,000)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(414,000,000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405,720,000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 Units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10,280,000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(430,701)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415,439,693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1,178,377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360,899,230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(24,324,510)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Deferred offering costs paid directly by Sponsor in consideration for the issuance of Class B common stock</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46"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All activity for the period from February 6, 2020 (inception) through December 31, 2020 relates to the Company’s formation, its initial public offering (“Initial Public Offering”), which is described below, identifying a target company for a Business Combination, and activities in connection with the proposed acquisition of GROOP Internet Platform, Inc., a Delaware corporation (“Talkspace”) (see Note 6).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has two subsidiaries, Tailwind Merger Sub I, Inc., a wholly-owned subsidiary of the Company incorporated in Delaware on January 18, 2021 (“Merger Sub 1”) and Tailwind Merger Sub II, LLC, a wholly -owned subsidiary of the Company also incorporated in Delaware on January 18, 2021 (“Merger Sub 2”).</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Transaction costs amounted to $23,353,182, consisting of $8,280,000 of underwriting fees, $14,490,000 of deferred underwriting fees and</w:t>
      </w:r>
    </w:p>
    <w:p>
      <w:pPr>
        <w:spacing w:after="0" w:line="23"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$583,182 of other offering costs. At December 31, 2020, cash of $1,178,377 was held outside of the Trust Account (as defined below) and is available for working capital purposes.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was invested only in U.S. government securities, within the meaning set forth in Section 2(a)(16) of the Investment Company Act of 1940, as amended (the “Investment Company Act”), with a maturity of 185 days or less until the earlier of: (i) the completion of a Business Combination and (ii) the distribution of the funds held in the Trust Account, as described below.</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Private Placement Warrants, although substantially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don’t vote at all.</w:t>
      </w:r>
    </w:p>
    <w:p>
      <w:pPr>
        <w:spacing w:after="0" w:line="17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As of December 31, 2020, the Company had $1,178,377 in its operating bank accounts, $414,228,281 in securities held in the Trust Account to be used for a Business Combination or to repurchase or redeem its common stock in connection therewith and working capital deficit of $344,558.</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intends to complete a Business Combination as further discussed in Note 6.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determined that the liquidity condition of the Company raise substantial doubt about the Company’s ability to continue as a going concern through one year from the issuance date of the financial statements. No adjustments have been made to the carrying amounts of assets or liabilities should the Company be unable to continue as a going concern.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2—RESTATEMENT OF PREVIOUSLY ISSUED FINANCIAL STATEMENTS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(collectively, with the Public Warrants, the “Warrants”) issued in connection with its Initial Public Offering and its FPA (as defined in Note 6) as components of equity instead of as liabilities.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review of the “Staff Statement on Accounting and Reporting Considerations for Warrants Issued by Special Purpose Acquisition Companies (SPACs)” promulgated by the SEC on April 12, 2021, the Company’s management further evaluated the Warrants and FPA under Accounting Standards Codification (“ASC”) Subtopic 815-40, Contracts in Entity’s Own Equity and concluded that they do not meet the criteria to be classified in stockholders’ equity.</w:t>
      </w:r>
    </w:p>
    <w:p>
      <w:pPr>
        <w:spacing w:after="0" w:line="18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As a result, the Company should have classified the Warrants and FPA as liabilities in its previously issued financial statements. Under this accounting treatment, the Company is required to measure the fair value of the Warrants and FPA at the end of each reporting period and recognize changes in the fair value from the prior period in the Company’s operating results for the current period.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Company’s accounting for the Warrants and FPA as components of equity instead of as liabilities did not have any effect on the Company’s previously reported operating expenses, cash flows or cash.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HEC’s balance sheet and cash flow statement as of the dates and for the periods indicated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As Previously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as of June 11, 2020 (audited)</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34,697,600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34,697,600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FPA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395,946,830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(35,047,600)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360,899,230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5,003,772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2,906,063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7,909,835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(2,906,413)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(2,911,397)</w:t>
            </w:r>
          </w:p>
        </w:tc>
        <w:tc>
          <w:tcPr>
            <w:tcW w:w="0" w:type="dxa"/>
            <w:vAlign w:val="bottom"/>
          </w:tcPr>
          <w:p>
            <w:pPr>
              <w:spacing w:after="0"/>
              <w:rPr>
                <w:sz w:val="1"/>
                <w:szCs w:val="1"/>
                <w:color w:val="auto"/>
              </w:rPr>
            </w:pPr>
          </w:p>
        </w:tc>
      </w:tr>
      <w:tr>
        <w:trPr>
          <w:trHeight w:val="324"/>
        </w:trPr>
        <w:tc>
          <w:tcPr>
            <w:tcW w:w="6720" w:type="dxa"/>
            <w:vAlign w:val="bottom"/>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36,039,600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36,039,600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FPA Liability</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395,915,430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(36,714,600)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359,200,830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5,035,172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4,573,046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9,608,218</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(36,385)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(4,573,413)</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(4,609,798)</w:t>
            </w:r>
          </w:p>
        </w:tc>
        <w:tc>
          <w:tcPr>
            <w:tcW w:w="0" w:type="dxa"/>
            <w:vAlign w:val="bottom"/>
          </w:tcPr>
          <w:p>
            <w:pPr>
              <w:spacing w:after="0"/>
              <w:rPr>
                <w:sz w:val="1"/>
                <w:szCs w:val="1"/>
                <w:color w:val="auto"/>
              </w:rPr>
            </w:pPr>
          </w:p>
        </w:tc>
      </w:tr>
      <w:tr>
        <w:trPr>
          <w:trHeight w:val="94"/>
        </w:trPr>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2020 (unaudited)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(1,342,000)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(1,233,600)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(1,322,813)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(4,573,413)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(4,608,798)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10,350,000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10,350,000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24"/>
        </w:trPr>
        <w:tc>
          <w:tcPr>
            <w:tcW w:w="6720" w:type="dxa"/>
            <w:vAlign w:val="bottom"/>
          </w:tcPr>
          <w:p>
            <w:pPr>
              <w:spacing w:after="0"/>
              <w:rPr>
                <w:sz w:val="20"/>
                <w:szCs w:val="20"/>
                <w:color w:val="auto"/>
              </w:rPr>
            </w:pPr>
            <w:r>
              <w:rPr>
                <w:rFonts w:ascii="Arial" w:cs="Arial" w:eastAsia="Arial" w:hAnsi="Arial"/>
                <w:sz w:val="18"/>
                <w:szCs w:val="18"/>
                <w:b w:val="1"/>
                <w:bCs w:val="1"/>
                <w:color w:val="auto"/>
              </w:rPr>
              <w:t>Period from February 6, 2020 (inception) to June 30, 2020 (unaudited)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(1,342,000)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Change in fair value of FPA</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(1,233,600)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Initial classification of FPA</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attributable to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(1,322,813)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(4,573,413)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(4,609,798)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10,350,000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10,350,000</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50"/>
        </w:trPr>
        <w:tc>
          <w:tcPr>
            <w:tcW w:w="6720" w:type="dxa"/>
            <w:vAlign w:val="bottom"/>
          </w:tcPr>
          <w:p>
            <w:pPr>
              <w:ind w:left="5340"/>
              <w:spacing w:after="0"/>
              <w:rPr>
                <w:sz w:val="20"/>
                <w:szCs w:val="20"/>
                <w:color w:val="auto"/>
              </w:rPr>
            </w:pPr>
            <w:r>
              <w:rPr>
                <w:rFonts w:ascii="Arial" w:cs="Arial" w:eastAsia="Arial" w:hAnsi="Arial"/>
                <w:sz w:val="18"/>
                <w:szCs w:val="18"/>
                <w:color w:val="auto"/>
              </w:rPr>
              <w:t>F-11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Cash Flow Statement for the Period from February 6, 2020 (inception) to June 30, 2020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(36,385)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(4,573,413)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(4,609,798)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34,697,600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FPA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1,322,813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common stock subject to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395,946,830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(35,047,600)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360,899,230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(1,698,400)</w:t>
            </w: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36,659,200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36,659,200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FPA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395,905,310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(37,759,200)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358,146,110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5,045,292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5,617,635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10,662,927</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(46,499)</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(5,618,013)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(5,664,512)</w:t>
            </w:r>
          </w:p>
        </w:tc>
        <w:tc>
          <w:tcPr>
            <w:tcW w:w="0" w:type="dxa"/>
            <w:vAlign w:val="bottom"/>
          </w:tcPr>
          <w:p>
            <w:pPr>
              <w:spacing w:after="0"/>
              <w:rPr>
                <w:sz w:val="1"/>
                <w:szCs w:val="1"/>
                <w:color w:val="auto"/>
              </w:rPr>
            </w:pPr>
          </w:p>
        </w:tc>
      </w:tr>
      <w:tr>
        <w:trPr>
          <w:trHeight w:val="94"/>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2020 (unaudited)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(619,600)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(619,600)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(10,114)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(1,044,600)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(1,054,714)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10,350,000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94"/>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 from February 6, 2020 (inception) to September 30, 2020 (unaudited)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(1,961,600)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(1,961,600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(1,322,813)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(5,618,013)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(5,664,512)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10,350,000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306"/>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 Statement for the Period from February 6, 2020 (inception) to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80"/>
              <w:spacing w:after="0"/>
              <w:rPr>
                <w:sz w:val="20"/>
                <w:szCs w:val="20"/>
                <w:color w:val="auto"/>
              </w:rPr>
            </w:pPr>
            <w:r>
              <w:rPr>
                <w:rFonts w:ascii="Arial" w:cs="Arial" w:eastAsia="Arial" w:hAnsi="Arial"/>
                <w:sz w:val="18"/>
                <w:szCs w:val="18"/>
                <w:b w:val="1"/>
                <w:bCs w:val="1"/>
                <w:color w:val="auto"/>
              </w:rPr>
              <w:t>September 30, 2020 (unaudited)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(5,618,013)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(5,664,512)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1,961,600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1,961,600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34,697,600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FPA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Transaction Costs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1,322,813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redemption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395,946,830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(35,047,600)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360,899,230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(41,520)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(2,711,600)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(2,753,120)</w:t>
            </w:r>
          </w:p>
        </w:tc>
        <w:tc>
          <w:tcPr>
            <w:tcW w:w="0" w:type="dxa"/>
            <w:vAlign w:val="bottom"/>
          </w:tcPr>
          <w:p>
            <w:pPr>
              <w:spacing w:after="0"/>
              <w:rPr>
                <w:sz w:val="1"/>
                <w:szCs w:val="1"/>
                <w:color w:val="auto"/>
              </w:rPr>
            </w:pPr>
          </w:p>
        </w:tc>
      </w:tr>
      <w:tr>
        <w:trPr>
          <w:trHeight w:val="350"/>
        </w:trPr>
        <w:tc>
          <w:tcPr>
            <w:tcW w:w="6800" w:type="dxa"/>
            <w:vAlign w:val="bottom"/>
          </w:tcPr>
          <w:p>
            <w:pPr>
              <w:ind w:left="5340"/>
              <w:spacing w:after="0"/>
              <w:rPr>
                <w:sz w:val="20"/>
                <w:szCs w:val="20"/>
                <w:color w:val="auto"/>
              </w:rPr>
            </w:pPr>
            <w:r>
              <w:rPr>
                <w:rFonts w:ascii="Arial" w:cs="Arial" w:eastAsia="Arial" w:hAnsi="Arial"/>
                <w:sz w:val="18"/>
                <w:szCs w:val="18"/>
                <w:color w:val="auto"/>
              </w:rPr>
              <w:t>F-12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53,594,000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53,594,000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FPA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394,393,720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(57,819,000)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336,574,720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6,556,867</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25,677235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32,234,102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(1,558,095)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(25,677,813)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(27,235,908)</w:t>
            </w: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b w:val="1"/>
                <w:bCs w:val="1"/>
                <w:color w:val="auto"/>
              </w:rPr>
              <w:t>Period from February 6, 2020 (inception) to December 31, 2020 (audited)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(18,896,400)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(18,896,400)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FPA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FPA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attributable to Warrants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(1,558,095)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(25,677,813)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(27,235,908)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10,350,000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94"/>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Cash Flow Statement for the Period from February 6, 2020 (inception) to December 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(audited)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(1,558,095)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(25,677,813)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(27,235,908)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18,896,400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18,896,400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34,697,600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3,875,000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FPA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1,322,813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common stock subject to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395,946,830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(35,047,600)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360,899,230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(1,553,110)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(22,771,400)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(24,324,510)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and FPA Liabilities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accounts for the Warrants and FPA in accordance with the guidance contained in ASC 815-40, under which the Warrants and FPA do not meet the criteria for equity treatment and must be recorded as liabilities. Accordingly, the Company classifies the Warrants and FPA as liabilities at their fair value and adjust the Warrants and FPA to fair value at each reporting period. These liabilities are subject to re-measurement at each balance sheet date until exercised, and any change in fair value is recognized in the statement of operations. The fair value of the Public Warrants has been estimated using the Public Warrants’ quoted market price. The Private Placement Warrants and FPA are valued using a Modified Black Scholes Option Pricing Model.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classified as stockholders’ equity. The Company’s common stock features certain redemption rights that are considered to be outside of the Company’s control and subject to occurrence of uncertain future events. Accordingly, at December 31, 2020, there are 33,657,472 shares of Class A common stock subject to possible redemption presented as temporary equity, outside of the stockholders’ equity section of the Company’s balance sheet.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Offering costs consist of legal, accounting and other costs incurred through the Initial Public Offering that are directly related to the Initial Public Offering. Offering costs amounting to $23,353,182 were charged to stockholders’ equity upon the completion of the Initial Public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 calculation of diluted income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less franchise and income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r>
      <w:tr>
        <w:trPr>
          <w:trHeight w:val="149"/>
        </w:trPr>
        <w:tc>
          <w:tcPr>
            <w:tcW w:w="9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February 6, 2020</w:t>
            </w:r>
          </w:p>
        </w:tc>
      </w:tr>
      <w:tr>
        <w:trPr>
          <w:trHeight w:val="148"/>
        </w:trPr>
        <w:tc>
          <w:tcPr>
            <w:tcW w:w="96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(inception) Through</w:t>
            </w:r>
          </w:p>
        </w:tc>
      </w:tr>
      <w:tr>
        <w:trPr>
          <w:trHeight w:val="186"/>
        </w:trPr>
        <w:tc>
          <w:tcPr>
            <w:tcW w:w="966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r>
      <w:tr>
        <w:trPr>
          <w:trHeight w:val="282"/>
        </w:trPr>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(As Restated)</w:t>
            </w:r>
          </w:p>
        </w:tc>
      </w:tr>
      <w:tr>
        <w:trPr>
          <w:trHeight w:val="196"/>
        </w:trPr>
        <w:tc>
          <w:tcPr>
            <w:tcW w:w="9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Class A Common Stock</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228,281</w:t>
            </w:r>
          </w:p>
        </w:tc>
      </w:tr>
      <w:tr>
        <w:trPr>
          <w:trHeight w:val="216"/>
        </w:trPr>
        <w:tc>
          <w:tcPr>
            <w:tcW w:w="9660" w:type="dxa"/>
            <w:vAlign w:val="bottom"/>
          </w:tcPr>
          <w:p>
            <w:pPr>
              <w:ind w:left="72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(190,398)</w:t>
            </w: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37,883</w:t>
            </w: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41,400,000</w:t>
            </w:r>
          </w:p>
        </w:tc>
      </w:tr>
      <w:tr>
        <w:trPr>
          <w:trHeight w:val="230"/>
        </w:trPr>
        <w:tc>
          <w:tcPr>
            <w:tcW w:w="9660" w:type="dxa"/>
            <w:vAlign w:val="bottom"/>
          </w:tcPr>
          <w:p>
            <w:pPr>
              <w:ind w:left="360"/>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94"/>
        </w:trPr>
        <w:tc>
          <w:tcPr>
            <w:tcW w:w="9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Numerator: Net Loss minus Redeemable Net Earnings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(27,235,908)</w:t>
            </w:r>
          </w:p>
        </w:tc>
      </w:tr>
      <w:tr>
        <w:trPr>
          <w:trHeight w:val="216"/>
        </w:trPr>
        <w:tc>
          <w:tcPr>
            <w:tcW w:w="9660" w:type="dxa"/>
            <w:vAlign w:val="bottom"/>
          </w:tcPr>
          <w:p>
            <w:pPr>
              <w:ind w:left="720"/>
              <w:spacing w:after="0"/>
              <w:rPr>
                <w:sz w:val="20"/>
                <w:szCs w:val="20"/>
                <w:color w:val="auto"/>
              </w:rPr>
            </w:pPr>
            <w:r>
              <w:rPr>
                <w:rFonts w:ascii="Arial" w:cs="Arial" w:eastAsia="Arial" w:hAnsi="Arial"/>
                <w:sz w:val="18"/>
                <w:szCs w:val="18"/>
                <w:color w:val="auto"/>
              </w:rPr>
              <w:t>Lees: Redeemable Net Earnings</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(37,883)</w:t>
            </w: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(27,273,791)</w:t>
            </w: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Class B Common Stock, Basic and 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10,350,000</w:t>
            </w:r>
          </w:p>
        </w:tc>
      </w:tr>
      <w:tr>
        <w:trPr>
          <w:trHeight w:val="230"/>
        </w:trPr>
        <w:tc>
          <w:tcPr>
            <w:tcW w:w="9660" w:type="dxa"/>
            <w:vAlign w:val="bottom"/>
          </w:tcPr>
          <w:p>
            <w:pPr>
              <w:ind w:left="360"/>
              <w:spacing w:after="0"/>
              <w:rPr>
                <w:sz w:val="20"/>
                <w:szCs w:val="20"/>
                <w:color w:val="auto"/>
              </w:rPr>
            </w:pPr>
            <w:r>
              <w:rPr>
                <w:rFonts w:ascii="Arial" w:cs="Arial" w:eastAsia="Arial" w:hAnsi="Arial"/>
                <w:sz w:val="18"/>
                <w:szCs w:val="18"/>
                <w:color w:val="auto"/>
              </w:rPr>
              <w:t>Basic and diluted net loss per share, Class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 primarily due to their short-term nature.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PUBLIC OFFERING</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PRIVATE PLACEMENT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Sponsor has agreed, subject to certain limited exceptions, not to transfer, assign or sell any of the Founder Shares until the earlier to occur of</w:t>
      </w:r>
    </w:p>
    <w:p>
      <w:pPr>
        <w:spacing w:after="0" w:line="46" w:lineRule="exact"/>
        <w:rPr>
          <w:sz w:val="20"/>
          <w:szCs w:val="20"/>
          <w:color w:val="auto"/>
        </w:rPr>
      </w:pPr>
    </w:p>
    <w:p>
      <w:pPr>
        <w:ind w:left="420" w:hanging="304"/>
        <w:spacing w:after="0"/>
        <w:tabs>
          <w:tab w:leader="none" w:pos="4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one year after the completion of a Business Combination or (B) subsequent to a Business Combination, (x) if the last reported sale price of the</w:t>
      </w:r>
    </w:p>
    <w:p>
      <w:pPr>
        <w:spacing w:after="0" w:line="32" w:lineRule="exact"/>
        <w:rPr>
          <w:rFonts w:ascii="Arial" w:cs="Arial" w:eastAsia="Arial" w:hAnsi="Arial"/>
          <w:sz w:val="16"/>
          <w:szCs w:val="16"/>
          <w:color w:val="auto"/>
        </w:rPr>
      </w:pPr>
    </w:p>
    <w:p>
      <w:pPr>
        <w:ind w:left="120" w:right="140"/>
        <w:spacing w:after="0" w:line="253" w:lineRule="auto"/>
        <w:rPr>
          <w:rFonts w:ascii="Arial" w:cs="Arial" w:eastAsia="Arial" w:hAnsi="Arial"/>
          <w:sz w:val="16"/>
          <w:szCs w:val="16"/>
          <w:color w:val="auto"/>
        </w:rPr>
      </w:pPr>
      <w:r>
        <w:rPr>
          <w:rFonts w:ascii="Arial" w:cs="Arial" w:eastAsia="Arial" w:hAnsi="Arial"/>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 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The outstanding balance of $129,706 under the Promissory Note was repaid on June 12,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December 31, 2020, no Working Capital Loans were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period from February 6, 2020 (inception) through December 31, 2020, the Company incurred $70,000 in fees for these services. As of December 31, 2020, $70,000 is included in accrued expenses in the accompanying balance sheet.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 entered into a forward purchase agreement (the “FPA”)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 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FPA will be subject to approval, prior to the Company entering into a definitive agreement for the initial Business Combination, of its investment committee. Pursuant to the terms of the FPA,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8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signing of the Merger Agreement, the Company and HEC Master amended the FPA. Pursuant to the First Amendment to the Forward Purchase Agreement, dated January 12, 2021, HEC Master’s purchase obligations were amended such that HEC Master is obligated to purchase 2,500,000 Forward Purchase Units and backstop up to $25,000,000 of redemptions by HEC stockholders through the purchase of additional Forward Purchase Units, in each case valued at $10.00 per Forward Purchase Unit, in a private placement that will close concurrently with the closing of the Business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January 12, 2021, Hudson Executive Investment Corp. (“HEC”) entered into an Agreement and Plan of Merger (the “Merger Agreement”) by and among HEC, Tailwind Merger Sub I, Inc., a Delaware corporation and direct, wholly owned subsidiary of HEC (“First Merger Sub”), Tailwind Merger Sub II, LLC, a Delaware limited liability company and direct, wholly owned subsidiary of HEC (“Second Merger Sub”) and GROOP Internet Platform, Inc., a Delaware corporation (“Talkspace”).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Merger Agreement, the parties thereto will enter into a business combination transaction (the “Business Combination”) by which,</w:t>
      </w:r>
    </w:p>
    <w:p>
      <w:pPr>
        <w:spacing w:after="0" w:line="46" w:lineRule="exact"/>
        <w:rPr>
          <w:sz w:val="20"/>
          <w:szCs w:val="20"/>
          <w:color w:val="auto"/>
        </w:rPr>
      </w:pPr>
    </w:p>
    <w:p>
      <w:pPr>
        <w:ind w:left="340" w:hanging="224"/>
        <w:spacing w:after="0"/>
        <w:tabs>
          <w:tab w:leader="none" w:pos="3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First Merger Sub will merge with and into the Company with the Company being the surviving corporation in the merger (the “First Merger”) and</w:t>
      </w:r>
    </w:p>
    <w:p>
      <w:pPr>
        <w:spacing w:after="0" w:line="32" w:lineRule="exact"/>
        <w:rPr>
          <w:rFonts w:ascii="Arial" w:cs="Arial" w:eastAsia="Arial" w:hAnsi="Arial"/>
          <w:sz w:val="16"/>
          <w:szCs w:val="16"/>
          <w:color w:val="auto"/>
        </w:rPr>
      </w:pPr>
    </w:p>
    <w:p>
      <w:pPr>
        <w:ind w:left="120" w:right="560" w:hanging="4"/>
        <w:spacing w:after="0" w:line="277" w:lineRule="auto"/>
        <w:tabs>
          <w:tab w:leader="none" w:pos="38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 “Second Merger” and, together with the First Merger, being collectively referred to as the “Mergers” and, together with the other transactions contemplated by the Merger Agreement, the “Transactions” and the closing of the Transactions, the “Closing”).</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1080" w:right="100" w:hanging="532"/>
        <w:spacing w:after="0" w:line="273" w:lineRule="auto"/>
        <w:tabs>
          <w:tab w:leader="none" w:pos="10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(“HEC Common Stock”)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83" w:lineRule="exact"/>
        <w:rPr>
          <w:rFonts w:ascii="Arial" w:cs="Arial" w:eastAsia="Arial" w:hAnsi="Arial"/>
          <w:sz w:val="17"/>
          <w:szCs w:val="17"/>
          <w:color w:val="auto"/>
        </w:rPr>
      </w:pPr>
    </w:p>
    <w:p>
      <w:pPr>
        <w:ind w:left="1080" w:right="260" w:hanging="532"/>
        <w:spacing w:after="0" w:line="296" w:lineRule="auto"/>
        <w:tabs>
          <w:tab w:leader="none" w:pos="10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The maximum amount of cash (the “Closing Cash Consideration”) that may be paid to pre-closing holders of the Company’s stock and vested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and</w:t>
      </w:r>
    </w:p>
    <w:p>
      <w:pPr>
        <w:spacing w:after="0" w:line="66" w:lineRule="exact"/>
        <w:rPr>
          <w:rFonts w:ascii="Arial" w:cs="Arial" w:eastAsia="Arial" w:hAnsi="Arial"/>
          <w:sz w:val="16"/>
          <w:szCs w:val="16"/>
          <w:color w:val="auto"/>
        </w:rPr>
      </w:pPr>
    </w:p>
    <w:p>
      <w:pPr>
        <w:ind w:left="1080" w:right="280" w:hanging="532"/>
        <w:spacing w:after="0" w:line="291" w:lineRule="auto"/>
        <w:tabs>
          <w:tab w:leader="none" w:pos="10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maximum number of shares of HEC Common Stock that may be issued to pre-closing holders of the Company’s stock and options, including HEC Common Shares underlying any assumed options, pursuant to the foregoing is equal to a number determined dividing</w:t>
      </w:r>
    </w:p>
    <w:p>
      <w:pPr>
        <w:ind w:left="1080" w:right="740" w:firstLine="8"/>
        <w:spacing w:after="0" w:line="260" w:lineRule="auto"/>
        <w:tabs>
          <w:tab w:leader="none" w:pos="132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on January 12, 2021, concurrently with the execution of the Merger Agreement, HEC entered into subscription agreements (the “Subscription Agreements”) with certain investors (collectively, the “PIPE Investors”), pursuant to, and on the terms and subject to the conditions of which, the PIPE Investors have collectively subscribed for 30,000,000 shares of HEC Common Stock for an aggregate purchase price equal to $300 million (the “PIPE Investment”). The PIPE Investment will be consummated substantially concurrently with the Closing. The Subscription Agreements will terminate with no further force and effect upon the earliest to occur of: (i) 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On February 10, 2021, two purported shareholders of the Company filed actions against the Company and the members of the Company’s board relating to the Mergers. On March 10, 2021, the Company’s board received a shareholder demand letter against the Company and members of the Company’s board. In each case, the shareholders allege a variety of disclosure deficiencies in its proxy statement/prospectus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the Company discloses the allegedly omitted material information summarized above. The plaintiffs also seek damages and attorneys’ fees.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its proxy statement/prospectus,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STOCKHOLDERS’ EQUITY</w:t>
      </w:r>
    </w:p>
    <w:p>
      <w:pPr>
        <w:spacing w:after="0" w:line="117"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 rights and preferences as may be determined from time to time by the Company’s board of directors. At December 31, 2020, there were no shares of preferred stock issued or outstanding.</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authorized to issue 380,000,000 shares of Class A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Holders of Class A common stock are entitled to one vote for each share. At December 31, 2020, there were 7,742,528 shares of Class A common stock issued or outstanding, excluding 33,657,472 shares of Class A common stock subject to possible redemption.</w:t>
      </w:r>
    </w:p>
    <w:p>
      <w:pPr>
        <w:spacing w:after="0" w:line="158"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20,000,000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At December 31, 2020, there were 10,350,000 shares of Class B common stock issued and outstanding.</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8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and only whole warrants will trade. The Public Warrants will become exercisable on the later of (a) 12 months from the closing of the Proposed Public Offering and (b) 30 days after the completion of a Business Combination.</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Redemptions of warrants when the price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Public Warrants:</w:t>
      </w:r>
    </w:p>
    <w:p>
      <w:pPr>
        <w:spacing w:after="0" w:line="116" w:lineRule="exact"/>
        <w:rPr>
          <w:sz w:val="20"/>
          <w:szCs w:val="20"/>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Proposed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net deferred tax assets are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w:t>
            </w:r>
          </w:p>
        </w:tc>
        <w:tc>
          <w:tcPr>
            <w:tcW w:w="3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w w:val="96"/>
              </w:rPr>
              <w:t>Organizational costs/Startup expenses</w:t>
            </w:r>
          </w:p>
        </w:tc>
        <w:tc>
          <w:tcPr>
            <w:tcW w:w="33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(335,155)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34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F-23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6540" w:type="dxa"/>
            <w:vAlign w:val="bottom"/>
          </w:tcPr>
          <w:p>
            <w:pPr>
              <w:jc w:val="center"/>
              <w:ind w:left="850"/>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jc w:val="center"/>
              <w:ind w:left="870"/>
              <w:spacing w:after="0"/>
              <w:rPr>
                <w:sz w:val="20"/>
                <w:szCs w:val="20"/>
                <w:color w:val="auto"/>
              </w:rPr>
            </w:pPr>
            <w:r>
              <w:rPr>
                <w:rFonts w:ascii="Arial" w:cs="Arial" w:eastAsia="Arial" w:hAnsi="Arial"/>
                <w:sz w:val="18"/>
                <w:szCs w:val="18"/>
                <w:b w:val="1"/>
                <w:bCs w:val="1"/>
                <w:color w:val="auto"/>
              </w:rPr>
              <w:t>NOTES TO FINANCIAL STATEMENTS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6540" w:type="dxa"/>
            <w:vAlign w:val="bottom"/>
          </w:tcPr>
          <w:p>
            <w:pPr>
              <w:jc w:val="center"/>
              <w:ind w:left="850"/>
              <w:spacing w:after="0"/>
              <w:rPr>
                <w:sz w:val="20"/>
                <w:szCs w:val="20"/>
                <w:color w:val="auto"/>
              </w:rPr>
            </w:pPr>
            <w:r>
              <w:rPr>
                <w:rFonts w:ascii="Arial" w:cs="Arial" w:eastAsia="Arial" w:hAnsi="Arial"/>
                <w:sz w:val="18"/>
                <w:szCs w:val="18"/>
                <w:b w:val="1"/>
                <w:bCs w:val="1"/>
                <w:color w:val="auto"/>
                <w:w w:val="96"/>
              </w:rPr>
              <w:t>DECEMBER 31, 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60" w:type="dxa"/>
            <w:vAlign w:val="bottom"/>
            <w:gridSpan w:val="2"/>
          </w:tcPr>
          <w:p>
            <w:pPr>
              <w:spacing w:after="0"/>
              <w:rPr>
                <w:sz w:val="20"/>
                <w:szCs w:val="20"/>
                <w:color w:val="auto"/>
              </w:rPr>
            </w:pPr>
            <w:r>
              <w:rPr>
                <w:rFonts w:ascii="Arial" w:cs="Arial" w:eastAsia="Arial" w:hAnsi="Arial"/>
                <w:sz w:val="18"/>
                <w:szCs w:val="18"/>
                <w:color w:val="auto"/>
              </w:rPr>
              <w:t>The income tax provision consists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13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10,070</w:t>
            </w: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(335,155)</w:t>
            </w: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335,155</w:t>
            </w:r>
          </w:p>
        </w:tc>
        <w:tc>
          <w:tcPr>
            <w:tcW w:w="80" w:type="dxa"/>
            <w:vAlign w:val="bottom"/>
            <w:shd w:val="clear" w:color="auto" w:fill="CCEEFF"/>
          </w:tcPr>
          <w:p>
            <w:pPr>
              <w:spacing w:after="0"/>
              <w:rPr>
                <w:sz w:val="18"/>
                <w:szCs w:val="18"/>
                <w:color w:val="auto"/>
              </w:rPr>
            </w:pPr>
          </w:p>
        </w:tc>
      </w:tr>
      <w:tr>
        <w:trPr>
          <w:trHeight w:val="223"/>
        </w:trPr>
        <w:tc>
          <w:tcPr>
            <w:tcW w:w="7860" w:type="dxa"/>
            <w:vAlign w:val="bottom"/>
            <w:gridSpan w:val="2"/>
          </w:tcPr>
          <w:p>
            <w:pPr>
              <w:ind w:left="1320"/>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December 31, 2020, the Company did not have any U.S. federal and state net operating loss carryovers available to offset future taxable income.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February 6, 2020 (inception) through December 31, 2020, the change in the valuation allowance was $335,155.</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fair value of FPA</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Compensation expense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FAIR VALUE MEASUREMENTS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jc w:val="both"/>
        <w:ind w:left="1480" w:right="600" w:hanging="917"/>
        <w:spacing w:after="0" w:line="263" w:lineRule="auto"/>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480" w:right="780" w:hanging="917"/>
        <w:spacing w:after="0" w:line="277"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480" w:right="860" w:hanging="917"/>
        <w:spacing w:after="0" w:line="277" w:lineRule="auto"/>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At December 31, 2020, assets held in the Trust Account were comprised of $575 in cash and $414,232,051 in U.S. Treasury securities. During the year ended December 31, 2020, the Company did not withdraw any interest income from the Trust Account.</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Level</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414,228,281</w:t>
            </w:r>
          </w:p>
        </w:tc>
        <w:tc>
          <w:tcPr>
            <w:tcW w:w="0" w:type="dxa"/>
            <w:vAlign w:val="bottom"/>
          </w:tcPr>
          <w:p>
            <w:pPr>
              <w:spacing w:after="0"/>
              <w:rPr>
                <w:sz w:val="1"/>
                <w:szCs w:val="1"/>
                <w:color w:val="auto"/>
              </w:rPr>
            </w:pPr>
          </w:p>
        </w:tc>
      </w:tr>
      <w:tr>
        <w:trPr>
          <w:trHeight w:val="94"/>
        </w:trPr>
        <w:tc>
          <w:tcPr>
            <w:tcW w:w="9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35,604,000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17,990,000</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FPA Liability</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4,225,000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Warrants and FPA were accounted for as liabilities in accordance with ASC 815-40. The warrant liabilities and FPA are measured at fair value at inception and on a recurring basis, with changes in fair value presented in the statement of operations.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Measurement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The primary unobservable inputs utilized in determining the fair value of the Private Placement Warrants are the expected volatility of our common stock and our stock price. The expected volatility of our common stock was determined based on implied volatilities of public warrants issued by selected guideline companies and was estimated to be 10% before the expected business combination and 20% after the expected business combination. Our stock price was determined based on an iterative procedure that matched the estimated value of the common stock and fractional warrant price to equate to the observed price of our outstanding units.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Public Warrants were valued using a Monte Carlo simulation implementing the Black Scholes Option Pricing Model that is modified to capture the redemption features of the Public Warrants. The primary unobservable inputs utilized in determining the fair value of the Public Warrants are the expected volatility of our common stock and our stock price. The expected volatility of our common stock was determined based on implied volatilities of public warrants issued by selected guideline companies and was estimated to be 10% before the expected business combination and 20% after the expected business combination. Our stock price was determined based on an iterative procedure that matched the estimated value of the common stock and fractional warrant price to equate to the observed price of our outstanding units.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Warrants are measured at fair value on a recurring basis. The Public Warrants were valued using the instrument’s publicly listed trading price as of the balance sheet date, which is considered to be a Level 1 measurement due to the use of an observable market quote in an active market.</w:t>
      </w:r>
    </w:p>
    <w:p>
      <w:pPr>
        <w:spacing w:after="0" w:line="124"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Private Placement Warrants were valued using a Modified Black Scholes Model, which is considered to be a Level 3 fair value measurement. The primary unobservable input utilized in determining the fair value of the Private Placement Warrants is the expected volatility of our common stock. The expected volatility of the Company’s common stock was determined based on the implied volatility of the Public Warrants and was estimated to be 10% before the expected business combination and 20% after the expected business combination.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Private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Public</w:t>
            </w: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Placement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February 6, 2020 (inception)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Initial measurement on June 11, 2020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10,280,000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20,700,000</w:t>
            </w: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34,697,600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6,476,400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12,420,000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18,896,400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17,990,000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35,604,000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53,594,000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period from June 11, 2020 through December 31, 2020 was $34,697,600, when the Public Warrants were separately listed and traded.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FPA liability: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4"/>
              </w:rPr>
              <w:t>Private Placement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Fair value as of February 6, 2020 (inception)</w:t>
            </w:r>
          </w:p>
        </w:tc>
        <w:tc>
          <w:tcPr>
            <w:tcW w:w="2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w w:val="96"/>
              </w:rPr>
              <w:t>Initial measurement on June 11, 2020</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9"/>
              </w:rPr>
              <w:t>4,225,000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gridSpan w:val="11"/>
          </w:tcPr>
          <w:p>
            <w:pPr>
              <w:ind w:left="440"/>
              <w:spacing w:after="0"/>
              <w:rPr>
                <w:sz w:val="20"/>
                <w:szCs w:val="20"/>
                <w:color w:val="auto"/>
              </w:rPr>
            </w:pPr>
            <w:r>
              <w:rPr>
                <w:rFonts w:ascii="Arial" w:cs="Arial" w:eastAsia="Arial" w:hAnsi="Arial"/>
                <w:sz w:val="18"/>
                <w:szCs w:val="18"/>
                <w:color w:val="auto"/>
              </w:rPr>
              <w:t>The gross holding gains and fair value of held-to-maturity securities at December 31, 2020 are as follows: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Held-To-Maturity</w:t>
            </w: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Holding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December 31, 2020</w:t>
            </w:r>
          </w:p>
        </w:tc>
        <w:tc>
          <w:tcPr>
            <w:tcW w:w="2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2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(Mature on 1/28/2021)</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414,228,281</w:t>
            </w:r>
          </w:p>
        </w:tc>
        <w:tc>
          <w:tcPr>
            <w:tcW w:w="78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$ 4,345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414,232,626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On January 18, 2021, the Company established two subsidiaries, Tailwind Merger Sub I, Inc., a wholly-owned subsidiary of the Company incorporated in Delaware (“Merger Sub 1”) and Tailwind Merger Sub II, LLC, a wholly -owned subsidiary of the Company also incorporated in Delaware (“Merger Sub 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described in Note 6, the Company entered into an Agreement and Plan of Merger on January 12, 2021 with Talkspace.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2"/>
              <w:spacing w:after="0" w:line="142" w:lineRule="exact"/>
              <w:rPr>
                <w:sz w:val="20"/>
                <w:szCs w:val="20"/>
                <w:color w:val="auto"/>
              </w:rPr>
            </w:pPr>
            <w:r>
              <w:rPr>
                <w:rFonts w:ascii="Arial" w:cs="Arial" w:eastAsia="Arial" w:hAnsi="Arial"/>
                <w:sz w:val="14"/>
                <w:szCs w:val="14"/>
                <w:color w:val="auto"/>
                <w:w w:val="92"/>
              </w:rPr>
              <w:t>(Unaudited)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2"/>
              <w:spacing w:after="0" w:line="142" w:lineRule="exact"/>
              <w:rPr>
                <w:sz w:val="20"/>
                <w:szCs w:val="20"/>
                <w:color w:val="auto"/>
              </w:rPr>
            </w:pPr>
            <w:r>
              <w:rPr>
                <w:rFonts w:ascii="Arial" w:cs="Arial" w:eastAsia="Arial" w:hAnsi="Arial"/>
                <w:sz w:val="14"/>
                <w:szCs w:val="14"/>
                <w:color w:val="auto"/>
                <w:w w:val="98"/>
              </w:rPr>
              <w:t>(Audited)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1,178,377</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151,334</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118,525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528,628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1,296,902</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414,275,432</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414,228,281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1"/>
              </w:rPr>
              <w:t>414,804,060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415,525,183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1,588,952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1,631,390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1,601,608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1,641,460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FPA liability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1,650,000</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4,225,000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45,126,600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53,594,000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14,490,000</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14,490,000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62,868,208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73,950,460</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common stock subject to possible redemption, 34,693,585 and 33,657,472 shares at $10.00 per share as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346,935,850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336,574,720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 issued and outstanding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00" w:type="dxa"/>
            <w:vAlign w:val="bottom"/>
          </w:tcPr>
          <w:p>
            <w:pPr>
              <w:spacing w:after="0" w:line="201" w:lineRule="exact"/>
              <w:rPr>
                <w:sz w:val="20"/>
                <w:szCs w:val="20"/>
                <w:color w:val="auto"/>
              </w:rPr>
            </w:pPr>
            <w:r>
              <w:rPr>
                <w:rFonts w:ascii="Arial" w:cs="Arial" w:eastAsia="Arial" w:hAnsi="Arial"/>
                <w:sz w:val="18"/>
                <w:szCs w:val="18"/>
                <w:color w:val="auto"/>
                <w:w w:val="94"/>
              </w:rPr>
              <w:t>Class A common stock, $0.0001 par value; 380,000,000 shares authorized; 6,706,415 and 7,742,528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w w:val="93"/>
              </w:rPr>
              <w:t>issued and outstanding (excluding 34,693,585 and 33,657,472 shares subject to possible redemption) as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Class B common stock, $0.0001 par value; 20,000,000 shares authorized; 10,350,000 shares issued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21,873,075</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32,234,102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(16,874,779)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(27,235,908)</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1"/>
              </w:rPr>
              <w:t>414,804,060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415,525,183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from February 6,</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(728,422)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Change in fair value of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8,467,400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FPA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2,575,000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11,089,551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10,361,129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10,361,129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41,400,000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MARCH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14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Arial" w:cs="Arial" w:eastAsia="Arial" w:hAnsi="Arial"/>
                <w:sz w:val="14"/>
                <w:szCs w:val="14"/>
                <w:b w:val="1"/>
                <w:bCs w:val="1"/>
                <w:color w:val="auto"/>
              </w:rPr>
              <w:t>Class B</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Additional</w:t>
            </w:r>
          </w:p>
        </w:tc>
        <w:tc>
          <w:tcPr>
            <w:tcW w:w="132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340" w:type="dxa"/>
            <w:vAlign w:val="bottom"/>
            <w:gridSpan w:val="5"/>
          </w:tcPr>
          <w:p>
            <w:pPr>
              <w:jc w:val="center"/>
              <w:ind w:left="278"/>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Paid-in</w:t>
            </w:r>
          </w:p>
        </w:tc>
        <w:tc>
          <w:tcPr>
            <w:tcW w:w="1320" w:type="dxa"/>
            <w:vAlign w:val="bottom"/>
            <w:gridSpan w:val="2"/>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2"/>
                <w:szCs w:val="12"/>
                <w:color w:val="auto"/>
              </w:rPr>
            </w:pPr>
          </w:p>
        </w:tc>
        <w:tc>
          <w:tcPr>
            <w:tcW w:w="11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Capital</w:t>
            </w:r>
          </w:p>
        </w:tc>
        <w:tc>
          <w:tcPr>
            <w:tcW w:w="1320" w:type="dxa"/>
            <w:vAlign w:val="bottom"/>
            <w:gridSpan w:val="2"/>
          </w:tcPr>
          <w:p>
            <w:pPr>
              <w:jc w:val="right"/>
              <w:ind w:right="541"/>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7,742,528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10,350,000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0"/>
              </w:rPr>
              <w:t>$1,035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32,234,102</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(27,235,908)</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7"/>
              </w:rPr>
              <w:t>Change in value of common stock subject</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to possible redemption</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(1,036,113)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(103)</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(10,361,027)</w:t>
            </w: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(10,361,130)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10,361,129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10,361,129</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6,706,415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10,350,000</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1,035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21,873,075</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(16,874,779</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FEBRUARY 6, 2020 (INCEPTION) THROUGH MARCH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360"/>
              <w:spacing w:after="0"/>
              <w:rPr>
                <w:sz w:val="20"/>
                <w:szCs w:val="20"/>
                <w:color w:val="auto"/>
              </w:rPr>
            </w:pPr>
            <w:r>
              <w:rPr>
                <w:rFonts w:ascii="Arial" w:cs="Arial" w:eastAsia="Arial" w:hAnsi="Arial"/>
                <w:sz w:val="14"/>
                <w:szCs w:val="14"/>
                <w:b w:val="1"/>
                <w:bCs w:val="1"/>
                <w:color w:val="auto"/>
                <w:w w:val="97"/>
              </w:rPr>
              <w:t>Class A</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1"/>
              </w:rPr>
              <w:t>Common Stock</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1"/>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February 6, 2020 (inception)</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Issuance of Class B common stock to Sponsor</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320"/>
              <w:spacing w:after="0"/>
              <w:rPr>
                <w:sz w:val="20"/>
                <w:szCs w:val="20"/>
                <w:color w:val="auto"/>
              </w:rPr>
            </w:pPr>
            <w:r>
              <w:rPr>
                <w:rFonts w:ascii="Arial" w:cs="Arial" w:eastAsia="Arial" w:hAnsi="Arial"/>
                <w:sz w:val="18"/>
                <w:szCs w:val="18"/>
                <w:color w:val="auto"/>
              </w:rPr>
              <w:t>10,350,000(1)</w:t>
            </w:r>
          </w:p>
        </w:tc>
        <w:tc>
          <w:tcPr>
            <w:tcW w:w="100" w:type="dxa"/>
            <w:vAlign w:val="bottom"/>
          </w:tcPr>
          <w:p>
            <w:pPr>
              <w:spacing w:after="0"/>
              <w:rPr>
                <w:sz w:val="18"/>
                <w:szCs w:val="18"/>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23,965</w:t>
            </w:r>
          </w:p>
        </w:tc>
        <w:tc>
          <w:tcPr>
            <w:tcW w:w="16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2020</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10,350,000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23,965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86" w:lineRule="auto"/>
        <w:tabs>
          <w:tab w:leader="none" w:pos="5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On February 6, 2020, the Sponsor purchased an aggregate of 8,625,000 shares of Class B common stock of the Company. On June 8, 2020, the Company effected a 1.2:1 stock split of the Class B common stock, resulting in an aggregate of 10,350,000 shares of Class B common stock outstanding. All share and per-share amounts have been retroactively restated to reflect the stock split.</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6, 2020</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2021</w:t>
            </w:r>
          </w:p>
        </w:tc>
        <w:tc>
          <w:tcPr>
            <w:tcW w:w="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10,361,129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Change in fair value of Warrants</w:t>
            </w: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(8,467,400)</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FPA</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(2,575,000)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(47,151)</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 paid through promissory note</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Formation cost paid by Sponsor</w:t>
            </w:r>
          </w:p>
        </w:tc>
        <w:tc>
          <w:tcPr>
            <w:tcW w:w="8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(32,809)</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(42,438)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b w:val="1"/>
                <w:bCs w:val="1"/>
                <w:color w:val="auto"/>
              </w:rPr>
              <w:t>Net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(801,083)</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(801,083)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Cash – Beginning</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1,178,377</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377,294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10,361,130</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Offering costs included in accrued offering costs</w:t>
            </w: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offering costs paid directly by Sponsor in consideration for the issuance of Class B common stock</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All activity for the period from February 6, 2020 (inception) through March 31, 2021 relates to the Company’s formation, its initial public offering (“Initial Public Offering”), which is described below, and identifying a target company for a Business Combination, and activities in connection with the proposed acquisition of GROOP Internet Platform, Inc., a Delaware corporation (“Talkspace”) (see Note 6).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has two subsidiaries, Tailwind Merger Sub I, Inc., a wholly-owned subsidiary of the Company incorporated in Delaware on January 18, 2021 (“Merger Sub 1”) and Tailwind Merger Sub II, LLC, a wholly -owned subsidiary of the Company also incorporated in Delaware on January 18, 2021 (“Merger Sub 2”).</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Transaction costs amounted to $23,353,182, consisting of $8,280,000 of underwriting fees, $14,490,000 of deferred underwriting fees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$583,182 of other offering costs. At March 31, 2021 and December 31, 2020, cash of $377,294 and $1,178,377, respectively, was held outside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 Account (as defined below) and is available for working capital purposes.</w:t>
      </w:r>
    </w:p>
    <w:p>
      <w:pPr>
        <w:spacing w:after="0" w:line="21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will be invested only in U.S. government securities, within the meaning set forth in Section 2(a)(16) of the Investment Company Act of 1940, as amended (the “Investment Company Act”), with a maturity of 185 days or less or less until the earlier of: (i) the completion of a Business Combination and</w:t>
      </w:r>
    </w:p>
    <w:p>
      <w:pPr>
        <w:spacing w:after="0" w:line="1" w:lineRule="exact"/>
        <w:rPr>
          <w:sz w:val="20"/>
          <w:szCs w:val="20"/>
          <w:color w:val="auto"/>
        </w:rPr>
      </w:pPr>
    </w:p>
    <w:p>
      <w:pPr>
        <w:jc w:val="right"/>
        <w:ind w:left="5460" w:right="5320" w:hanging="5344"/>
        <w:spacing w:after="0" w:line="517" w:lineRule="auto"/>
        <w:tabs>
          <w:tab w:leader="none" w:pos="38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distribution of the funds held in the Trust Account, as described below. F-32</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 not vote at all.</w:t>
      </w:r>
    </w:p>
    <w:p>
      <w:pPr>
        <w:spacing w:after="0" w:line="17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 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As of March 31, 2021, the Company had $377,294 in its operating bank accounts, $414,275,432 in securities held in the Trust Account to be used for a Business Combination or to repurchase or redeem its common stock in connection therewith and working capital deficit of $1,072,980.</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intends to complete a Business Combination as further discussed in Note 6.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determined that the liquidity condition of the Company raise substantial doubt about the Company’s ability to continue as a going concern through one year from the issuance date of the financial statements. No adjustments have been made to the carrying amounts of assets or liabilities should the Company be unable to continue as a going concern.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6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Amended and Restated Annual Report on Form 10-K for the period ended December 31, 2020 filed with the SEC on May 4, 2021. The interim results for the three months ended March 31, 2021 are not necessarily indicative of the results to be expected for the period ending December 31, 2020 or for any future periods.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70"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 and FPA Liabilities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accounts for the Warrants and FPA (as defined below) in accordance with the guidance contained in ASC 815-40, under which the Warrants and FPA do not meet the criteria for equity treatment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must be recorded as liabilities. Accordingly, the Company classifies the Warrants and FPA as liabilities at their fair value and adjust the Warrants and FPA to fair value at each reporting period. These liabilities are subject to re-measurement at each balance sheet date until exercised, and any change in fair value is recognized in the statement of operations. The fair value of the Public Warrants has been estimated using the Public Warrants’ quoted market price. The Private Placement Warrants and FPA are valued using a Modified Black Scholes Option Pricing Model.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there are 34,693,585 and 33,657,472 shares of Class A common stock subject to possible redemption presented as temporary equity, outside of the stockholders’ equity section of the Company’s unaudited condensed consolidated balance sheets,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the Company had a deferred tax asset of approximately $143,000, which had a full valuation allowance.</w:t>
      </w:r>
    </w:p>
    <w:p>
      <w:pPr>
        <w:spacing w:after="0" w:line="17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per Common Share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calculation of diluted income per share, since the exercise of the warrants are contingent upon the occurrence of future events and the inclusion of such warrants would be anti-dilutive.</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less franchise and income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February 6, 2020</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2021</w:t>
            </w: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47,151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Pr>
          <w:p>
            <w:pPr>
              <w:ind w:left="72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9"/>
                <w:szCs w:val="19"/>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(47,151)</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6"/>
              </w:rPr>
              <w:t>41,400,000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Numerator: Net Income (Loss) minus Redeemable Net Earnings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6"/>
              </w:rPr>
              <w:t>10,361,129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7880" w:type="dxa"/>
            <w:vAlign w:val="bottom"/>
          </w:tcPr>
          <w:p>
            <w:pPr>
              <w:ind w:left="720"/>
              <w:spacing w:after="0"/>
              <w:rPr>
                <w:sz w:val="20"/>
                <w:szCs w:val="20"/>
                <w:color w:val="auto"/>
              </w:rPr>
            </w:pPr>
            <w:r>
              <w:rPr>
                <w:rFonts w:ascii="Arial" w:cs="Arial" w:eastAsia="Arial" w:hAnsi="Arial"/>
                <w:sz w:val="18"/>
                <w:szCs w:val="18"/>
                <w:color w:val="auto"/>
              </w:rPr>
              <w:t>Lees: Redeemable Net Earnings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6"/>
              </w:rPr>
              <w:t>10,361,129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880" w:type="dxa"/>
            <w:vAlign w:val="bottom"/>
          </w:tcPr>
          <w:p>
            <w:pPr>
              <w:ind w:left="10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 Basic and Diluted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6"/>
              </w:rPr>
              <w:t>10,350,000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Arial" w:cs="Arial" w:eastAsia="Arial" w:hAnsi="Arial"/>
                <w:sz w:val="18"/>
                <w:szCs w:val="18"/>
                <w:color w:val="auto"/>
              </w:rPr>
              <w:t>Basic and diluted net loss per share, Class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PUBLIC OFFERING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Sponsor has agreed, subject to certain limited exceptions, not to transfer, assign or sell any of the Founder Shares until the earlier to occur of</w:t>
      </w:r>
    </w:p>
    <w:p>
      <w:pPr>
        <w:spacing w:after="0" w:line="46" w:lineRule="exact"/>
        <w:rPr>
          <w:sz w:val="20"/>
          <w:szCs w:val="20"/>
          <w:color w:val="auto"/>
        </w:rPr>
      </w:pPr>
    </w:p>
    <w:p>
      <w:pPr>
        <w:ind w:left="420" w:hanging="304"/>
        <w:spacing w:after="0"/>
        <w:tabs>
          <w:tab w:leader="none" w:pos="4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one year after the completion of a Business Combination or (B) subsequent to a Business Combination, (x) if the last reported sale price of the</w:t>
      </w:r>
    </w:p>
    <w:p>
      <w:pPr>
        <w:spacing w:after="0" w:line="32" w:lineRule="exact"/>
        <w:rPr>
          <w:rFonts w:ascii="Arial" w:cs="Arial" w:eastAsia="Arial" w:hAnsi="Arial"/>
          <w:sz w:val="16"/>
          <w:szCs w:val="16"/>
          <w:color w:val="auto"/>
        </w:rPr>
      </w:pPr>
    </w:p>
    <w:p>
      <w:pPr>
        <w:ind w:left="120" w:right="140"/>
        <w:spacing w:after="0" w:line="260" w:lineRule="auto"/>
        <w:rPr>
          <w:rFonts w:ascii="Arial" w:cs="Arial" w:eastAsia="Arial" w:hAnsi="Arial"/>
          <w:sz w:val="16"/>
          <w:szCs w:val="16"/>
          <w:color w:val="auto"/>
        </w:rPr>
      </w:pPr>
      <w:r>
        <w:rPr>
          <w:rFonts w:ascii="Arial" w:cs="Arial" w:eastAsia="Arial" w:hAnsi="Arial"/>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The outstanding balance of $129,706 under the Promissory Note was repaid on June 12, 2020.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March 31, 2021, $2,586 was outstanding.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Support Agreement</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three months ended March 31, 2021, the Company incurred $30,000. As of March 31, 2021 and December 31, 2020, $100,000 and $70,000, respectively, is included in accrued expenses in the accompanying condensed consolidated balance sheets.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Purchase Agreement</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entered into a forward purchase agreement (the “FPA”)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 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the Company entering into a definitive agreement for the initial Business Combination, of its investment committee. Pursuant to the terms of the Forward Purchase Agreement,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8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connection with the signing of the Merger Agreement, the Company and HEC Master amended the Forward Purchase Agreement. Pursuant to the First Amendment to the Forward Purchase Agreement, dated January 12, 2021, HEC Master’s purchase obligations were amended such that HEC Master is obligated to purchase 2,500,000 Forward Purchase Units and backstop up to $25,000,000 of redemptions by HEC stockholders through the purchase of additional Forward Purchase Units, in each case valued at $10.00 per Forward Purchase Unit, in a private placement that will close concurrently with the closing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January 12, 2021, Hudson Executive Investment Corp. (“HEC”) entered into an Agreement and Plan of Merger (the “Merger Agreement”) by and among HEC, Tailwind Merger Sub I, Inc., a Delaware corporation and direct, wholly owned subsidiary of HEC (“First Merger Sub”), Tailwind Merger Sub II, LLC, a Delaware limited liability company and direct, wholly owned subsidiary of HEC (“Second Merger Sub”) and GROOP Internet Platform, Inc., a Delaware corporation (“Talkspace”).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Merger Agreement, the parties thereto will enter into a business combination transaction (the “Business Combination”) by which,</w:t>
      </w:r>
    </w:p>
    <w:p>
      <w:pPr>
        <w:spacing w:after="0" w:line="46" w:lineRule="exact"/>
        <w:rPr>
          <w:sz w:val="20"/>
          <w:szCs w:val="20"/>
          <w:color w:val="auto"/>
        </w:rPr>
      </w:pPr>
    </w:p>
    <w:p>
      <w:pPr>
        <w:ind w:left="340" w:hanging="224"/>
        <w:spacing w:after="0"/>
        <w:tabs>
          <w:tab w:leader="none" w:pos="3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First Merger Sub will merge with and into the Company with the Company being the surviving corporation in the merger (the “First Merger”) and</w:t>
      </w:r>
    </w:p>
    <w:p>
      <w:pPr>
        <w:spacing w:after="0" w:line="32" w:lineRule="exact"/>
        <w:rPr>
          <w:rFonts w:ascii="Arial" w:cs="Arial" w:eastAsia="Arial" w:hAnsi="Arial"/>
          <w:sz w:val="16"/>
          <w:szCs w:val="16"/>
          <w:color w:val="auto"/>
        </w:rPr>
      </w:pPr>
    </w:p>
    <w:p>
      <w:pPr>
        <w:ind w:left="120" w:right="540" w:hanging="4"/>
        <w:spacing w:after="0" w:line="277" w:lineRule="auto"/>
        <w:tabs>
          <w:tab w:leader="none" w:pos="38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 “Second Merger” and, together with the First Merger, being collectively referred to as the “Mergers” and, together with the other transactions contemplated by the Merger Agreement, the “Transactions” and the closing of the Transactions, the “Closing”).</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540" w:right="100" w:hanging="424"/>
        <w:spacing w:after="0" w:line="255"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(“HEC Common Stock”)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97"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maximum amount of cash (the “Closing Cash Consideration”) that may be paid to pre-closing holders of the Company’s stock and vested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$250,000,000,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transaction expenses of the parties to the Merger Agreement;</w:t>
      </w:r>
    </w:p>
    <w:p>
      <w:pPr>
        <w:spacing w:after="0" w:line="93"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maximum number of shares of HEC Common Stock that may be issued to pre-closing holders of the Company’s stock and options, including HEC Common Shares underlying any assumed options, pursuant to the foregoing is equal to a number determined dividing (a) (i)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Additionally, on January 12, 2021, concurrently with the execution of the Merger Agreement, HEC entered into subscription agreements (the “Subscription Agreements”) with certain investors (collectively, the “PIPE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9" w:right="49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Investors”), pursuant to, and on the terms and subject to the conditions of which, the PIPE Investors have collectively subscribed for 30,000,000 shares of HEC Common Stock for an aggregate purchase price equal to $300 million (the “PIPE Investment”). The PIPE Investment will be consummated substantially concurrently with the Closing. The Subscription Agreements will terminate with no further force and effect upon the earliest to occur of:</w:t>
      </w:r>
    </w:p>
    <w:p>
      <w:pPr>
        <w:spacing w:after="0" w:line="2" w:lineRule="exact"/>
        <w:rPr>
          <w:sz w:val="20"/>
          <w:szCs w:val="20"/>
          <w:color w:val="auto"/>
        </w:rPr>
      </w:pPr>
    </w:p>
    <w:p>
      <w:pPr>
        <w:ind w:left="120" w:right="280" w:hanging="4"/>
        <w:spacing w:after="0" w:line="255" w:lineRule="auto"/>
        <w:tabs>
          <w:tab w:leader="none" w:pos="3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9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On February 10, 2021, two purported shareholders of the Company filed actions against the Company and the members of the Company’s board relating to the Mergers. On March 10, 2021, the Company’s board received a stockholders demand letter against the Company and members of the Company’s board. In each case, the stockholders allege a variety of disclosure deficiencies in its proxy statement/prospectus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the Company discloses the allegedly omitted material information summarized above. The plaintiffs also seek damages and attorneys’ fees.</w:t>
      </w:r>
    </w:p>
    <w:p>
      <w:pPr>
        <w:spacing w:after="0" w:line="164"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its proxy statement/prospectus,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17"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rights and preferences as may be determined from time to time by the Company’s board of directors. At March 31, 2021 and December 31, 2020, there were no shares of preferred stock issued or outstanding.</w:t>
      </w:r>
    </w:p>
    <w:p>
      <w:pPr>
        <w:spacing w:after="0" w:line="176"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8"/>
          <w:szCs w:val="18"/>
          <w:b w:val="1"/>
          <w:bCs w:val="1"/>
          <w:color w:val="auto"/>
        </w:rPr>
        <w:t xml:space="preserve">Class A Common Stock — </w:t>
      </w:r>
      <w:r>
        <w:rPr>
          <w:rFonts w:ascii="Arial" w:cs="Arial" w:eastAsia="Arial" w:hAnsi="Arial"/>
          <w:sz w:val="18"/>
          <w:szCs w:val="18"/>
          <w:color w:val="auto"/>
        </w:rPr>
        <w:t>The Company is authorized to issue 380,000,000 shares of Class A common stock with a par value of $0.0001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Holders of Class A common stock are entitled to one vote for each share. At March 31, 2021 and December 31, 2020, there were 6,706,415 and 7,742,528 shares of Class A common stock issued or outstanding, excluding 34,693,585 and 33,657,472 shares of Class A common stock subject to possible redemption.</w:t>
      </w:r>
    </w:p>
    <w:p>
      <w:pPr>
        <w:spacing w:after="0" w:line="180" w:lineRule="exact"/>
        <w:rPr>
          <w:sz w:val="20"/>
          <w:szCs w:val="20"/>
          <w:color w:val="auto"/>
        </w:rPr>
      </w:pPr>
    </w:p>
    <w:p>
      <w:pPr>
        <w:ind w:left="120" w:right="380" w:firstLine="440"/>
        <w:spacing w:after="0" w:line="347" w:lineRule="auto"/>
        <w:rPr>
          <w:sz w:val="20"/>
          <w:szCs w:val="20"/>
          <w:color w:val="auto"/>
        </w:rPr>
      </w:pPr>
      <w:r>
        <w:rPr>
          <w:rFonts w:ascii="Arial" w:cs="Arial" w:eastAsia="Arial" w:hAnsi="Arial"/>
          <w:sz w:val="16"/>
          <w:szCs w:val="16"/>
          <w:b w:val="1"/>
          <w:bCs w:val="1"/>
          <w:color w:val="auto"/>
        </w:rPr>
        <w:t xml:space="preserve">Class B Common Stock — </w:t>
      </w:r>
      <w:r>
        <w:rPr>
          <w:rFonts w:ascii="Arial" w:cs="Arial" w:eastAsia="Arial" w:hAnsi="Arial"/>
          <w:sz w:val="16"/>
          <w:szCs w:val="16"/>
          <w:color w:val="auto"/>
        </w:rPr>
        <w:t>The Company is authorized to issue 20,000,000 shares of Class B common stock with a par value of $0.0001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At March 31, 2021 and December 31, 2020, there were 10,350,000 shares of Class B common stock issued and outstanding.</w:t>
      </w:r>
    </w:p>
    <w:p>
      <w:pPr>
        <w:spacing w:after="0" w:line="12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78"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only whole warrants will trade. The Public Warrants will become exercisable on the later of (a) 12 months from the closing of the Initial Public Offering and (b) 30 days after the completion of a Business Combination.</w:t>
      </w:r>
    </w:p>
    <w:p>
      <w:pPr>
        <w:spacing w:after="0" w:line="18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Redemptions of warrants when the price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Public Warrants:</w:t>
      </w:r>
    </w:p>
    <w:p>
      <w:pPr>
        <w:spacing w:after="0" w:line="116" w:lineRule="exact"/>
        <w:rPr>
          <w:sz w:val="20"/>
          <w:szCs w:val="20"/>
          <w:color w:val="auto"/>
        </w:rPr>
      </w:pPr>
    </w:p>
    <w:p>
      <w:pPr>
        <w:ind w:left="1080" w:hanging="424"/>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60"/>
          </w:cols>
          <w:pgMar w:left="320" w:top="459" w:right="51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1120" w:right="20" w:hanging="998"/>
        <w:spacing w:after="0" w:line="308" w:lineRule="auto"/>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20" w:right="460" w:hanging="998"/>
        <w:spacing w:after="0" w:line="277" w:lineRule="auto"/>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320 “Investments—Debt and Equity Securities.” Held-to-maturity securities are those securities which the Company has the ability and intent to hold until maturity. Held-to-maturity treasury securities are recorded at amortized cost on the accompanying condensed consolidated balance sheets and adjusted for the amortization or accretion of premiums or discounts.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March 31, 2021, assets held in the Trust Account were comprised of $414,275,432 in money market funds, which are invested in U.S. Treasury Securities. At December 31, 2020, assets held in the trust account were comprised of $575 in money market funds and $414,232,051 in U.S. Treasury Bills. During the three months ended March 31, 2021 and the year ended December 31, 2020, the Company did not withdraw any interest income from the trust account.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 December 31, 2020 and indicates the fair value hierarchy of the valuation inputs the Company utilized to determine such fair value. The gross holding gains and fair value of held-to-maturity securities at March 31, 2021 and December 31, 2020 are as follows: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4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Held-To-Maturity</w:t>
            </w:r>
          </w:p>
        </w:tc>
        <w:tc>
          <w:tcPr>
            <w:tcW w:w="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Holding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1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414,275,432</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1200" w:type="dxa"/>
            <w:vAlign w:val="bottom"/>
          </w:tcPr>
          <w:p>
            <w:pPr>
              <w:ind w:left="20"/>
              <w:spacing w:after="0"/>
              <w:rPr>
                <w:sz w:val="20"/>
                <w:szCs w:val="20"/>
                <w:color w:val="auto"/>
              </w:rPr>
            </w:pPr>
            <w:r>
              <w:rPr>
                <w:rFonts w:ascii="Arial" w:cs="Arial" w:eastAsia="Arial" w:hAnsi="Arial"/>
                <w:sz w:val="18"/>
                <w:szCs w:val="18"/>
                <w:color w:val="auto"/>
              </w:rPr>
              <w:t>31, 2020</w:t>
            </w:r>
          </w:p>
        </w:tc>
        <w:tc>
          <w:tcPr>
            <w:tcW w:w="3740" w:type="dxa"/>
            <w:vAlign w:val="bottom"/>
            <w:gridSpan w:val="2"/>
          </w:tcPr>
          <w:p>
            <w:pPr>
              <w:spacing w:after="0"/>
              <w:rPr>
                <w:sz w:val="20"/>
                <w:szCs w:val="20"/>
                <w:color w:val="auto"/>
              </w:rPr>
            </w:pPr>
            <w:r>
              <w:rPr>
                <w:rFonts w:ascii="Arial" w:cs="Arial" w:eastAsia="Arial" w:hAnsi="Arial"/>
                <w:sz w:val="18"/>
                <w:szCs w:val="18"/>
                <w:color w:val="auto"/>
                <w:w w:val="98"/>
              </w:rPr>
              <w:t>U.S. Treasury Securities (Mature on 1/28/2021)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414,228,281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4,345</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414,232,626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following table presents information about the Company’s liabilities that are measured at fair value on a recurring basis at March 31, 2021 and December 31, 2020 and indicates the fair value hierarchy of the valuation inputs the Company utilized to determine such fair value.</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Level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Warrant Liability – Public Warrants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17,990,000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35,604,000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 – Private Placement Warrants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15,111,600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17,990,000</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FPA Liability</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4,225,000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w:t>
      </w:r>
    </w:p>
    <w:p>
      <w:pPr>
        <w:spacing w:after="0" w:line="200" w:lineRule="exact"/>
        <w:rPr>
          <w:sz w:val="20"/>
          <w:szCs w:val="20"/>
          <w:color w:val="auto"/>
        </w:rPr>
      </w:pPr>
    </w:p>
    <w:p>
      <w:pPr>
        <w:spacing w:after="0" w:line="22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Warrants are measured at fair value on a recurring basis. The Public Warrants were valued using the instrument’s publicly listed trading price as of the balance sheet date, which is considered to be a Level 1 measurement due to the use of an observable market quote in an active market.</w:t>
      </w:r>
    </w:p>
    <w:p>
      <w:pPr>
        <w:spacing w:after="0" w:line="124"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Private Placement Warrants were valued using a Modified Black Scholes Model, which is considered to be a Level 3 fair value measurement. The primary unobservable input utilized in determining the fair value of the Private Placement Warrants is the expected volatility of our common stock. The expected volatility of the Company’s common stock was determined based on the implied volatility of the Public Warrants and was estimated to be 10% before the expected business combination and 20% after the expected business combination.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720" w:type="dxa"/>
            <w:vAlign w:val="bottom"/>
            <w:gridSpan w:val="4"/>
            <w:vMerge w:val="restart"/>
          </w:tcPr>
          <w:p>
            <w:pPr>
              <w:ind w:left="1240"/>
              <w:spacing w:after="0"/>
              <w:rPr>
                <w:sz w:val="20"/>
                <w:szCs w:val="20"/>
                <w:color w:val="auto"/>
              </w:rPr>
            </w:pPr>
            <w:r>
              <w:rPr>
                <w:rFonts w:ascii="Arial" w:cs="Arial" w:eastAsia="Arial" w:hAnsi="Arial"/>
                <w:sz w:val="14"/>
                <w:szCs w:val="14"/>
                <w:b w:val="1"/>
                <w:bCs w:val="1"/>
                <w:color w:val="auto"/>
              </w:rPr>
              <w:t>Private Placement</w:t>
            </w:r>
          </w:p>
        </w:tc>
        <w:tc>
          <w:tcPr>
            <w:tcW w:w="300" w:type="dxa"/>
            <w:vAlign w:val="bottom"/>
          </w:tcPr>
          <w:p>
            <w:pPr>
              <w:spacing w:after="0"/>
              <w:rPr>
                <w:sz w:val="14"/>
                <w:szCs w:val="14"/>
                <w:color w:val="auto"/>
              </w:rPr>
            </w:pP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Public</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Warrant 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17,990,000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$35,604,000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53,594,000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Change in fair value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(2,878,400)</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(5,589,000)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(8,467,400)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15,111,600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30,015,000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45,126,600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F-47</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period from June 11, 2020 through December 31, 2020 was $34,697,600, when the Public Warrants were separately listed and traded. There were no transfers between levels for the three months ended March 31, 2021.</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FPA liability:</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Private</w:t>
            </w: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Placement</w:t>
            </w: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$ 4,225,000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Change in fair value</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(2,575,000)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$ 1,650,000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980"/>
          </w:cols>
          <w:pgMar w:left="320" w:top="459" w:right="59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Groop Internet Platform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have audited the accompanying consolidated balance sheets of Groop Internet Platform Inc. and subsidiaries (the “Company”) as of December 31, 2020 and 2019, the related consolidated statements of comprehensive loss, changes in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Member of EY Global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18,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39,632</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r>
      <w:tr>
        <w:trPr>
          <w:trHeight w:val="183"/>
        </w:trPr>
        <w:tc>
          <w:tcPr>
            <w:tcW w:w="9060" w:type="dxa"/>
            <w:vAlign w:val="bottom"/>
            <w:gridSpan w:val="3"/>
          </w:tcPr>
          <w:p>
            <w:pPr>
              <w:spacing w:after="0" w:line="182" w:lineRule="exact"/>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20,677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41,349</w:t>
            </w:r>
          </w:p>
        </w:tc>
        <w:tc>
          <w:tcPr>
            <w:tcW w:w="120" w:type="dxa"/>
            <w:vAlign w:val="bottom"/>
          </w:tcPr>
          <w:p>
            <w:pPr>
              <w:spacing w:after="0"/>
              <w:rPr>
                <w:sz w:val="15"/>
                <w:szCs w:val="15"/>
                <w:color w:val="auto"/>
              </w:rPr>
            </w:pPr>
          </w:p>
        </w:tc>
      </w:tr>
      <w:tr>
        <w:trPr>
          <w:trHeight w:val="28"/>
        </w:trPr>
        <w:tc>
          <w:tcPr>
            <w:tcW w:w="3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Restricted long-term bank deposit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issuance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75"/>
        </w:trPr>
        <w:tc>
          <w:tcPr>
            <w:tcW w:w="9060" w:type="dxa"/>
            <w:vAlign w:val="bottom"/>
            <w:gridSpan w:val="3"/>
          </w:tcPr>
          <w:p>
            <w:pPr>
              <w:spacing w:after="0" w:line="176" w:lineRule="exact"/>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5,195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32,873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41,929</w:t>
            </w: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 CONVERTIBLE PREFERRED STOCK AND 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5,340</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3,144</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w:t>
            </w:r>
          </w:p>
        </w:tc>
      </w:tr>
      <w:tr>
        <w:trPr>
          <w:trHeight w:val="183"/>
        </w:trPr>
        <w:tc>
          <w:tcPr>
            <w:tcW w:w="9060" w:type="dxa"/>
            <w:vAlign w:val="bottom"/>
            <w:gridSpan w:val="3"/>
          </w:tcPr>
          <w:p>
            <w:pPr>
              <w:spacing w:after="0" w:line="182" w:lineRule="exact"/>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20,489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10,246</w:t>
            </w:r>
          </w:p>
        </w:tc>
        <w:tc>
          <w:tcPr>
            <w:tcW w:w="120" w:type="dxa"/>
            <w:vAlign w:val="bottom"/>
          </w:tcPr>
          <w:p>
            <w:pPr>
              <w:spacing w:after="0"/>
              <w:rPr>
                <w:sz w:val="15"/>
                <w:szCs w:val="15"/>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gridSpan w:val="3"/>
          </w:tcPr>
          <w:p>
            <w:pPr>
              <w:spacing w:after="0" w:line="201" w:lineRule="exact"/>
              <w:rPr>
                <w:sz w:val="20"/>
                <w:szCs w:val="20"/>
                <w:color w:val="auto"/>
              </w:rPr>
            </w:pPr>
            <w:r>
              <w:rPr>
                <w:rFonts w:ascii="Arial" w:cs="Arial" w:eastAsia="Arial" w:hAnsi="Arial"/>
                <w:sz w:val="18"/>
                <w:szCs w:val="18"/>
                <w:color w:val="auto"/>
                <w:w w:val="95"/>
              </w:rPr>
              <w:t>Convertible preferred stock (Series Seed, Seed-1, Seed-2, A, B, C and D) of 0.001 par value — Authorized: 84,389,164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60" w:type="dxa"/>
            <w:vAlign w:val="bottom"/>
            <w:gridSpan w:val="3"/>
          </w:tcPr>
          <w:p>
            <w:pPr>
              <w:ind w:left="180"/>
              <w:spacing w:after="0"/>
              <w:rPr>
                <w:sz w:val="20"/>
                <w:szCs w:val="20"/>
                <w:color w:val="auto"/>
              </w:rPr>
            </w:pPr>
            <w:r>
              <w:rPr>
                <w:rFonts w:ascii="Arial" w:cs="Arial" w:eastAsia="Arial" w:hAnsi="Arial"/>
                <w:sz w:val="18"/>
                <w:szCs w:val="18"/>
                <w:color w:val="auto"/>
                <w:w w:val="94"/>
              </w:rPr>
              <w:t>shares at December 31, 2020 and 2019; Issued and outstanding: 83,395,815 shares at December 31, 2020 and 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111,282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111,282</w:t>
            </w:r>
          </w:p>
        </w:tc>
      </w:tr>
      <w:tr>
        <w:trPr>
          <w:trHeight w:val="115"/>
        </w:trPr>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3"/>
              </w:rPr>
              <w:t>Common stock of 0.001 par value — Authorized: 114,092,838 shares at December 31, 2020 and 2019, respectively;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11,826,960 and 11,659,645 shares at December 31, 2020 and 2019,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6,808</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(108,788)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(86,418)</w:t>
            </w:r>
          </w:p>
        </w:tc>
      </w:tr>
      <w:tr>
        <w:trPr>
          <w:trHeight w:val="27"/>
        </w:trPr>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75"/>
        </w:trPr>
        <w:tc>
          <w:tcPr>
            <w:tcW w:w="9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8"/>
                <w:szCs w:val="18"/>
                <w:color w:val="auto"/>
              </w:rPr>
              <w:t>(98,898)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2"/>
              </w:rPr>
              <w:t>(79,599)</w:t>
            </w:r>
          </w:p>
        </w:tc>
      </w:tr>
      <w:tr>
        <w:trPr>
          <w:trHeight w:val="20"/>
        </w:trPr>
        <w:tc>
          <w:tcPr>
            <w:tcW w:w="3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9060" w:type="dxa"/>
            <w:vAlign w:val="bottom"/>
            <w:gridSpan w:val="3"/>
          </w:tcPr>
          <w:p>
            <w:pPr>
              <w:spacing w:after="0" w:line="182" w:lineRule="exact"/>
              <w:rPr>
                <w:sz w:val="20"/>
                <w:szCs w:val="20"/>
                <w:color w:val="auto"/>
              </w:rPr>
            </w:pPr>
            <w:r>
              <w:rPr>
                <w:rFonts w:ascii="Arial" w:cs="Arial" w:eastAsia="Arial" w:hAnsi="Arial"/>
                <w:sz w:val="18"/>
                <w:szCs w:val="18"/>
                <w:color w:val="auto"/>
              </w:rPr>
              <w:t>Total liabilities, convertible preferred shares and stockholders’ deficit</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32,873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41,929</w:t>
            </w:r>
          </w:p>
        </w:tc>
        <w:tc>
          <w:tcPr>
            <w:tcW w:w="120" w:type="dxa"/>
            <w:vAlign w:val="bottom"/>
          </w:tcPr>
          <w:p>
            <w:pPr>
              <w:spacing w:after="0"/>
              <w:rPr>
                <w:sz w:val="15"/>
                <w:szCs w:val="15"/>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9"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Year ended</w:t>
      </w:r>
    </w:p>
    <w:p>
      <w:pPr>
        <w:jc w:val="center"/>
        <w:ind w:left="8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360" w:type="dxa"/>
            <w:vAlign w:val="bottom"/>
            <w:tcBorders>
              <w:bottom w:val="single" w:sz="8" w:color="CCEEFF"/>
            </w:tcBorders>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2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26,353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18,042</w:t>
            </w:r>
          </w:p>
        </w:tc>
      </w:tr>
      <w:tr>
        <w:trPr>
          <w:trHeight w:val="27"/>
        </w:trPr>
        <w:tc>
          <w:tcPr>
            <w:tcW w:w="3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20,136</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11,997</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Clinical operations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4,332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4,672</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27,536</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5,359</w:t>
            </w:r>
          </w:p>
        </w:tc>
      </w:tr>
      <w:tr>
        <w:trPr>
          <w:trHeight w:val="27"/>
        </w:trPr>
        <w:tc>
          <w:tcPr>
            <w:tcW w:w="3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76"/>
        </w:trPr>
        <w:tc>
          <w:tcPr>
            <w:tcW w:w="7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71,819</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49,564</w:t>
            </w: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21,982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29,428</w:t>
            </w:r>
          </w:p>
        </w:tc>
        <w:tc>
          <w:tcPr>
            <w:tcW w:w="120" w:type="dxa"/>
            <w:vAlign w:val="bottom"/>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Loss before taxes on income</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120" w:type="dxa"/>
            <w:vAlign w:val="bottom"/>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Weighted average number of common shares used in computing basic and diluted net loss per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11,779,604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11,219,242</w:t>
            </w: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440"/>
        <w:spacing w:after="0" w:line="266" w:lineRule="auto"/>
        <w:rPr>
          <w:sz w:val="20"/>
          <w:szCs w:val="20"/>
          <w:color w:val="auto"/>
        </w:rPr>
      </w:pPr>
      <w:r>
        <w:rPr>
          <w:rFonts w:ascii="Arial" w:cs="Arial" w:eastAsia="Arial" w:hAnsi="Arial"/>
          <w:sz w:val="18"/>
          <w:szCs w:val="18"/>
          <w:b w:val="1"/>
          <w:bCs w:val="1"/>
          <w:color w:val="auto"/>
        </w:rPr>
        <w:t>GROOP INTERNET PLATFORM INC. AND ITS SUBSIDIARIES CONSOLIDATED STATEMENTS OF CHANGES IN STOCKHOLDERS’ DEFICIT U.S. dollars in thousands (except share and per share data)</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8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420" w:type="dxa"/>
            <w:vAlign w:val="bottom"/>
            <w:vMerge w:val="restart"/>
          </w:tcPr>
          <w:p>
            <w:pPr>
              <w:spacing w:after="0"/>
              <w:rPr>
                <w:sz w:val="3"/>
                <w:szCs w:val="3"/>
                <w:color w:val="auto"/>
              </w:rPr>
            </w:pPr>
          </w:p>
        </w:tc>
        <w:tc>
          <w:tcPr>
            <w:tcW w:w="19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20" w:type="dxa"/>
            <w:vAlign w:val="bottom"/>
            <w:vMerge w:val="continue"/>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b w:val="1"/>
                <w:bCs w:val="1"/>
                <w:color w:val="auto"/>
                <w:w w:val="83"/>
              </w:rPr>
              <w:t>Stock</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0"/>
              </w:rPr>
              <w:t>Accumulated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840" w:type="dxa"/>
            <w:vAlign w:val="bottom"/>
            <w:gridSpan w:val="2"/>
            <w:vMerge w:val="continue"/>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14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64,739,841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10,328,080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(54,214)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w w:val="95"/>
              </w:rPr>
              <w:t>Issuance of series D convertible preferred stock, net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 issuance costs</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18,655,963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51,204</w:t>
            </w:r>
          </w:p>
        </w:tc>
        <w:tc>
          <w:tcPr>
            <w:tcW w:w="20" w:type="dxa"/>
            <w:vAlign w:val="bottom"/>
            <w:shd w:val="clear" w:color="auto" w:fill="000000"/>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1,331,565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3,404</w:t>
            </w:r>
          </w:p>
        </w:tc>
        <w:tc>
          <w:tcPr>
            <w:tcW w:w="14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(29,086)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(29,086)</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Balance as of December 31, 2019</w:t>
            </w: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83,395,815</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11,659,645</w:t>
            </w:r>
          </w:p>
        </w:tc>
        <w:tc>
          <w:tcPr>
            <w:tcW w:w="2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(86,418)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(79,599)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167,315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2,977</w:t>
            </w:r>
          </w:p>
        </w:tc>
        <w:tc>
          <w:tcPr>
            <w:tcW w:w="14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(22,370)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(22,370)</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Balance as of December 31, 2020</w:t>
            </w:r>
          </w:p>
        </w:tc>
        <w:tc>
          <w:tcPr>
            <w:tcW w:w="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83,395,815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111,282</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11,826,960</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9,879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(108,788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(98,898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840" w:type="dxa"/>
            <w:vAlign w:val="bottom"/>
            <w:vMerge w:val="restart"/>
          </w:tcPr>
          <w:p>
            <w:pPr>
              <w:ind w:left="260"/>
              <w:spacing w:after="0"/>
              <w:rPr>
                <w:sz w:val="20"/>
                <w:szCs w:val="20"/>
                <w:color w:val="auto"/>
              </w:rPr>
            </w:pPr>
            <w:r>
              <w:rPr>
                <w:rFonts w:ascii="Arial" w:cs="Arial" w:eastAsia="Arial" w:hAnsi="Arial"/>
                <w:sz w:val="18"/>
                <w:szCs w:val="18"/>
                <w:color w:val="auto"/>
              </w:rPr>
              <w:t>Represents an amount lower than $1</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0" w:type="dxa"/>
            <w:vAlign w:val="bottom"/>
            <w:vMerge w:val="continue"/>
          </w:tcPr>
          <w:p>
            <w:pPr>
              <w:spacing w:after="0"/>
              <w:rPr>
                <w:sz w:val="24"/>
                <w:szCs w:val="24"/>
                <w:color w:val="auto"/>
              </w:rPr>
            </w:pPr>
          </w:p>
        </w:tc>
        <w:tc>
          <w:tcPr>
            <w:tcW w:w="3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8"/>
          </w:tcPr>
          <w:p>
            <w:pPr>
              <w:spacing w:after="0"/>
              <w:rPr>
                <w:sz w:val="20"/>
                <w:szCs w:val="20"/>
                <w:color w:val="auto"/>
              </w:rPr>
            </w:pPr>
            <w:r>
              <w:rPr>
                <w:rFonts w:ascii="Arial" w:cs="Arial" w:eastAsia="Arial" w:hAnsi="Arial"/>
                <w:sz w:val="18"/>
                <w:szCs w:val="18"/>
                <w:color w:val="auto"/>
                <w:w w:val="91"/>
              </w:rPr>
              <w:t>The accompanying notes are an integral part of the consolidated financial statements.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Arial" w:cs="Arial" w:eastAsia="Arial" w:hAnsi="Arial"/>
                <w:sz w:val="18"/>
                <w:szCs w:val="18"/>
                <w:color w:val="auto"/>
              </w:rPr>
              <w:t>F-52</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2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76"/>
        </w:trPr>
        <w:tc>
          <w:tcPr>
            <w:tcW w:w="72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Cash flows from operating activities:</w:t>
            </w:r>
          </w:p>
        </w:tc>
        <w:tc>
          <w:tcPr>
            <w:tcW w:w="2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458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$(22,370)</w:t>
            </w:r>
          </w:p>
        </w:tc>
        <w:tc>
          <w:tcPr>
            <w:tcW w:w="8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3"/>
              </w:rPr>
              <w:t>$(29,086)</w:t>
            </w: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2980" w:type="dxa"/>
            <w:vAlign w:val="bottom"/>
            <w:gridSpan w:val="3"/>
          </w:tcPr>
          <w:p>
            <w:pPr>
              <w:jc w:val="right"/>
              <w:ind w:right="320"/>
              <w:spacing w:after="0"/>
              <w:rPr>
                <w:sz w:val="20"/>
                <w:szCs w:val="20"/>
                <w:color w:val="auto"/>
              </w:rPr>
            </w:pPr>
            <w:r>
              <w:rPr>
                <w:rFonts w:ascii="Arial" w:cs="Arial" w:eastAsia="Arial" w:hAnsi="Arial"/>
                <w:sz w:val="18"/>
                <w:szCs w:val="18"/>
                <w:color w:val="auto"/>
              </w:rPr>
              <w:t>379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2,977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3,404</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Increase in accounts receivable</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(5,017)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other current assets</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Increase in accounts payable</w:t>
            </w:r>
          </w:p>
        </w:tc>
        <w:tc>
          <w:tcPr>
            <w:tcW w:w="2980" w:type="dxa"/>
            <w:vAlign w:val="bottom"/>
            <w:gridSpan w:val="3"/>
          </w:tcPr>
          <w:p>
            <w:pPr>
              <w:jc w:val="right"/>
              <w:ind w:right="320"/>
              <w:spacing w:after="0"/>
              <w:rPr>
                <w:sz w:val="20"/>
                <w:szCs w:val="20"/>
                <w:color w:val="auto"/>
              </w:rPr>
            </w:pPr>
            <w:r>
              <w:rPr>
                <w:rFonts w:ascii="Arial" w:cs="Arial" w:eastAsia="Arial" w:hAnsi="Arial"/>
                <w:sz w:val="18"/>
                <w:szCs w:val="18"/>
                <w:color w:val="auto"/>
              </w:rPr>
              <w:t>2,561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3,277</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deferred revenues</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Increase in accrued expenses and other current liabilities</w:t>
            </w:r>
          </w:p>
        </w:tc>
        <w:tc>
          <w:tcPr>
            <w:tcW w:w="20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4,962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(15,175)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(21,192)</w:t>
            </w:r>
          </w:p>
        </w:tc>
      </w:tr>
      <w:tr>
        <w:trPr>
          <w:trHeight w:val="398"/>
        </w:trPr>
        <w:tc>
          <w:tcPr>
            <w:tcW w:w="72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0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Cash paid in connection with acquisition</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(10,685)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Purchase of an intangible asset</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Proceeds from restricted long-term bank deposit</w:t>
            </w:r>
          </w:p>
        </w:tc>
        <w:tc>
          <w:tcPr>
            <w:tcW w:w="20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447</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398"/>
        </w:trPr>
        <w:tc>
          <w:tcPr>
            <w:tcW w:w="724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0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preferred stock, net</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51,204</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0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51,501</w:t>
            </w:r>
          </w:p>
        </w:tc>
      </w:tr>
      <w:tr>
        <w:trPr>
          <w:trHeight w:val="223"/>
        </w:trPr>
        <w:tc>
          <w:tcPr>
            <w:tcW w:w="7240" w:type="dxa"/>
            <w:vAlign w:val="bottom"/>
            <w:gridSpan w:val="3"/>
          </w:tcPr>
          <w:p>
            <w:pPr>
              <w:spacing w:after="0"/>
              <w:rPr>
                <w:sz w:val="20"/>
                <w:szCs w:val="20"/>
                <w:color w:val="auto"/>
              </w:rPr>
            </w:pPr>
            <w:r>
              <w:rPr>
                <w:rFonts w:ascii="Arial" w:cs="Arial" w:eastAsia="Arial" w:hAnsi="Arial"/>
                <w:sz w:val="18"/>
                <w:szCs w:val="18"/>
                <w:color w:val="auto"/>
              </w:rPr>
              <w:t>Increase in cash and cash equivalents</w:t>
            </w:r>
          </w:p>
        </w:tc>
        <w:tc>
          <w:tcPr>
            <w:tcW w:w="20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26,384</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30,171</w:t>
            </w:r>
          </w:p>
        </w:tc>
        <w:tc>
          <w:tcPr>
            <w:tcW w:w="120" w:type="dxa"/>
            <w:vAlign w:val="bottom"/>
          </w:tcPr>
          <w:p>
            <w:pPr>
              <w:spacing w:after="0"/>
              <w:rPr>
                <w:sz w:val="19"/>
                <w:szCs w:val="19"/>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39,632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9,461</w:t>
            </w:r>
          </w:p>
        </w:tc>
      </w:tr>
      <w:tr>
        <w:trPr>
          <w:trHeight w:val="223"/>
        </w:trPr>
        <w:tc>
          <w:tcPr>
            <w:tcW w:w="724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year</w:t>
            </w:r>
          </w:p>
        </w:tc>
        <w:tc>
          <w:tcPr>
            <w:tcW w:w="20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$ 13,248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$ 39,632</w:t>
            </w:r>
          </w:p>
        </w:tc>
        <w:tc>
          <w:tcPr>
            <w:tcW w:w="12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Deferred issuance cost on credit</w:t>
            </w:r>
          </w:p>
        </w:tc>
        <w:tc>
          <w:tcPr>
            <w:tcW w:w="2980" w:type="dxa"/>
            <w:vAlign w:val="bottom"/>
            <w:gridSpan w:val="3"/>
          </w:tcPr>
          <w:p>
            <w:pPr>
              <w:jc w:val="right"/>
              <w:ind w:right="320"/>
              <w:spacing w:after="0"/>
              <w:rPr>
                <w:sz w:val="20"/>
                <w:szCs w:val="20"/>
                <w:color w:val="auto"/>
              </w:rPr>
            </w:pPr>
            <w:r>
              <w:rPr>
                <w:rFonts w:ascii="Arial" w:cs="Arial" w:eastAsia="Arial" w:hAnsi="Arial"/>
                <w:sz w:val="18"/>
                <w:szCs w:val="18"/>
                <w:color w:val="auto"/>
              </w:rPr>
              <w:t>692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135" w:lineRule="exact"/>
        <w:rPr>
          <w:sz w:val="20"/>
          <w:szCs w:val="20"/>
          <w:color w:val="auto"/>
        </w:rPr>
      </w:pPr>
    </w:p>
    <w:p>
      <w:pPr>
        <w:ind w:left="1860" w:right="220" w:hanging="543"/>
        <w:spacing w:after="0" w:line="257" w:lineRule="auto"/>
        <w:tabs>
          <w:tab w:leader="none" w:pos="18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Groop Internet Platform Inc. was incorporated in 2011 and its wholly owned subsidiaries Groop Internet Platform Ltd and Talkspace LLC (Groop Internet Platform Inc together with its subsidiaries, (the “Company”) is engaged in the operation of a virtual behavioral healthcare business that provides individuals and licensed therapists, psychologists and psychiatrists (“therapists”) with an online platform for one-on-one therapy delivered via messaging, audio and video using the brand name Talkspace.</w:t>
      </w:r>
    </w:p>
    <w:p>
      <w:pPr>
        <w:spacing w:after="0" w:line="93" w:lineRule="exact"/>
        <w:rPr>
          <w:rFonts w:ascii="Arial" w:cs="Arial" w:eastAsia="Arial" w:hAnsi="Arial"/>
          <w:sz w:val="18"/>
          <w:szCs w:val="18"/>
          <w:color w:val="auto"/>
        </w:rPr>
      </w:pPr>
    </w:p>
    <w:p>
      <w:pPr>
        <w:ind w:left="1860" w:hanging="543"/>
        <w:spacing w:after="0" w:line="286" w:lineRule="auto"/>
        <w:tabs>
          <w:tab w:leader="none" w:pos="18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Over the past several years, the Company has devoted substantially most of its effort to research and development, product development and increasing revenues through additional investments in sales and marketing. The Company generated a loss of $22,370 and negative cash flow of $15,175 from operating activities in the twelve-month period ended December 31, 2020 and has an accumulated deficit of $108,788 as of December 31, 2020. The Company is planning to finance its operations from its existing and future working capital resources and to continue to evaluate additional sources of capital and financing. However, there is no assurance that additional capital and/or financing will be available to the Company, and even if available, whether it will be on terms acceptable to the Company or in amounts required. Accordingly, the Company’s Board approved a contingency plan, to be effected if needed, in whole or in part, at management’s sole discretion, to allow the Company to continue its operations and meet its cash obligations. The contingency plan consists of cost reduction, which include mainly the following steps: reduction in marketing expenses, headcount, compensation paid to key management personnel and capital expenditures. The Company and the Board believe that its existing capital resources will be adequate to satisfy its expected liquidity requirements for at least twelve months from the filing date. Subsequent to December 31, 2020, the Company entered into a credit and security line agreement to provide it additional liquidity options. Refer to Note 12b.</w:t>
      </w:r>
    </w:p>
    <w:p>
      <w:pPr>
        <w:spacing w:after="0" w:line="79" w:lineRule="exact"/>
        <w:rPr>
          <w:rFonts w:ascii="Arial" w:cs="Arial" w:eastAsia="Arial" w:hAnsi="Arial"/>
          <w:sz w:val="16"/>
          <w:szCs w:val="16"/>
          <w:color w:val="auto"/>
        </w:rPr>
      </w:pPr>
    </w:p>
    <w:p>
      <w:pPr>
        <w:ind w:left="1860" w:right="460" w:hanging="543"/>
        <w:spacing w:after="0" w:line="277" w:lineRule="auto"/>
        <w:tabs>
          <w:tab w:leader="none" w:pos="18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operates in one operating segment and substantially all of its revenues derive from customers located in the United States.</w:t>
      </w:r>
    </w:p>
    <w:p>
      <w:pPr>
        <w:spacing w:after="0" w:line="75" w:lineRule="exact"/>
        <w:rPr>
          <w:rFonts w:ascii="Arial" w:cs="Arial" w:eastAsia="Arial" w:hAnsi="Arial"/>
          <w:sz w:val="18"/>
          <w:szCs w:val="18"/>
          <w:color w:val="auto"/>
        </w:rPr>
      </w:pPr>
    </w:p>
    <w:p>
      <w:pPr>
        <w:ind w:left="1860" w:right="40" w:hanging="543"/>
        <w:spacing w:after="0" w:line="254" w:lineRule="auto"/>
        <w:tabs>
          <w:tab w:leader="none" w:pos="18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The Company has followed guidance by the United States, Israeli and other applicable foreign and local governments to protect its employees and operations during the pandemic and has implemented a remote environment for its business. The Company cannot predict the potential impacts of the COVID-19 pandemic on its business or operations, but continuously monitors performance and other industry reports to assess the risk of future negative impacts as the disruptions of the COVID-19 pandemic continue to evolve.</w:t>
      </w:r>
    </w:p>
    <w:p>
      <w:pPr>
        <w:spacing w:after="0" w:line="33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consolidated financial statements have been prepared in accordance with generally accepted accounting principles in the U.S.</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 GAAP”).</w:t>
      </w:r>
    </w:p>
    <w:p>
      <w:pPr>
        <w:spacing w:after="0" w:line="116" w:lineRule="exact"/>
        <w:rPr>
          <w:sz w:val="20"/>
          <w:szCs w:val="20"/>
          <w:color w:val="auto"/>
        </w:rPr>
      </w:pPr>
    </w:p>
    <w:p>
      <w:pPr>
        <w:ind w:left="1860" w:hanging="543"/>
        <w:spacing w:after="0"/>
        <w:tabs>
          <w:tab w:leader="none" w:pos="18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1880" w:right="8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financial statements, and the reported amounts of revenue and expenses during the reporting periods. Actual results could differ from those estimates.</w:t>
      </w:r>
    </w:p>
    <w:p>
      <w:pPr>
        <w:spacing w:after="0" w:line="76" w:lineRule="exact"/>
        <w:rPr>
          <w:sz w:val="20"/>
          <w:szCs w:val="20"/>
          <w:color w:val="auto"/>
        </w:rPr>
      </w:pPr>
    </w:p>
    <w:p>
      <w:pPr>
        <w:ind w:left="1860" w:hanging="543"/>
        <w:spacing w:after="0"/>
        <w:tabs>
          <w:tab w:leader="none" w:pos="18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17" w:lineRule="exact"/>
        <w:rPr>
          <w:sz w:val="20"/>
          <w:szCs w:val="20"/>
          <w:color w:val="auto"/>
        </w:rPr>
      </w:pPr>
    </w:p>
    <w:p>
      <w:pPr>
        <w:ind w:left="1880" w:right="20"/>
        <w:spacing w:after="0" w:line="263" w:lineRule="auto"/>
        <w:rPr>
          <w:sz w:val="20"/>
          <w:szCs w:val="20"/>
          <w:color w:val="auto"/>
        </w:rPr>
      </w:pPr>
      <w:r>
        <w:rPr>
          <w:rFonts w:ascii="Arial" w:cs="Arial" w:eastAsia="Arial" w:hAnsi="Arial"/>
          <w:sz w:val="18"/>
          <w:szCs w:val="18"/>
          <w:color w:val="auto"/>
        </w:rPr>
        <w:t>Most of the Company’s revenues and costs are denominated in United States dollar (“dollar”). The Company’s management believes that the dollar is the primary currency of the economic environment in which the Company and each of its subsidiaries operate. Thus, the dollar is the Company’s functional and reporting currency.</w:t>
      </w:r>
    </w:p>
    <w:p>
      <w:pPr>
        <w:spacing w:after="0" w:line="76" w:lineRule="exact"/>
        <w:rPr>
          <w:sz w:val="20"/>
          <w:szCs w:val="20"/>
          <w:color w:val="auto"/>
        </w:rPr>
      </w:pPr>
    </w:p>
    <w:p>
      <w:pPr>
        <w:ind w:left="1880"/>
        <w:spacing w:after="0" w:line="259" w:lineRule="auto"/>
        <w:rPr>
          <w:sz w:val="20"/>
          <w:szCs w:val="20"/>
          <w:color w:val="auto"/>
        </w:rPr>
      </w:pPr>
      <w:r>
        <w:rPr>
          <w:rFonts w:ascii="Arial" w:cs="Arial" w:eastAsia="Arial" w:hAnsi="Arial"/>
          <w:sz w:val="18"/>
          <w:szCs w:val="18"/>
          <w:color w:val="auto"/>
        </w:rPr>
        <w:t>Accordingly, non-dollar denominated transactions and balances have been re-measured into the functional currency in accordance with Accounting Standard Codification (“ASC”) 830, “Foreign Currency Matters”. All transaction gains and losses from the re-measured monetary balance sheet items are reflected in the statements of comprehensive loss as financial income or expenses, as appropriate.</w:t>
      </w:r>
    </w:p>
    <w:p>
      <w:pPr>
        <w:spacing w:after="0" w:line="92" w:lineRule="exact"/>
        <w:rPr>
          <w:sz w:val="20"/>
          <w:szCs w:val="20"/>
          <w:color w:val="auto"/>
        </w:rPr>
      </w:pPr>
    </w:p>
    <w:p>
      <w:pPr>
        <w:ind w:left="1860" w:hanging="543"/>
        <w:spacing w:after="0"/>
        <w:tabs>
          <w:tab w:leader="none" w:pos="18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117" w:lineRule="exact"/>
        <w:rPr>
          <w:sz w:val="20"/>
          <w:szCs w:val="20"/>
          <w:color w:val="auto"/>
        </w:rPr>
      </w:pPr>
    </w:p>
    <w:p>
      <w:pPr>
        <w:ind w:left="1880" w:right="180"/>
        <w:spacing w:after="0" w:line="277" w:lineRule="auto"/>
        <w:rPr>
          <w:sz w:val="20"/>
          <w:szCs w:val="20"/>
          <w:color w:val="auto"/>
        </w:rPr>
      </w:pPr>
      <w:r>
        <w:rPr>
          <w:rFonts w:ascii="Arial" w:cs="Arial" w:eastAsia="Arial" w:hAnsi="Arial"/>
          <w:sz w:val="18"/>
          <w:szCs w:val="18"/>
          <w:color w:val="auto"/>
        </w:rPr>
        <w:t>The consolidated financial statements include the accounts of Groop Internet Platform Inc. and its subsidiaries. Intercompany transactions and balances have been eliminated upon consolidation.</w:t>
      </w:r>
    </w:p>
    <w:p>
      <w:pPr>
        <w:spacing w:after="0" w:line="76" w:lineRule="exact"/>
        <w:rPr>
          <w:sz w:val="20"/>
          <w:szCs w:val="20"/>
          <w:color w:val="auto"/>
        </w:rPr>
      </w:pPr>
    </w:p>
    <w:p>
      <w:pPr>
        <w:ind w:left="1860" w:hanging="543"/>
        <w:spacing w:after="0"/>
        <w:tabs>
          <w:tab w:leader="none" w:pos="1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1880" w:right="340"/>
        <w:spacing w:after="0" w:line="277" w:lineRule="auto"/>
        <w:rPr>
          <w:sz w:val="20"/>
          <w:szCs w:val="20"/>
          <w:color w:val="auto"/>
        </w:rPr>
      </w:pPr>
      <w:r>
        <w:rPr>
          <w:rFonts w:ascii="Arial" w:cs="Arial" w:eastAsia="Arial" w:hAnsi="Arial"/>
          <w:sz w:val="18"/>
          <w:szCs w:val="18"/>
          <w:color w:val="auto"/>
        </w:rPr>
        <w:t>Cash equivalents are short-term unrestricted highly liquid investments that are readily convertible to cash and with original maturities of three months or less at acquisition.</w:t>
      </w:r>
    </w:p>
    <w:p>
      <w:pPr>
        <w:spacing w:after="0" w:line="76" w:lineRule="exact"/>
        <w:rPr>
          <w:sz w:val="20"/>
          <w:szCs w:val="20"/>
          <w:color w:val="auto"/>
        </w:rPr>
      </w:pPr>
    </w:p>
    <w:p>
      <w:pPr>
        <w:ind w:left="1860" w:hanging="543"/>
        <w:spacing w:after="0"/>
        <w:tabs>
          <w:tab w:leader="none" w:pos="1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Restricted long-term bank deposit:</w:t>
      </w:r>
    </w:p>
    <w:p>
      <w:pPr>
        <w:spacing w:after="0" w:line="117"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Restricted long-term bank deposit with maturities of more than one year represents a deposit for an office lease. Such deposit is stated at cost which approximates fair value.</w:t>
      </w:r>
    </w:p>
    <w:p>
      <w:pPr>
        <w:spacing w:after="0" w:line="76" w:lineRule="exact"/>
        <w:rPr>
          <w:sz w:val="20"/>
          <w:szCs w:val="20"/>
          <w:color w:val="auto"/>
        </w:rPr>
      </w:pPr>
    </w:p>
    <w:p>
      <w:pPr>
        <w:ind w:left="1860" w:hanging="543"/>
        <w:spacing w:after="0"/>
        <w:tabs>
          <w:tab w:leader="none" w:pos="18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left="1880" w:right="26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33</w:t>
            </w:r>
          </w:p>
        </w:tc>
        <w:tc>
          <w:tcPr>
            <w:tcW w:w="60" w:type="dxa"/>
            <w:vAlign w:val="bottom"/>
            <w:shd w:val="clear" w:color="auto" w:fill="CCEEFF"/>
          </w:tcPr>
          <w:p>
            <w:pPr>
              <w:spacing w:after="0"/>
              <w:rPr>
                <w:sz w:val="18"/>
                <w:szCs w:val="18"/>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Electronic equipment</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15</w:t>
            </w:r>
          </w:p>
        </w:tc>
      </w:tr>
    </w:tbl>
    <w:p>
      <w:pPr>
        <w:spacing w:after="0" w:line="93" w:lineRule="exact"/>
        <w:rPr>
          <w:sz w:val="20"/>
          <w:szCs w:val="20"/>
          <w:color w:val="auto"/>
        </w:rPr>
      </w:pPr>
    </w:p>
    <w:p>
      <w:pPr>
        <w:ind w:left="1860" w:hanging="543"/>
        <w:spacing w:after="0"/>
        <w:tabs>
          <w:tab w:leader="none" w:pos="18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Business combination:</w:t>
      </w:r>
    </w:p>
    <w:p>
      <w:pPr>
        <w:spacing w:after="0" w:line="117" w:lineRule="exact"/>
        <w:rPr>
          <w:sz w:val="20"/>
          <w:szCs w:val="20"/>
          <w:color w:val="auto"/>
        </w:rPr>
      </w:pPr>
    </w:p>
    <w:p>
      <w:pPr>
        <w:ind w:left="1880" w:right="40"/>
        <w:spacing w:after="0" w:line="255" w:lineRule="auto"/>
        <w:rPr>
          <w:sz w:val="20"/>
          <w:szCs w:val="20"/>
          <w:color w:val="auto"/>
        </w:rPr>
      </w:pPr>
      <w:r>
        <w:rPr>
          <w:rFonts w:ascii="Arial" w:cs="Arial" w:eastAsia="Arial" w:hAnsi="Arial"/>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98" w:lineRule="exact"/>
        <w:rPr>
          <w:sz w:val="20"/>
          <w:szCs w:val="20"/>
          <w:color w:val="auto"/>
        </w:rPr>
      </w:pPr>
    </w:p>
    <w:p>
      <w:pPr>
        <w:ind w:left="1860" w:hanging="543"/>
        <w:spacing w:after="0"/>
        <w:tabs>
          <w:tab w:leader="none" w:pos="18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117" w:lineRule="exact"/>
        <w:rPr>
          <w:sz w:val="20"/>
          <w:szCs w:val="20"/>
          <w:color w:val="auto"/>
        </w:rPr>
      </w:pPr>
    </w:p>
    <w:p>
      <w:pPr>
        <w:ind w:left="1880" w:right="180"/>
        <w:spacing w:after="0" w:line="286" w:lineRule="auto"/>
        <w:rPr>
          <w:sz w:val="20"/>
          <w:szCs w:val="20"/>
          <w:color w:val="auto"/>
        </w:rPr>
      </w:pPr>
      <w:r>
        <w:rPr>
          <w:rFonts w:ascii="Arial" w:cs="Arial" w:eastAsia="Arial" w:hAnsi="Arial"/>
          <w:sz w:val="17"/>
          <w:szCs w:val="17"/>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tested for impairment at least on an annual basis, in the fourth quarter of the fiscal year.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80"/>
          </w:cols>
          <w:pgMar w:left="320" w:top="459" w:right="49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goodwill impairment test is performed according to the following principles:</w:t>
      </w:r>
    </w:p>
    <w:p>
      <w:pPr>
        <w:spacing w:after="0" w:line="131" w:lineRule="exact"/>
        <w:rPr>
          <w:sz w:val="20"/>
          <w:szCs w:val="20"/>
          <w:color w:val="auto"/>
        </w:rPr>
      </w:pPr>
    </w:p>
    <w:p>
      <w:pPr>
        <w:ind w:left="2520" w:right="20" w:hanging="433"/>
        <w:spacing w:after="0" w:line="277" w:lineRule="auto"/>
        <w:tabs>
          <w:tab w:leader="none" w:pos="25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 initial qualitative assessment may be performed to determine whether it is more likely than not that the fair value of the reporting unit is less than its carrying amount.</w:t>
      </w:r>
    </w:p>
    <w:p>
      <w:pPr>
        <w:spacing w:after="0" w:line="75" w:lineRule="exact"/>
        <w:rPr>
          <w:rFonts w:ascii="Arial" w:cs="Arial" w:eastAsia="Arial" w:hAnsi="Arial"/>
          <w:sz w:val="18"/>
          <w:szCs w:val="18"/>
          <w:color w:val="auto"/>
        </w:rPr>
      </w:pPr>
    </w:p>
    <w:p>
      <w:pPr>
        <w:ind w:left="2520" w:right="80" w:hanging="433"/>
        <w:spacing w:after="0" w:line="263" w:lineRule="auto"/>
        <w:tabs>
          <w:tab w:leader="none" w:pos="25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the Company concludes it is more likely than not that the fair value of the reporting unit is less than its carrying mount, a quantitative fair value test is performed. An impairment charge for the amount by which the carrying amount exceeds the reporting unit’s fair value is recognized.</w:t>
      </w:r>
    </w:p>
    <w:p>
      <w:pPr>
        <w:spacing w:after="0" w:line="7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Company has not recorded any impairment charges of goodwill during the year ended December 31, 2020.</w:t>
      </w:r>
    </w:p>
    <w:p>
      <w:pPr>
        <w:spacing w:after="0" w:line="117" w:lineRule="exact"/>
        <w:rPr>
          <w:sz w:val="20"/>
          <w:szCs w:val="20"/>
          <w:color w:val="auto"/>
        </w:rPr>
      </w:pPr>
    </w:p>
    <w:p>
      <w:pPr>
        <w:ind w:left="1880" w:right="160"/>
        <w:spacing w:after="0" w:line="275" w:lineRule="auto"/>
        <w:rPr>
          <w:sz w:val="20"/>
          <w:szCs w:val="20"/>
          <w:color w:val="auto"/>
        </w:rPr>
      </w:pPr>
      <w:r>
        <w:rPr>
          <w:rFonts w:ascii="Arial" w:cs="Arial" w:eastAsia="Arial" w:hAnsi="Arial"/>
          <w:sz w:val="17"/>
          <w:szCs w:val="17"/>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or depreciated over the revised estimated useful life (see Note 4).</w:t>
      </w:r>
    </w:p>
    <w:p>
      <w:pPr>
        <w:spacing w:after="0" w:line="82" w:lineRule="exact"/>
        <w:rPr>
          <w:sz w:val="20"/>
          <w:szCs w:val="20"/>
          <w:color w:val="auto"/>
        </w:rPr>
      </w:pPr>
    </w:p>
    <w:p>
      <w:pPr>
        <w:ind w:left="1860" w:hanging="543"/>
        <w:spacing w:after="0"/>
        <w:tabs>
          <w:tab w:leader="none" w:pos="18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117" w:lineRule="exact"/>
        <w:rPr>
          <w:sz w:val="20"/>
          <w:szCs w:val="20"/>
          <w:color w:val="auto"/>
        </w:rPr>
      </w:pPr>
    </w:p>
    <w:p>
      <w:pPr>
        <w:ind w:left="1880" w:right="20"/>
        <w:spacing w:after="0" w:line="254" w:lineRule="auto"/>
        <w:rPr>
          <w:sz w:val="20"/>
          <w:szCs w:val="20"/>
          <w:color w:val="auto"/>
        </w:rPr>
      </w:pPr>
      <w:r>
        <w:rPr>
          <w:rFonts w:ascii="Arial" w:cs="Arial" w:eastAsia="Arial" w:hAnsi="Arial"/>
          <w:sz w:val="18"/>
          <w:szCs w:val="18"/>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December 31, 2020 and 2019, no impairment losses were recorded.</w:t>
      </w:r>
    </w:p>
    <w:p>
      <w:pPr>
        <w:spacing w:after="0" w:line="100" w:lineRule="exact"/>
        <w:rPr>
          <w:sz w:val="20"/>
          <w:szCs w:val="20"/>
          <w:color w:val="auto"/>
        </w:rPr>
      </w:pPr>
    </w:p>
    <w:p>
      <w:pPr>
        <w:ind w:left="1860" w:hanging="543"/>
        <w:spacing w:after="0"/>
        <w:tabs>
          <w:tab w:leader="none" w:pos="18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The Company recognizes revenues in accordance with ASC 606, “Revenue from Contracts with Customers”.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79" w:lineRule="exact"/>
        <w:rPr>
          <w:sz w:val="20"/>
          <w:szCs w:val="20"/>
          <w:color w:val="auto"/>
        </w:rPr>
      </w:pPr>
    </w:p>
    <w:p>
      <w:pPr>
        <w:ind w:left="1880"/>
        <w:spacing w:after="0" w:line="257" w:lineRule="auto"/>
        <w:rPr>
          <w:sz w:val="20"/>
          <w:szCs w:val="20"/>
          <w:color w:val="auto"/>
        </w:rPr>
      </w:pPr>
      <w:r>
        <w:rPr>
          <w:rFonts w:ascii="Arial" w:cs="Arial" w:eastAsia="Arial" w:hAnsi="Arial"/>
          <w:sz w:val="18"/>
          <w:szCs w:val="18"/>
          <w:color w:val="auto"/>
        </w:rPr>
        <w:t>A contract with a customer exists only when the parties to the contract have approved it and are committed to perform their respective obligations, the Company can identify each party’s rights regarding the distinct services to be transferred (“performance obligations”), the Company can determine the transaction price for the services to be transferred, the contract has commercial substance and it is probable that the Company will collect the consideration to which it will be entitled in exchange for the services that will be transferred to the customer.</w:t>
      </w:r>
    </w:p>
    <w:p>
      <w:pPr>
        <w:spacing w:after="0" w:line="80" w:lineRule="exact"/>
        <w:rPr>
          <w:sz w:val="20"/>
          <w:szCs w:val="20"/>
          <w:color w:val="auto"/>
        </w:rPr>
      </w:pPr>
    </w:p>
    <w:p>
      <w:pPr>
        <w:ind w:left="1880" w:right="280"/>
        <w:spacing w:after="0" w:line="286" w:lineRule="auto"/>
        <w:rPr>
          <w:sz w:val="20"/>
          <w:szCs w:val="20"/>
          <w:color w:val="auto"/>
        </w:rPr>
      </w:pPr>
      <w:r>
        <w:rPr>
          <w:rFonts w:ascii="Arial" w:cs="Arial" w:eastAsia="Arial" w:hAnsi="Arial"/>
          <w:sz w:val="17"/>
          <w:szCs w:val="17"/>
          <w:color w:val="auto"/>
        </w:rPr>
        <w:t>The Company is operating a virtual behavioral healthcare business that connects individuals and licensed therapists, psychologists and psychiatrists (“therapists”) with an online platform for one-on-one therapy delivered via messaging, audio and video. Individuals access the Company’s services through the Company’s website or mobile app.</w:t>
      </w:r>
    </w:p>
    <w:p>
      <w:pPr>
        <w:spacing w:after="0" w:line="57" w:lineRule="exact"/>
        <w:rPr>
          <w:sz w:val="20"/>
          <w:szCs w:val="20"/>
          <w:color w:val="auto"/>
        </w:rPr>
      </w:pPr>
    </w:p>
    <w:p>
      <w:pPr>
        <w:ind w:left="1880" w:right="140"/>
        <w:spacing w:after="0" w:line="263" w:lineRule="auto"/>
        <w:rPr>
          <w:sz w:val="20"/>
          <w:szCs w:val="20"/>
          <w:color w:val="auto"/>
        </w:rPr>
      </w:pPr>
      <w:r>
        <w:rPr>
          <w:rFonts w:ascii="Arial" w:cs="Arial" w:eastAsia="Arial" w:hAnsi="Arial"/>
          <w:sz w:val="18"/>
          <w:szCs w:val="18"/>
          <w:color w:val="auto"/>
        </w:rPr>
        <w:t>Revenues are recognized when the Company satisfies its performance obligation to perform its defined contractual obligations to provide virtual behavioral healthcare services. Revenue is recognized in an amount that reflects the consideration that is expected in exchange for the service rendered.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The Company provides its services directly to individuals, enterprises and health insurance organizations. Subscription fees that derived from individuals are prepaid and recognized as services over the subscription period.</w:t>
      </w:r>
    </w:p>
    <w:p>
      <w:pPr>
        <w:spacing w:after="0" w:line="62" w:lineRule="exact"/>
        <w:rPr>
          <w:sz w:val="20"/>
          <w:szCs w:val="20"/>
          <w:color w:val="auto"/>
        </w:rPr>
      </w:pPr>
    </w:p>
    <w:p>
      <w:pPr>
        <w:ind w:left="1880" w:right="40"/>
        <w:spacing w:after="0" w:line="342" w:lineRule="auto"/>
        <w:rPr>
          <w:sz w:val="20"/>
          <w:szCs w:val="20"/>
          <w:color w:val="auto"/>
        </w:rPr>
      </w:pPr>
      <w:r>
        <w:rPr>
          <w:rFonts w:ascii="Arial" w:cs="Arial" w:eastAsia="Arial" w:hAnsi="Arial"/>
          <w:sz w:val="16"/>
          <w:szCs w:val="16"/>
          <w:color w:val="auto"/>
        </w:rPr>
        <w:t>The Company contracts with enterprises to provide access to its therapist platform for their employees, based on a per-member-per-month access fee model. Revenues from access fees are recognized ratably over the contractual term period.</w:t>
      </w:r>
    </w:p>
    <w:p>
      <w:pPr>
        <w:spacing w:after="0" w:line="16" w:lineRule="exact"/>
        <w:rPr>
          <w:sz w:val="20"/>
          <w:szCs w:val="20"/>
          <w:color w:val="auto"/>
        </w:rPr>
      </w:pPr>
    </w:p>
    <w:p>
      <w:pPr>
        <w:ind w:left="1880" w:right="660"/>
        <w:spacing w:after="0" w:line="277" w:lineRule="auto"/>
        <w:rPr>
          <w:sz w:val="20"/>
          <w:szCs w:val="20"/>
          <w:color w:val="auto"/>
        </w:rPr>
      </w:pPr>
      <w:r>
        <w:rPr>
          <w:rFonts w:ascii="Arial" w:cs="Arial" w:eastAsia="Arial" w:hAnsi="Arial"/>
          <w:sz w:val="18"/>
          <w:szCs w:val="18"/>
          <w:color w:val="auto"/>
        </w:rPr>
        <w:t>The Company also contracts with health insurance organizations to provide its therapy services to their eligible insured members. Revenue is recognized at a point in time, as virtual therapy session is rendered.</w:t>
      </w:r>
    </w:p>
    <w:p>
      <w:pPr>
        <w:spacing w:after="0" w:line="62"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The Company elected to use the practical expedient and recognize the incremental costs of obtaining contracts as an expense since the amortization period of the assets that the Company otherwise would have recognized is one year or less. Similarly, the Company does not disclose the value of unsatisfied performance obligations since the original expected duration of the contracts is one year or less.</w:t>
      </w:r>
    </w:p>
    <w:p>
      <w:pPr>
        <w:spacing w:after="0" w:line="79" w:lineRule="exact"/>
        <w:rPr>
          <w:sz w:val="20"/>
          <w:szCs w:val="20"/>
          <w:color w:val="auto"/>
        </w:rPr>
      </w:pPr>
    </w:p>
    <w:p>
      <w:pPr>
        <w:ind w:left="1880"/>
        <w:spacing w:after="0" w:line="255" w:lineRule="auto"/>
        <w:rPr>
          <w:sz w:val="20"/>
          <w:szCs w:val="20"/>
          <w:color w:val="auto"/>
        </w:rPr>
      </w:pPr>
      <w:r>
        <w:rPr>
          <w:rFonts w:ascii="Arial" w:cs="Arial" w:eastAsia="Arial" w:hAnsi="Arial"/>
          <w:sz w:val="18"/>
          <w:szCs w:val="18"/>
          <w:color w:val="auto"/>
        </w:rPr>
        <w:t>The Company records contract liabilities as deferred revenues, when it receives payments from customers before performance obligations have been performed and satisfied. The Company recognizes deferred revenues as revenues in the comprehensive loss statement once performance obligations have been performed and satisfied. The balance of deferred revenues approximates the aggregate amount of the transaction price allocated to the unsatisfied performance obligations at the end of reporting period. The Company anticipates that it will satisfy all of its performance obligation associated with the deferred revenue within the prospective fiscal year.</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244"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880" w:type="dxa"/>
        <w:tblCellMar>
          <w:top w:w="0" w:type="dxa"/>
          <w:left w:w="0" w:type="dxa"/>
          <w:bottom w:w="0" w:type="dxa"/>
          <w:right w:w="0" w:type="dxa"/>
        </w:tblCellMar>
      </w:tblPr>
      <w:tr>
        <w:trPr>
          <w:trHeight w:val="142"/>
        </w:trPr>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 from sales to unaffiliated customers:</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Consumers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$ 61,586</w:t>
            </w:r>
          </w:p>
        </w:tc>
        <w:tc>
          <w:tcPr>
            <w:tcW w:w="4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$ 35,438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14,604</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2,740</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$ 76,190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$ 38,178</w:t>
            </w: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60" w:hanging="543"/>
        <w:spacing w:after="0"/>
        <w:tabs>
          <w:tab w:leader="none" w:pos="18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Cost of revenues consists of therapist payments and costs for cloud-based hosting and managing.</w:t>
      </w:r>
    </w:p>
    <w:p>
      <w:pPr>
        <w:spacing w:after="0" w:line="131" w:lineRule="exact"/>
        <w:rPr>
          <w:sz w:val="20"/>
          <w:szCs w:val="20"/>
          <w:color w:val="auto"/>
        </w:rPr>
      </w:pPr>
    </w:p>
    <w:p>
      <w:pPr>
        <w:ind w:left="1860" w:hanging="543"/>
        <w:spacing w:after="0"/>
        <w:tabs>
          <w:tab w:leader="none" w:pos="18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sz w:val="20"/>
          <w:szCs w:val="20"/>
          <w:color w:val="auto"/>
        </w:rPr>
      </w:pPr>
    </w:p>
    <w:p>
      <w:pPr>
        <w:ind w:left="1880" w:right="220"/>
        <w:spacing w:after="0" w:line="342" w:lineRule="auto"/>
        <w:rPr>
          <w:sz w:val="20"/>
          <w:szCs w:val="20"/>
          <w:color w:val="auto"/>
        </w:rPr>
      </w:pPr>
      <w:r>
        <w:rPr>
          <w:rFonts w:ascii="Arial" w:cs="Arial" w:eastAsia="Arial" w:hAnsi="Arial"/>
          <w:sz w:val="16"/>
          <w:szCs w:val="16"/>
          <w:color w:val="auto"/>
        </w:rPr>
        <w:t>Research and development expenses are primarily the costs of the Company’s research and development personnel and other platform development related expenses. Research and development expenses are charged to expenses as incurred.</w:t>
      </w:r>
    </w:p>
    <w:p>
      <w:pPr>
        <w:spacing w:after="0" w:line="16"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Software development expenses also include costs to develop software to be used solely to meet internal needs and applications used to deliver our services. These software development costs meet the criteria for capitalization once the preliminary project stage is complete and it is probable that the project will be completed and the software will be used to perform the function intended.</w:t>
      </w:r>
    </w:p>
    <w:p>
      <w:pPr>
        <w:spacing w:after="0" w:line="7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Development costs that meet the criteria for capitalization were not material to date.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60" w:hanging="543"/>
        <w:spacing w:after="0"/>
        <w:tabs>
          <w:tab w:leader="none" w:pos="18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Clinical operations expenses:</w:t>
      </w:r>
    </w:p>
    <w:p>
      <w:pPr>
        <w:spacing w:after="0" w:line="117" w:lineRule="exact"/>
        <w:rPr>
          <w:sz w:val="20"/>
          <w:szCs w:val="20"/>
          <w:color w:val="auto"/>
        </w:rPr>
      </w:pPr>
    </w:p>
    <w:p>
      <w:pPr>
        <w:ind w:left="1880" w:right="640"/>
        <w:spacing w:after="0" w:line="342" w:lineRule="auto"/>
        <w:rPr>
          <w:sz w:val="20"/>
          <w:szCs w:val="20"/>
          <w:color w:val="auto"/>
        </w:rPr>
      </w:pPr>
      <w:r>
        <w:rPr>
          <w:rFonts w:ascii="Arial" w:cs="Arial" w:eastAsia="Arial" w:hAnsi="Arial"/>
          <w:sz w:val="16"/>
          <w:szCs w:val="16"/>
          <w:color w:val="auto"/>
        </w:rPr>
        <w:t>Clinical operations expenses are associated with the Company’s network of therapists, such costs consist of recruiting, credentialing, onboarding, training, and performing ongoing quality assurance activities on the platform.</w:t>
      </w:r>
    </w:p>
    <w:p>
      <w:pPr>
        <w:spacing w:after="0" w:line="29" w:lineRule="exact"/>
        <w:rPr>
          <w:sz w:val="20"/>
          <w:szCs w:val="20"/>
          <w:color w:val="auto"/>
        </w:rPr>
      </w:pPr>
    </w:p>
    <w:p>
      <w:pPr>
        <w:ind w:left="1860" w:hanging="543"/>
        <w:spacing w:after="0"/>
        <w:tabs>
          <w:tab w:leader="none" w:pos="18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117" w:lineRule="exact"/>
        <w:rPr>
          <w:sz w:val="20"/>
          <w:szCs w:val="20"/>
          <w:color w:val="auto"/>
        </w:rPr>
      </w:pPr>
    </w:p>
    <w:p>
      <w:pPr>
        <w:ind w:left="1880" w:right="720"/>
        <w:spacing w:after="0" w:line="277" w:lineRule="auto"/>
        <w:rPr>
          <w:sz w:val="20"/>
          <w:szCs w:val="20"/>
          <w:color w:val="auto"/>
        </w:rPr>
      </w:pPr>
      <w:r>
        <w:rPr>
          <w:rFonts w:ascii="Arial" w:cs="Arial" w:eastAsia="Arial" w:hAnsi="Arial"/>
          <w:sz w:val="18"/>
          <w:szCs w:val="18"/>
          <w:color w:val="auto"/>
        </w:rPr>
        <w:t>Financial instruments that potentially subject the Company and its subsidiaries to concentrations of credit risk consist principally of cash and cash equivalents and accounts receivable.</w:t>
      </w:r>
    </w:p>
    <w:p>
      <w:pPr>
        <w:spacing w:after="0" w:line="62" w:lineRule="exact"/>
        <w:rPr>
          <w:sz w:val="20"/>
          <w:szCs w:val="20"/>
          <w:color w:val="auto"/>
        </w:rPr>
      </w:pPr>
    </w:p>
    <w:p>
      <w:pPr>
        <w:ind w:left="1880" w:right="180"/>
        <w:spacing w:after="0" w:line="257" w:lineRule="auto"/>
        <w:rPr>
          <w:sz w:val="20"/>
          <w:szCs w:val="20"/>
          <w:color w:val="auto"/>
        </w:rPr>
      </w:pPr>
      <w:r>
        <w:rPr>
          <w:rFonts w:ascii="Arial" w:cs="Arial" w:eastAsia="Arial" w:hAnsi="Arial"/>
          <w:sz w:val="18"/>
          <w:szCs w:val="18"/>
          <w:color w:val="auto"/>
        </w:rPr>
        <w:t>The majority of the Company’s cash and cash equivalents are maintained in U.S. dollar. Generally, these cash and cash equivalents and deposits may be redeemed upon demand. Although the Company deposits its cash with multiple financial institutions in U.S. its deposits, at times, may exceed federally insured limits. Management believes that the financial institutions that hold the Company’s and its subsidiaries’ cash and cash equivalents are institutions with high credit standing, and accordingly, minimal credit risk exists with respect to these assets.</w:t>
      </w:r>
    </w:p>
    <w:p>
      <w:pPr>
        <w:spacing w:after="0" w:line="80" w:lineRule="exact"/>
        <w:rPr>
          <w:sz w:val="20"/>
          <w:szCs w:val="20"/>
          <w:color w:val="auto"/>
        </w:rPr>
      </w:pPr>
    </w:p>
    <w:p>
      <w:pPr>
        <w:ind w:left="1880" w:right="60"/>
        <w:spacing w:after="0" w:line="342" w:lineRule="auto"/>
        <w:rPr>
          <w:sz w:val="20"/>
          <w:szCs w:val="20"/>
          <w:color w:val="auto"/>
        </w:rPr>
      </w:pPr>
      <w:r>
        <w:rPr>
          <w:rFonts w:ascii="Arial" w:cs="Arial" w:eastAsia="Arial" w:hAnsi="Arial"/>
          <w:sz w:val="16"/>
          <w:szCs w:val="16"/>
          <w:color w:val="auto"/>
        </w:rPr>
        <w:t>The Company’s accounts receivable are derived from sales to customers in the United States. Concentration of credit risk with respect to accounts receivable is limited by credit limits, ongoing credit evaluation and account monitoring procedures.</w:t>
      </w:r>
    </w:p>
    <w:p>
      <w:pPr>
        <w:spacing w:after="0" w:line="16" w:lineRule="exact"/>
        <w:rPr>
          <w:sz w:val="20"/>
          <w:szCs w:val="20"/>
          <w:color w:val="auto"/>
        </w:rPr>
      </w:pPr>
    </w:p>
    <w:p>
      <w:pPr>
        <w:ind w:left="1880"/>
        <w:spacing w:after="0" w:line="272" w:lineRule="auto"/>
        <w:rPr>
          <w:sz w:val="20"/>
          <w:szCs w:val="20"/>
          <w:color w:val="auto"/>
        </w:rPr>
      </w:pPr>
      <w:r>
        <w:rPr>
          <w:rFonts w:ascii="Arial" w:cs="Arial" w:eastAsia="Arial" w:hAnsi="Arial"/>
          <w:sz w:val="17"/>
          <w:szCs w:val="17"/>
          <w:color w:val="auto"/>
        </w:rPr>
        <w:t>Accounts receivable are recorded at the invoiced amount and amounts for which revenue has been recognized but not invoiced, net of allowance for credit loss. The allowance for credit loss is based on the Company’s assessment of historical collection experience, customer creditworthiness, current and future economic condition and market condition. The Company regularly reviews the adequacy of the allowance for credit loss based on a combination of factors, including an assessment of the current customer’s aging balance, the nature and size of the customer, the financial condition of the customer, and the amount of any receivables in dispute. Accounts receivable deemed uncollectable are charged against the allowance for credit loss when identified. The allowance of credit loss was not material for the periods presented.</w:t>
      </w:r>
    </w:p>
    <w:p>
      <w:pPr>
        <w:spacing w:after="0" w:line="69"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No single customer represented 10% or more of total revenue during the years ended December 31, 2020 and 2019. As of December 31, 2020, one customer represents 26.56% of the accounts receivable balance, as of December 31, 2020. As of December 31, 2019, three customers represent 25.7%, 12.57% and 10.82% of the accounts receivable balance, as of December 31, 2019.</w:t>
      </w:r>
    </w:p>
    <w:p>
      <w:pPr>
        <w:spacing w:after="0" w:line="92" w:lineRule="exact"/>
        <w:rPr>
          <w:sz w:val="20"/>
          <w:szCs w:val="20"/>
          <w:color w:val="auto"/>
        </w:rPr>
      </w:pPr>
    </w:p>
    <w:p>
      <w:pPr>
        <w:ind w:left="1860" w:hanging="543"/>
        <w:spacing w:after="0"/>
        <w:tabs>
          <w:tab w:leader="none" w:pos="18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117" w:lineRule="exact"/>
        <w:rPr>
          <w:sz w:val="20"/>
          <w:szCs w:val="20"/>
          <w:color w:val="auto"/>
        </w:rPr>
      </w:pPr>
    </w:p>
    <w:p>
      <w:pPr>
        <w:jc w:val="both"/>
        <w:ind w:left="1880" w:right="200"/>
        <w:spacing w:after="0" w:line="263" w:lineRule="auto"/>
        <w:rPr>
          <w:sz w:val="20"/>
          <w:szCs w:val="20"/>
          <w:color w:val="auto"/>
        </w:rPr>
      </w:pPr>
      <w:r>
        <w:rPr>
          <w:rFonts w:ascii="Arial" w:cs="Arial" w:eastAsia="Arial" w:hAnsi="Arial"/>
          <w:sz w:val="18"/>
          <w:szCs w:val="18"/>
          <w:color w:val="auto"/>
        </w:rPr>
        <w:t>The Company accounts for stock-based compensation in accordance with ASC 718, “Compensation-Stock Compensation”. ASC 718 requires companies to estimate the fair value of equity-based payment awards on the date of grant using an option-pricing model.</w:t>
      </w:r>
    </w:p>
    <w:p>
      <w:pPr>
        <w:spacing w:after="0" w:line="76" w:lineRule="exact"/>
        <w:rPr>
          <w:sz w:val="20"/>
          <w:szCs w:val="20"/>
          <w:color w:val="auto"/>
        </w:rPr>
      </w:pPr>
    </w:p>
    <w:p>
      <w:pPr>
        <w:ind w:left="1880"/>
        <w:spacing w:after="0" w:line="308" w:lineRule="auto"/>
        <w:rPr>
          <w:sz w:val="20"/>
          <w:szCs w:val="20"/>
          <w:color w:val="auto"/>
        </w:rPr>
      </w:pPr>
      <w:r>
        <w:rPr>
          <w:rFonts w:ascii="Arial" w:cs="Arial" w:eastAsia="Arial" w:hAnsi="Arial"/>
          <w:sz w:val="17"/>
          <w:szCs w:val="17"/>
          <w:color w:val="auto"/>
        </w:rPr>
        <w:t>The Company recognizes compensation expenses for the value of its awards granted based on the straight-line method over the requisite service period of each of the awards. The Company recognizes forfeitures of awards as they occur.</w:t>
      </w:r>
    </w:p>
    <w:p>
      <w:pPr>
        <w:spacing w:after="0" w:line="38" w:lineRule="exact"/>
        <w:rPr>
          <w:sz w:val="20"/>
          <w:szCs w:val="20"/>
          <w:color w:val="auto"/>
        </w:rPr>
      </w:pPr>
    </w:p>
    <w:p>
      <w:pPr>
        <w:ind w:left="1880" w:right="80"/>
        <w:spacing w:after="0" w:line="279" w:lineRule="auto"/>
        <w:rPr>
          <w:sz w:val="20"/>
          <w:szCs w:val="20"/>
          <w:color w:val="auto"/>
        </w:rPr>
      </w:pPr>
      <w:r>
        <w:rPr>
          <w:rFonts w:ascii="Arial" w:cs="Arial" w:eastAsia="Arial" w:hAnsi="Arial"/>
          <w:sz w:val="17"/>
          <w:szCs w:val="17"/>
          <w:color w:val="auto"/>
        </w:rPr>
        <w:t>The Company selected the Black-Scholes-Merton option pricing model as the most appropriate model for determining the fair value for its stock options awards. The option-pricing model requires a number of assumptions, the most significant of which are the value of the Company’s common shares, the expected stock price volatility and the expected option term. Expected volatility was calculated based upon historical stock price movements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40"/>
          </w:cols>
          <w:pgMar w:left="320" w:top="459" w:right="5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spacing w:after="0" w:line="301" w:lineRule="auto"/>
        <w:rPr>
          <w:sz w:val="20"/>
          <w:szCs w:val="20"/>
          <w:color w:val="auto"/>
        </w:rPr>
      </w:pPr>
      <w:r>
        <w:rPr>
          <w:rFonts w:ascii="Arial" w:cs="Arial" w:eastAsia="Arial" w:hAnsi="Arial"/>
          <w:sz w:val="16"/>
          <w:szCs w:val="16"/>
          <w:color w:val="auto"/>
        </w:rPr>
        <w:t>similar publicly traded peer companies over the most recent periods ending on the grant date, equal to the expected term of the options. The expected term of options granted is calculated using the simplified method for “plain vanilla” stock options awards. The risk-free interest rate is based on the yield from U.S. treasury bonds with an equivalent term to the expected term of the options. The Company has historically not paid dividends and has no plans to pay dividends in the foreseeable future.</w:t>
      </w:r>
    </w:p>
    <w:p>
      <w:pPr>
        <w:spacing w:after="0" w:line="49" w:lineRule="exact"/>
        <w:rPr>
          <w:sz w:val="20"/>
          <w:szCs w:val="20"/>
          <w:color w:val="auto"/>
        </w:rPr>
      </w:pPr>
    </w:p>
    <w:p>
      <w:pPr>
        <w:ind w:left="1880" w:right="40"/>
        <w:spacing w:after="0" w:line="291" w:lineRule="auto"/>
        <w:rPr>
          <w:sz w:val="20"/>
          <w:szCs w:val="20"/>
          <w:color w:val="auto"/>
        </w:rPr>
      </w:pPr>
      <w:r>
        <w:rPr>
          <w:rFonts w:ascii="Arial" w:cs="Arial" w:eastAsia="Arial" w:hAnsi="Arial"/>
          <w:sz w:val="16"/>
          <w:szCs w:val="16"/>
          <w:color w:val="auto"/>
        </w:rPr>
        <w:t>The grant-date fair market value of the common shares underlying stock options has historically been determined by management with the assistance of third-party valuation specialists and approved by the Company’s board of directors. Because there has been no public market for the Company’s common shares,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shares, the rights, preferences and privileges of the Company’s convertible preferred shares relative to those of the Company’s common shares, actual operating results, financial performance and the lack of marketability of the Company’s common shares.</w:t>
      </w:r>
    </w:p>
    <w:p>
      <w:pPr>
        <w:spacing w:after="0" w:line="58" w:lineRule="exact"/>
        <w:rPr>
          <w:sz w:val="20"/>
          <w:szCs w:val="20"/>
          <w:color w:val="auto"/>
        </w:rPr>
      </w:pPr>
    </w:p>
    <w:p>
      <w:pPr>
        <w:ind w:left="1880" w:right="420"/>
        <w:spacing w:after="0" w:line="277" w:lineRule="auto"/>
        <w:rPr>
          <w:sz w:val="20"/>
          <w:szCs w:val="20"/>
          <w:color w:val="auto"/>
        </w:rPr>
      </w:pPr>
      <w:r>
        <w:rPr>
          <w:rFonts w:ascii="Arial" w:cs="Arial" w:eastAsia="Arial" w:hAnsi="Arial"/>
          <w:sz w:val="18"/>
          <w:szCs w:val="18"/>
          <w:color w:val="auto"/>
        </w:rPr>
        <w:t>The fair value for options granted in 2020 and 2019 is estimated at the date of grant using a Black-Scholes-Merton options pricing model with the following weighted average assumptions: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53.96%-66.55%</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59.81%-64.61%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0.25%-1.45%</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1.59%-2.41%</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5.27-6.08</w:t>
            </w:r>
          </w:p>
        </w:tc>
        <w:tc>
          <w:tcPr>
            <w:tcW w:w="3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6.02-6.08</w:t>
            </w:r>
          </w:p>
        </w:tc>
      </w:tr>
    </w:tbl>
    <w:p>
      <w:pPr>
        <w:spacing w:after="0" w:line="93" w:lineRule="exact"/>
        <w:rPr>
          <w:sz w:val="20"/>
          <w:szCs w:val="20"/>
          <w:color w:val="auto"/>
        </w:rPr>
      </w:pPr>
    </w:p>
    <w:p>
      <w:pPr>
        <w:ind w:left="1860" w:hanging="543"/>
        <w:spacing w:after="0"/>
        <w:tabs>
          <w:tab w:leader="none" w:pos="18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17" w:lineRule="exact"/>
        <w:rPr>
          <w:sz w:val="20"/>
          <w:szCs w:val="20"/>
          <w:color w:val="auto"/>
        </w:rPr>
      </w:pPr>
    </w:p>
    <w:p>
      <w:pPr>
        <w:ind w:left="1880" w:right="80" w:firstLine="370"/>
        <w:spacing w:after="0" w:line="263" w:lineRule="auto"/>
        <w:rPr>
          <w:sz w:val="20"/>
          <w:szCs w:val="20"/>
          <w:color w:val="auto"/>
        </w:rPr>
      </w:pPr>
      <w:r>
        <w:rPr>
          <w:rFonts w:ascii="Arial" w:cs="Arial" w:eastAsia="Arial" w:hAnsi="Arial"/>
          <w:sz w:val="18"/>
          <w:szCs w:val="18"/>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76" w:lineRule="exact"/>
        <w:rPr>
          <w:sz w:val="20"/>
          <w:szCs w:val="20"/>
          <w:color w:val="auto"/>
        </w:rPr>
      </w:pPr>
    </w:p>
    <w:p>
      <w:pPr>
        <w:ind w:left="1880"/>
        <w:spacing w:after="0" w:line="293" w:lineRule="auto"/>
        <w:rPr>
          <w:sz w:val="20"/>
          <w:szCs w:val="20"/>
          <w:color w:val="auto"/>
        </w:rPr>
      </w:pPr>
      <w:r>
        <w:rPr>
          <w:rFonts w:ascii="Arial" w:cs="Arial" w:eastAsia="Arial" w:hAnsi="Arial"/>
          <w:sz w:val="16"/>
          <w:szCs w:val="16"/>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131" w:lineRule="exact"/>
        <w:rPr>
          <w:sz w:val="20"/>
          <w:szCs w:val="20"/>
          <w:color w:val="auto"/>
        </w:rPr>
      </w:pPr>
    </w:p>
    <w:p>
      <w:pPr>
        <w:ind w:left="2960" w:right="180" w:hanging="1092"/>
        <w:spacing w:after="0" w:line="286" w:lineRule="auto"/>
        <w:tabs>
          <w:tab w:leader="none" w:pos="2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Valuations based on quoted prices in active markets for identical assets that the Company has the ability to access. Since valuations are based on quoted prices that are readily and regularly available in an active market, valuation of these products does not entail a significant degree of judgment.</w:t>
      </w:r>
    </w:p>
    <w:p>
      <w:pPr>
        <w:spacing w:after="0" w:line="71" w:lineRule="exact"/>
        <w:rPr>
          <w:sz w:val="20"/>
          <w:szCs w:val="20"/>
          <w:color w:val="auto"/>
        </w:rPr>
      </w:pPr>
    </w:p>
    <w:p>
      <w:pPr>
        <w:ind w:left="2960" w:right="220" w:hanging="1092"/>
        <w:spacing w:after="0" w:line="277" w:lineRule="auto"/>
        <w:tabs>
          <w:tab w:leader="none" w:pos="2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76" w:lineRule="exact"/>
        <w:rPr>
          <w:sz w:val="20"/>
          <w:szCs w:val="20"/>
          <w:color w:val="auto"/>
        </w:rPr>
      </w:pPr>
    </w:p>
    <w:p>
      <w:pPr>
        <w:ind w:left="1880"/>
        <w:spacing w:after="0"/>
        <w:tabs>
          <w:tab w:leader="none" w:pos="2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8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76" w:lineRule="exact"/>
        <w:rPr>
          <w:sz w:val="20"/>
          <w:szCs w:val="20"/>
          <w:color w:val="auto"/>
        </w:rPr>
      </w:pPr>
    </w:p>
    <w:p>
      <w:pPr>
        <w:ind w:left="1860" w:hanging="543"/>
        <w:spacing w:after="0"/>
        <w:tabs>
          <w:tab w:leader="none" w:pos="18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1880"/>
        <w:spacing w:after="0" w:line="255" w:lineRule="auto"/>
        <w:rPr>
          <w:sz w:val="20"/>
          <w:szCs w:val="20"/>
          <w:color w:val="auto"/>
        </w:rPr>
      </w:pPr>
      <w:r>
        <w:rPr>
          <w:rFonts w:ascii="Arial" w:cs="Arial" w:eastAsia="Arial" w:hAnsi="Arial"/>
          <w:sz w:val="18"/>
          <w:szCs w:val="18"/>
          <w:color w:val="auto"/>
        </w:rPr>
        <w:t>The Company accounts for income taxes in accordance with ASC 740, “Income Taxes” (“ASC 740”). ASC 740 prescribes the use of the liability method whereby deferred tax asset and liability account balances are determined for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The Company accrues interest related to unrecognized tax benefits on its taxes on income.</w:t>
      </w:r>
    </w:p>
    <w:p>
      <w:pPr>
        <w:spacing w:after="0" w:line="84" w:lineRule="exact"/>
        <w:rPr>
          <w:sz w:val="20"/>
          <w:szCs w:val="20"/>
          <w:color w:val="auto"/>
        </w:rPr>
      </w:pPr>
    </w:p>
    <w:p>
      <w:pPr>
        <w:ind w:left="1880"/>
        <w:spacing w:after="0" w:line="273" w:lineRule="auto"/>
        <w:rPr>
          <w:sz w:val="20"/>
          <w:szCs w:val="20"/>
          <w:color w:val="auto"/>
        </w:rPr>
      </w:pPr>
      <w:r>
        <w:rPr>
          <w:rFonts w:ascii="Arial" w:cs="Arial" w:eastAsia="Arial" w:hAnsi="Arial"/>
          <w:sz w:val="17"/>
          <w:szCs w:val="17"/>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 The Company classifies interest related to unrecognized tax benefits in taxes on income.</w:t>
      </w:r>
    </w:p>
    <w:p>
      <w:pPr>
        <w:spacing w:after="0" w:line="7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As of December 31, 2020 and 2019, the Company did not record any provision for uncertain tax positions.</w:t>
      </w:r>
    </w:p>
    <w:p>
      <w:pPr>
        <w:spacing w:after="0" w:line="131" w:lineRule="exact"/>
        <w:rPr>
          <w:sz w:val="20"/>
          <w:szCs w:val="20"/>
          <w:color w:val="auto"/>
        </w:rPr>
      </w:pPr>
    </w:p>
    <w:p>
      <w:pPr>
        <w:ind w:left="1860" w:hanging="543"/>
        <w:spacing w:after="0"/>
        <w:tabs>
          <w:tab w:leader="none" w:pos="18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Basic and diluted loss per share:</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Company computes net loss per share using the two-class method required for participating securities.</w:t>
      </w:r>
    </w:p>
    <w:p>
      <w:pPr>
        <w:spacing w:after="0" w:line="23" w:lineRule="exact"/>
        <w:rPr>
          <w:sz w:val="20"/>
          <w:szCs w:val="20"/>
          <w:color w:val="auto"/>
        </w:rPr>
      </w:pPr>
    </w:p>
    <w:p>
      <w:pPr>
        <w:ind w:left="1880"/>
        <w:spacing w:after="0" w:line="269" w:lineRule="auto"/>
        <w:rPr>
          <w:sz w:val="20"/>
          <w:szCs w:val="20"/>
          <w:color w:val="auto"/>
        </w:rPr>
      </w:pPr>
      <w:r>
        <w:rPr>
          <w:rFonts w:ascii="Arial" w:cs="Arial" w:eastAsia="Arial" w:hAnsi="Arial"/>
          <w:sz w:val="17"/>
          <w:szCs w:val="17"/>
          <w:color w:val="auto"/>
        </w:rPr>
        <w:t>The two-class method requires income available to ordinary shareholders for the period to be allocated between shares of common stock and participating securities based upon their respective rights to receive dividends as if all income for the period had been distributed. The Company considers its convertible preferred shares to be participating securities as the holders of the convertible preferred shares would be entitled to dividends that would be distributed to the holders of shares of common stock, on a pro-rata basis assuming conversion of all convertible preferred shares into shares of common stock. These participating securities do not contractually require the holders of such shares to participate in the Company’s losses. As such, net loss for the periods presented was not allocated to the Company’s participating securities.</w:t>
      </w:r>
    </w:p>
    <w:p>
      <w:pPr>
        <w:spacing w:after="0" w:line="72" w:lineRule="exact"/>
        <w:rPr>
          <w:sz w:val="20"/>
          <w:szCs w:val="20"/>
          <w:color w:val="auto"/>
        </w:rPr>
      </w:pPr>
    </w:p>
    <w:p>
      <w:pPr>
        <w:ind w:left="1880" w:right="40"/>
        <w:spacing w:after="0" w:line="255" w:lineRule="auto"/>
        <w:rPr>
          <w:sz w:val="20"/>
          <w:szCs w:val="20"/>
          <w:color w:val="auto"/>
        </w:rPr>
      </w:pPr>
      <w:r>
        <w:rPr>
          <w:rFonts w:ascii="Arial" w:cs="Arial" w:eastAsia="Arial" w:hAnsi="Arial"/>
          <w:sz w:val="18"/>
          <w:szCs w:val="18"/>
          <w:color w:val="auto"/>
        </w:rPr>
        <w:t>The Company’s basic net loss per share is calculated by dividing net loss attributable to ordinary shareholders by the weighted-average number of shares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shares of common stock are anti-dilutive.</w:t>
      </w:r>
    </w:p>
    <w:p>
      <w:pPr>
        <w:spacing w:after="0" w:line="98" w:lineRule="exact"/>
        <w:rPr>
          <w:sz w:val="20"/>
          <w:szCs w:val="20"/>
          <w:color w:val="auto"/>
        </w:rPr>
      </w:pPr>
    </w:p>
    <w:p>
      <w:pPr>
        <w:ind w:left="1860" w:hanging="543"/>
        <w:spacing w:after="0"/>
        <w:tabs>
          <w:tab w:leader="none" w:pos="18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Advertising expenses:</w:t>
      </w:r>
    </w:p>
    <w:p>
      <w:pPr>
        <w:spacing w:after="0" w:line="117" w:lineRule="exact"/>
        <w:rPr>
          <w:sz w:val="20"/>
          <w:szCs w:val="20"/>
          <w:color w:val="auto"/>
        </w:rPr>
      </w:pPr>
    </w:p>
    <w:p>
      <w:pPr>
        <w:ind w:left="1880" w:right="320"/>
        <w:spacing w:after="0" w:line="311" w:lineRule="auto"/>
        <w:rPr>
          <w:sz w:val="20"/>
          <w:szCs w:val="20"/>
          <w:color w:val="auto"/>
        </w:rPr>
      </w:pPr>
      <w:r>
        <w:rPr>
          <w:rFonts w:ascii="Arial" w:cs="Arial" w:eastAsia="Arial" w:hAnsi="Arial"/>
          <w:sz w:val="16"/>
          <w:szCs w:val="16"/>
          <w:color w:val="auto"/>
        </w:rPr>
        <w:t>Advertising costs are expensed when incurred and are included in selling and marketing expenses in the accompanying consolidated statements of comprehensive loss. Advertising expenses include all campaigns to the Company’s platform and amounted to $31,534 and $18,915 for the years ended December 31, 2020 and 2019, respectively.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60" w:hanging="543"/>
        <w:spacing w:after="0"/>
        <w:tabs>
          <w:tab w:leader="none" w:pos="18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Impact of recently adopted accounting standards:</w:t>
      </w:r>
    </w:p>
    <w:p>
      <w:pPr>
        <w:spacing w:after="0" w:line="117" w:lineRule="exact"/>
        <w:rPr>
          <w:sz w:val="20"/>
          <w:szCs w:val="20"/>
          <w:color w:val="auto"/>
        </w:rPr>
      </w:pPr>
    </w:p>
    <w:p>
      <w:pPr>
        <w:ind w:left="1880" w:right="280"/>
        <w:spacing w:after="0" w:line="259"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reflects this election.</w:t>
      </w:r>
    </w:p>
    <w:p>
      <w:pPr>
        <w:spacing w:after="0" w:line="79" w:lineRule="exact"/>
        <w:rPr>
          <w:sz w:val="20"/>
          <w:szCs w:val="20"/>
          <w:color w:val="auto"/>
        </w:rPr>
      </w:pPr>
    </w:p>
    <w:p>
      <w:pPr>
        <w:ind w:left="1880"/>
        <w:spacing w:after="0" w:line="290"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The Company adopted the standard beginning January 1, 2020. The adoption of the standard did not have an impact on the Company’s consolidated financial statements and related disclosures. The Consolidated Financial Statements for the year ended December 31, 2020 are presented under the new standard, while comparative periods presented are not adjusted and continue to be reported in accordance with the Company’s historical accounting policy.</w:t>
      </w:r>
    </w:p>
    <w:p>
      <w:pPr>
        <w:spacing w:after="0" w:line="57" w:lineRule="exact"/>
        <w:rPr>
          <w:sz w:val="20"/>
          <w:szCs w:val="20"/>
          <w:color w:val="auto"/>
        </w:rPr>
      </w:pPr>
    </w:p>
    <w:p>
      <w:pPr>
        <w:ind w:left="1880" w:right="60"/>
        <w:spacing w:after="0" w:line="254"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amended guidance simplifies the subsequent measurement of goodwill by eliminating Step 2 from the goodwill impairment test. Under the amended guidance, an entity should perform its annual or interim goodwill impairment test by comparing the fair value of a reporting unit with its carrying value, and an impairment charge is recognized for the amount by which the carrying value exceeds the reporting unit’s fair value, not to exceed the total amount of goodwill allocated to that reporting unit. Additionally, the amount of goodwill allocated to each reporting unit with a zero or negative carrying amount of net assets should be disclosed.</w:t>
      </w:r>
    </w:p>
    <w:p>
      <w:pPr>
        <w:spacing w:after="0" w:line="87" w:lineRule="exact"/>
        <w:rPr>
          <w:sz w:val="20"/>
          <w:szCs w:val="20"/>
          <w:color w:val="auto"/>
        </w:rPr>
      </w:pPr>
    </w:p>
    <w:p>
      <w:pPr>
        <w:ind w:left="1880" w:right="420"/>
        <w:spacing w:after="0" w:line="277" w:lineRule="auto"/>
        <w:rPr>
          <w:sz w:val="20"/>
          <w:szCs w:val="20"/>
          <w:color w:val="auto"/>
        </w:rPr>
      </w:pPr>
      <w:r>
        <w:rPr>
          <w:rFonts w:ascii="Arial" w:cs="Arial" w:eastAsia="Arial" w:hAnsi="Arial"/>
          <w:sz w:val="18"/>
          <w:szCs w:val="18"/>
          <w:color w:val="auto"/>
        </w:rPr>
        <w:t>The Company adopted this standard prospectively effective January 1, 2020. The adoption of this standard did not have an impact on the Company’s consolidated financial statements.</w:t>
      </w:r>
    </w:p>
    <w:p>
      <w:pPr>
        <w:spacing w:after="0" w:line="76" w:lineRule="exact"/>
        <w:rPr>
          <w:sz w:val="20"/>
          <w:szCs w:val="20"/>
          <w:color w:val="auto"/>
        </w:rPr>
      </w:pPr>
    </w:p>
    <w:p>
      <w:pPr>
        <w:ind w:left="1860" w:hanging="543"/>
        <w:spacing w:after="0"/>
        <w:tabs>
          <w:tab w:leader="none" w:pos="18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880" w:right="40"/>
        <w:spacing w:after="0" w:line="254" w:lineRule="auto"/>
        <w:rPr>
          <w:sz w:val="20"/>
          <w:szCs w:val="20"/>
          <w:color w:val="auto"/>
        </w:rPr>
      </w:pPr>
      <w:r>
        <w:rPr>
          <w:rFonts w:ascii="Arial" w:cs="Arial" w:eastAsia="Arial" w:hAnsi="Arial"/>
          <w:sz w:val="18"/>
          <w:szCs w:val="18"/>
          <w:color w:val="auto"/>
        </w:rPr>
        <w:t>In February 2016, the FASB issued ASU 2016-02, Topic 842 “Leases”.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2019-10 which extends the effective date of ASU 2016-02 for non-public business entities, including smaller reporting companies, to fiscal years beginning after December 15, 2020, and interim periods within fiscal years beginning after December 15, 2021. The Company is currently assessing the impact of the adoption of this standard on its consolidated financial statements.</w:t>
      </w:r>
    </w:p>
    <w:p>
      <w:pPr>
        <w:spacing w:after="0" w:line="33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ACQUISITION</w:t>
      </w:r>
    </w:p>
    <w:p>
      <w:pPr>
        <w:spacing w:after="0" w:line="121" w:lineRule="exact"/>
        <w:rPr>
          <w:sz w:val="20"/>
          <w:szCs w:val="20"/>
          <w:color w:val="auto"/>
        </w:rPr>
      </w:pPr>
    </w:p>
    <w:p>
      <w:pPr>
        <w:ind w:left="1320"/>
        <w:spacing w:after="0" w:line="311" w:lineRule="auto"/>
        <w:rPr>
          <w:sz w:val="20"/>
          <w:szCs w:val="20"/>
          <w:color w:val="auto"/>
        </w:rPr>
      </w:pPr>
      <w:r>
        <w:rPr>
          <w:rFonts w:ascii="Arial" w:cs="Arial" w:eastAsia="Arial" w:hAnsi="Arial"/>
          <w:sz w:val="16"/>
          <w:szCs w:val="16"/>
          <w:color w:val="auto"/>
        </w:rPr>
        <w:t>On November 1, 2020, the Company completed an acquisition of the operation of Lasting, an app-based subscription for relationship and couple counseling for a total cash consideration of $10,685. In addition, the Company entered into a non-competition agreement for a total consideration of $939, which was recorded as an intangible asset and amortized over a period of 3.17 years (refer to Note 4).</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ACQUISITION (Cont.)</w:t>
      </w:r>
    </w:p>
    <w:p>
      <w:pPr>
        <w:spacing w:after="0" w:line="135" w:lineRule="exact"/>
        <w:rPr>
          <w:sz w:val="20"/>
          <w:szCs w:val="20"/>
          <w:color w:val="auto"/>
        </w:rPr>
      </w:pPr>
    </w:p>
    <w:p>
      <w:pPr>
        <w:ind w:left="1320" w:right="760"/>
        <w:spacing w:after="0" w:line="277" w:lineRule="auto"/>
        <w:rPr>
          <w:sz w:val="20"/>
          <w:szCs w:val="20"/>
          <w:color w:val="auto"/>
        </w:rPr>
      </w:pPr>
      <w:r>
        <w:rPr>
          <w:rFonts w:ascii="Arial" w:cs="Arial" w:eastAsia="Arial" w:hAnsi="Arial"/>
          <w:sz w:val="18"/>
          <w:szCs w:val="18"/>
          <w:color w:val="auto"/>
        </w:rPr>
        <w:t>In addition, the Company incurred acquisition-related costs in a total amount of $177. Acquisition-related costs include legal, accounting, consulting fees and other external costs directly related to the acquisition.</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Purchase price allocation:</w:t>
      </w:r>
    </w:p>
    <w:p>
      <w:pPr>
        <w:spacing w:after="0" w:line="117" w:lineRule="exact"/>
        <w:rPr>
          <w:sz w:val="20"/>
          <w:szCs w:val="20"/>
          <w:color w:val="auto"/>
        </w:rPr>
      </w:pPr>
    </w:p>
    <w:p>
      <w:pPr>
        <w:ind w:left="1320" w:right="180"/>
        <w:spacing w:after="0" w:line="263" w:lineRule="auto"/>
        <w:rPr>
          <w:sz w:val="20"/>
          <w:szCs w:val="20"/>
          <w:color w:val="auto"/>
        </w:rPr>
      </w:pPr>
      <w:r>
        <w:rPr>
          <w:rFonts w:ascii="Arial" w:cs="Arial" w:eastAsia="Arial" w:hAnsi="Arial"/>
          <w:sz w:val="18"/>
          <w:szCs w:val="18"/>
          <w:color w:val="auto"/>
        </w:rPr>
        <w:t>Under business combination accounting principles, the total purchase price was allocated to Lasting’s intangible assets based on their estimated fair values as set forth below. The excess of the purchase price over the identifiable intangible assets was recorded as goodwill.</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purchase price allocation for the acquisition has been determined at the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period (years)</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w:t>
            </w:r>
          </w:p>
        </w:tc>
        <w:tc>
          <w:tcPr>
            <w:tcW w:w="2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Technology</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3,201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6,134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infinite</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10,685</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320"/>
        <w:spacing w:after="0" w:line="259" w:lineRule="auto"/>
        <w:rPr>
          <w:sz w:val="20"/>
          <w:szCs w:val="20"/>
          <w:color w:val="auto"/>
        </w:rPr>
      </w:pPr>
      <w:r>
        <w:rPr>
          <w:rFonts w:ascii="Arial" w:cs="Arial" w:eastAsia="Arial" w:hAnsi="Arial"/>
          <w:sz w:val="18"/>
          <w:szCs w:val="18"/>
          <w:color w:val="auto"/>
        </w:rPr>
        <w:t>In performing the purchase price allocation, the Company considered, among other factors, analysis of historical financial performance, the best use of the acquired assets and estimates of future performance of Lasting’s operations. In its allocation, applying the income approach, the Company determined the fair values of the Lasting technology and the non-competition agreement. The acquired customer relationship was determined based on the cost approach.</w:t>
      </w:r>
    </w:p>
    <w:p>
      <w:pPr>
        <w:spacing w:after="0" w:line="79" w:lineRule="exact"/>
        <w:rPr>
          <w:sz w:val="20"/>
          <w:szCs w:val="20"/>
          <w:color w:val="auto"/>
        </w:rPr>
      </w:pPr>
    </w:p>
    <w:p>
      <w:pPr>
        <w:ind w:left="1320" w:right="50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w:t>
      </w:r>
    </w:p>
    <w:p>
      <w:pPr>
        <w:spacing w:after="0" w:line="31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INTANGIBLE ASSETS, NET</w:t>
      </w:r>
    </w:p>
    <w:p>
      <w:pPr>
        <w:spacing w:after="0" w:line="135" w:lineRule="exact"/>
        <w:rPr>
          <w:sz w:val="20"/>
          <w:szCs w:val="20"/>
          <w:color w:val="auto"/>
        </w:rPr>
      </w:pPr>
    </w:p>
    <w:p>
      <w:pPr>
        <w:ind w:left="1860" w:hanging="543"/>
        <w:spacing w:after="0"/>
        <w:tabs>
          <w:tab w:leader="none" w:pos="18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4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with finite lives:</w:t>
            </w:r>
          </w:p>
        </w:tc>
        <w:tc>
          <w:tcPr>
            <w:tcW w:w="3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Acquired technology</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$3,201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tcPr>
          <w:p>
            <w:pPr>
              <w:ind w:left="360"/>
              <w:spacing w:after="0"/>
              <w:rPr>
                <w:sz w:val="20"/>
                <w:szCs w:val="20"/>
                <w:color w:val="auto"/>
              </w:rPr>
            </w:pPr>
            <w:r>
              <w:rPr>
                <w:rFonts w:ascii="Arial" w:cs="Arial" w:eastAsia="Arial" w:hAnsi="Arial"/>
                <w:sz w:val="18"/>
                <w:szCs w:val="18"/>
                <w:color w:val="auto"/>
              </w:rPr>
              <w:t>Non-Competition agreement</w:t>
            </w:r>
          </w:p>
        </w:tc>
        <w:tc>
          <w:tcPr>
            <w:tcW w:w="3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Accumulated amortization:</w:t>
            </w: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technology</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Customer relationship</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3900" w:type="dxa"/>
            <w:vAlign w:val="bottom"/>
            <w:gridSpan w:val="2"/>
          </w:tcPr>
          <w:p>
            <w:pPr>
              <w:jc w:val="right"/>
              <w:ind w:right="2677"/>
              <w:spacing w:after="0"/>
              <w:rPr>
                <w:sz w:val="20"/>
                <w:szCs w:val="20"/>
                <w:color w:val="auto"/>
              </w:rPr>
            </w:pPr>
            <w:r>
              <w:rPr>
                <w:rFonts w:ascii="Arial" w:cs="Arial" w:eastAsia="Arial" w:hAnsi="Arial"/>
                <w:sz w:val="18"/>
                <w:szCs w:val="18"/>
                <w:color w:val="auto"/>
              </w:rPr>
              <w:t>F-62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INTANGIBLE ASSETS, NET (Cont.)</w:t>
      </w:r>
    </w:p>
    <w:p>
      <w:pPr>
        <w:spacing w:after="0" w:line="13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140" w:type="dxa"/>
            <w:vAlign w:val="bottom"/>
            <w:gridSpan w:val="3"/>
          </w:tcPr>
          <w:p>
            <w:pPr>
              <w:ind w:left="220"/>
              <w:spacing w:after="0"/>
              <w:rPr>
                <w:sz w:val="20"/>
                <w:szCs w:val="20"/>
                <w:color w:val="auto"/>
              </w:rPr>
            </w:pPr>
            <w:r>
              <w:rPr>
                <w:rFonts w:ascii="Arial" w:cs="Arial" w:eastAsia="Arial" w:hAnsi="Arial"/>
                <w:sz w:val="18"/>
                <w:szCs w:val="18"/>
                <w:color w:val="auto"/>
              </w:rPr>
              <w:t>Amortization expenses for the year ended December 31, 2020 was $295.</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7140" w:type="dxa"/>
            <w:vAlign w:val="bottom"/>
            <w:gridSpan w:val="3"/>
          </w:tcPr>
          <w:p>
            <w:pPr>
              <w:ind w:left="200"/>
              <w:spacing w:after="0"/>
              <w:rPr>
                <w:sz w:val="20"/>
                <w:szCs w:val="20"/>
                <w:color w:val="auto"/>
              </w:rPr>
            </w:pPr>
            <w:r>
              <w:rPr>
                <w:rFonts w:ascii="Arial" w:cs="Arial" w:eastAsia="Arial" w:hAnsi="Arial"/>
                <w:sz w:val="18"/>
                <w:szCs w:val="18"/>
                <w:color w:val="auto"/>
              </w:rPr>
              <w:t>Future amortization expenses for the years ending:</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7140" w:type="dxa"/>
            <w:vAlign w:val="bottom"/>
            <w:gridSpan w:val="3"/>
          </w:tcPr>
          <w:p>
            <w:pPr>
              <w:ind w:left="220"/>
              <w:spacing w:after="0"/>
              <w:rPr>
                <w:sz w:val="20"/>
                <w:szCs w:val="20"/>
                <w:color w:val="auto"/>
              </w:rPr>
            </w:pPr>
            <w:r>
              <w:rPr>
                <w:rFonts w:ascii="Arial" w:cs="Arial" w:eastAsia="Arial" w:hAnsi="Arial"/>
                <w:sz w:val="14"/>
                <w:szCs w:val="14"/>
                <w:color w:val="auto"/>
              </w:rPr>
              <w:t>December 31,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6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$1,759</w:t>
            </w:r>
          </w:p>
        </w:tc>
        <w:tc>
          <w:tcPr>
            <w:tcW w:w="4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8"/>
                <w:szCs w:val="18"/>
                <w:color w:val="auto"/>
              </w:rPr>
              <w:t>2022</w:t>
            </w:r>
          </w:p>
        </w:tc>
        <w:tc>
          <w:tcPr>
            <w:tcW w:w="6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6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4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8"/>
                <w:szCs w:val="18"/>
                <w:color w:val="auto"/>
              </w:rPr>
              <w:t>2024</w:t>
            </w:r>
          </w:p>
        </w:tc>
        <w:tc>
          <w:tcPr>
            <w:tcW w:w="6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2025 and thereafter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4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left="1320"/>
        <w:spacing w:after="0" w:line="275" w:lineRule="auto"/>
        <w:rPr>
          <w:sz w:val="20"/>
          <w:szCs w:val="20"/>
          <w:color w:val="auto"/>
        </w:rPr>
      </w:pPr>
      <w:r>
        <w:rPr>
          <w:rFonts w:ascii="Arial" w:cs="Arial" w:eastAsia="Arial" w:hAnsi="Arial"/>
          <w:sz w:val="17"/>
          <w:szCs w:val="17"/>
          <w:color w:val="auto"/>
        </w:rPr>
        <w:t>The Company measures its warrants liability at fair value on a recurring basis and classifies such as Level 3. The inputs related to the Company’s share prices were determined based on management’s assumptions and based on the Option Pricing Model (“OPM”). The fair value of the underlying preferred share price was determined by the board of directors, considering among others, a third-party valuation. The warrant liability fair value measurement as of December 31, 2020 and 2019 was $444 and $98, respectively. Revaluation of the fair value of warrants amounted to $346 in the year ended December 31, 2020.</w:t>
      </w:r>
    </w:p>
    <w:p>
      <w:pPr>
        <w:spacing w:after="0" w:line="32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COMMITMENTS AND CONTINGENT LIABILITIES</w:t>
      </w:r>
    </w:p>
    <w:p>
      <w:pPr>
        <w:spacing w:after="0" w:line="135" w:lineRule="exact"/>
        <w:rPr>
          <w:sz w:val="20"/>
          <w:szCs w:val="20"/>
          <w:color w:val="auto"/>
        </w:rPr>
      </w:pPr>
    </w:p>
    <w:p>
      <w:pPr>
        <w:ind w:left="1860" w:hanging="543"/>
        <w:spacing w:after="0"/>
        <w:tabs>
          <w:tab w:leader="none" w:pos="18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17" w:lineRule="exact"/>
        <w:rPr>
          <w:sz w:val="20"/>
          <w:szCs w:val="20"/>
          <w:color w:val="auto"/>
        </w:rPr>
      </w:pPr>
    </w:p>
    <w:p>
      <w:pPr>
        <w:ind w:left="1880"/>
        <w:spacing w:after="0" w:line="277" w:lineRule="auto"/>
        <w:rPr>
          <w:sz w:val="20"/>
          <w:szCs w:val="20"/>
          <w:color w:val="auto"/>
        </w:rPr>
      </w:pPr>
      <w:r>
        <w:rPr>
          <w:rFonts w:ascii="Arial" w:cs="Arial" w:eastAsia="Arial" w:hAnsi="Arial"/>
          <w:sz w:val="18"/>
          <w:szCs w:val="18"/>
          <w:color w:val="auto"/>
        </w:rPr>
        <w:t>The Company’s Israeli subsidiary leases its operating facilities under a non-cancelable operating lease agreement, which expires on July 31, 2021. Future minimum commitments under this lease as of December 31, 2020, is $16.</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Rent expenses under the operating leases for the years ended December 31, 2020 and 2019 were $494 and $591, respectively.</w:t>
      </w:r>
    </w:p>
    <w:p>
      <w:pPr>
        <w:spacing w:after="0" w:line="154" w:lineRule="exact"/>
        <w:rPr>
          <w:sz w:val="20"/>
          <w:szCs w:val="20"/>
          <w:color w:val="auto"/>
        </w:rPr>
      </w:pPr>
    </w:p>
    <w:p>
      <w:pPr>
        <w:ind w:left="1860" w:hanging="543"/>
        <w:spacing w:after="0"/>
        <w:tabs>
          <w:tab w:leader="none" w:pos="18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sz w:val="20"/>
          <w:szCs w:val="20"/>
          <w:color w:val="auto"/>
        </w:rPr>
      </w:pPr>
    </w:p>
    <w:p>
      <w:pPr>
        <w:jc w:val="both"/>
        <w:ind w:left="1880" w:right="220"/>
        <w:spacing w:after="0" w:line="263"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the ultimate outcome of these matters will not have a material adverse effect on the Company’s financial position, results of operations or cash flows.</w:t>
      </w:r>
    </w:p>
    <w:p>
      <w:pPr>
        <w:spacing w:after="0" w:line="89" w:lineRule="exact"/>
        <w:rPr>
          <w:sz w:val="20"/>
          <w:szCs w:val="20"/>
          <w:color w:val="auto"/>
        </w:rPr>
      </w:pPr>
    </w:p>
    <w:p>
      <w:pPr>
        <w:ind w:left="1860" w:hanging="543"/>
        <w:spacing w:after="0"/>
        <w:tabs>
          <w:tab w:leader="none" w:pos="18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Warranties and Indemnification</w:t>
      </w:r>
    </w:p>
    <w:p>
      <w:pPr>
        <w:spacing w:after="0" w:line="117" w:lineRule="exact"/>
        <w:rPr>
          <w:sz w:val="20"/>
          <w:szCs w:val="20"/>
          <w:color w:val="auto"/>
        </w:rPr>
      </w:pPr>
    </w:p>
    <w:p>
      <w:pPr>
        <w:jc w:val="both"/>
        <w:ind w:left="1880"/>
        <w:spacing w:after="0" w:line="263"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76" w:lineRule="exact"/>
        <w:rPr>
          <w:sz w:val="20"/>
          <w:szCs w:val="20"/>
          <w:color w:val="auto"/>
        </w:rPr>
      </w:pPr>
    </w:p>
    <w:p>
      <w:pPr>
        <w:ind w:left="1880" w:right="100"/>
        <w:spacing w:after="0" w:line="255"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COMMITMENTS AND CONTINGENT LIABILITIES (Cont.)</w:t>
      </w:r>
    </w:p>
    <w:p>
      <w:pPr>
        <w:spacing w:after="0" w:line="135" w:lineRule="exact"/>
        <w:rPr>
          <w:sz w:val="20"/>
          <w:szCs w:val="20"/>
          <w:color w:val="auto"/>
        </w:rPr>
      </w:pPr>
    </w:p>
    <w:p>
      <w:pPr>
        <w:ind w:left="1880" w:right="200"/>
        <w:spacing w:after="0" w:line="308" w:lineRule="auto"/>
        <w:rPr>
          <w:sz w:val="20"/>
          <w:szCs w:val="20"/>
          <w:color w:val="auto"/>
        </w:rPr>
      </w:pPr>
      <w:r>
        <w:rPr>
          <w:rFonts w:ascii="Arial" w:cs="Arial" w:eastAsia="Arial" w:hAnsi="Arial"/>
          <w:sz w:val="17"/>
          <w:szCs w:val="17"/>
          <w:color w:val="auto"/>
        </w:rPr>
        <w:t>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CONVERTIBLE PREFERRED STOCK AND STOCKHOLDERS’ DEFICIT</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Convertible preferred stock</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Convertible preferred stock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1"/>
              </w:rPr>
              <w:t>December 31, 2020 and 2019</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0"/>
                <w:szCs w:val="10"/>
                <w:color w:val="auto"/>
              </w:rPr>
            </w:pPr>
          </w:p>
        </w:tc>
        <w:tc>
          <w:tcPr>
            <w:tcW w:w="8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Authorized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Seed</w:t>
            </w:r>
          </w:p>
        </w:tc>
        <w:tc>
          <w:tcPr>
            <w:tcW w:w="1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$ 0.3275</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3,434,999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Seed-1</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0.3036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7,812,250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7,812,248</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Seed-2</w:t>
            </w:r>
          </w:p>
        </w:tc>
        <w:tc>
          <w:tcPr>
            <w:tcW w:w="2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0.3624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3,311,260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3,311,260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Series A</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0.5842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16,014,920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16,014,920</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2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1.0413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14,741,184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14,405,065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Series C</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1.5839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19,761,349</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19,761,349</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2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2.7515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19,313,201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18,655,974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51,332</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84,389,164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83,395,815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111,282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320" w:right="120"/>
        <w:spacing w:after="0" w:line="263" w:lineRule="auto"/>
        <w:rPr>
          <w:sz w:val="20"/>
          <w:szCs w:val="20"/>
          <w:color w:val="auto"/>
        </w:rPr>
      </w:pPr>
      <w:r>
        <w:rPr>
          <w:rFonts w:ascii="Arial" w:cs="Arial" w:eastAsia="Arial" w:hAnsi="Arial"/>
          <w:sz w:val="18"/>
          <w:szCs w:val="18"/>
          <w:color w:val="auto"/>
        </w:rPr>
        <w:t>On May 15, 2019 the Company entered into a series D convertible preferred stock purchase agreement, with certain existing and new investors. Pursuant to which the Company issued a total amount of 18,655,974 series D preferred Shares of $0.001 par value each, at a total consideration of $51,204 (net of issuance expenses of $128).</w:t>
      </w:r>
    </w:p>
    <w:p>
      <w:pPr>
        <w:spacing w:after="0" w:line="76" w:lineRule="exact"/>
        <w:rPr>
          <w:sz w:val="20"/>
          <w:szCs w:val="20"/>
          <w:color w:val="auto"/>
        </w:rPr>
      </w:pPr>
    </w:p>
    <w:p>
      <w:pPr>
        <w:ind w:left="1320" w:right="80"/>
        <w:spacing w:after="0" w:line="257" w:lineRule="auto"/>
        <w:rPr>
          <w:sz w:val="20"/>
          <w:szCs w:val="20"/>
          <w:color w:val="auto"/>
        </w:rPr>
      </w:pPr>
      <w:r>
        <w:rPr>
          <w:rFonts w:ascii="Arial" w:cs="Arial" w:eastAsia="Arial" w:hAnsi="Arial"/>
          <w:sz w:val="18"/>
          <w:szCs w:val="18"/>
          <w:color w:val="auto"/>
        </w:rPr>
        <w:t>During 2019, certain common stockholders (including employees or former employees) sold the Company’s common stock in secondary market transactions to new and existing investors of the Company. 4,600,863 common stock were sold for an aggregate consideration of $11,394 at a price of $2.48 per share. The incremental value between the sale price and the fair value of the common stock at each date of sale resulted in stock-based compensation expense recorded under operating expenses in the amount of $2,621 for the year ended December 31, 2019.</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333"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Liquidation Rights</w:t>
      </w:r>
    </w:p>
    <w:p>
      <w:pPr>
        <w:spacing w:after="0" w:line="117" w:lineRule="exact"/>
        <w:rPr>
          <w:sz w:val="20"/>
          <w:szCs w:val="20"/>
          <w:color w:val="auto"/>
        </w:rPr>
      </w:pPr>
    </w:p>
    <w:p>
      <w:pPr>
        <w:ind w:left="1320" w:right="60"/>
        <w:spacing w:after="0" w:line="289" w:lineRule="auto"/>
        <w:rPr>
          <w:sz w:val="20"/>
          <w:szCs w:val="20"/>
          <w:color w:val="auto"/>
        </w:rPr>
      </w:pPr>
      <w:r>
        <w:rPr>
          <w:rFonts w:ascii="Arial" w:cs="Arial" w:eastAsia="Arial" w:hAnsi="Arial"/>
          <w:sz w:val="16"/>
          <w:szCs w:val="16"/>
          <w:color w:val="auto"/>
        </w:rPr>
        <w:t>In the event of any liquidation event, either voluntary or involuntary, or Deemed Liquidation Event (as defined in the Company’s Certificate of Incorporation), the holders of Series Seed-1 Preferred Stock, Series Seed-2 Preferred Stock, Series A Preferred Stock, Series B Preferred Stock, Series C Preferred Stock, and Series D Preferred Stock (together, the “Senior Preferred Stock”) shall be entitled to receive, out of the assets of the Company, the applicable liquidation preference specified for each share of preferred stock then held by them before any payment shall be made or any assets distributed to the holders of Series Seed Preferred Stock or Common Stock (the “Senior Preferred Preference”). Following the payment of the Senior Preferred Preference, the holders of Series Seed Preferred Stock shall be entitled to receive, out of the assets of the Company, the applicable liquidation preference specified for each share of Series Seed Preferred Stock then held by them before any payment shall be made or any assets distributed to the holders of Common Stock (the “Series Seed Preference”). The liquidation preference is $0.3275 per share for Series Seed Preferred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CONVERTIBLE PREFERRED STOCK AND STOCKHOLDERS’ DEFICIT (Cont.)</w:t>
      </w:r>
    </w:p>
    <w:p>
      <w:pPr>
        <w:spacing w:after="0" w:line="135" w:lineRule="exact"/>
        <w:rPr>
          <w:sz w:val="20"/>
          <w:szCs w:val="20"/>
          <w:color w:val="auto"/>
        </w:rPr>
      </w:pPr>
    </w:p>
    <w:p>
      <w:pPr>
        <w:ind w:left="1320"/>
        <w:spacing w:after="0" w:line="259" w:lineRule="auto"/>
        <w:rPr>
          <w:sz w:val="20"/>
          <w:szCs w:val="20"/>
          <w:color w:val="auto"/>
        </w:rPr>
      </w:pPr>
      <w:r>
        <w:rPr>
          <w:rFonts w:ascii="Arial" w:cs="Arial" w:eastAsia="Arial" w:hAnsi="Arial"/>
          <w:sz w:val="18"/>
          <w:szCs w:val="18"/>
          <w:color w:val="auto"/>
        </w:rPr>
        <w:t>Stock, $0.3036 per share for Series Seed-1 Preferred Stock, $0.3624 per share of Series Seed-2 Preferred Stock, $0.5842 per share of Series A Preferred Stock, $1.0413 per share of Series B Preferred Stock, $1.5839 per share of Series C Preferred Stock, and $2.7515 per share of Series D Preferred Stock, each adjusted for any stock splits, combinations, and reorganizations, plus all declared and unpaid dividends on each such share.</w:t>
      </w:r>
    </w:p>
    <w:p>
      <w:pPr>
        <w:spacing w:after="0" w:line="79" w:lineRule="exact"/>
        <w:rPr>
          <w:sz w:val="20"/>
          <w:szCs w:val="20"/>
          <w:color w:val="auto"/>
        </w:rPr>
      </w:pPr>
    </w:p>
    <w:p>
      <w:pPr>
        <w:ind w:left="1320" w:right="100"/>
        <w:spacing w:after="0" w:line="269" w:lineRule="auto"/>
        <w:rPr>
          <w:sz w:val="20"/>
          <w:szCs w:val="20"/>
          <w:color w:val="auto"/>
        </w:rPr>
      </w:pPr>
      <w:r>
        <w:rPr>
          <w:rFonts w:ascii="Arial" w:cs="Arial" w:eastAsia="Arial" w:hAnsi="Arial"/>
          <w:sz w:val="17"/>
          <w:szCs w:val="17"/>
          <w:color w:val="auto"/>
        </w:rPr>
        <w:t>If upon the liquidation event (or Deemed Liquidation Event), the assets to be distributed among the holders of the Senior Preferred Stock are insufficient to permit the payment to such holders of the full Senior Preferred Preference for their shares, then the holders of shares of Senior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 If upon the liquidation event (or Deemed Liquidation Event), the assets to be distributed among the holders of the Series Seed Preferred Stock are insufficient to permit the payment to such holders of the full Series Seed Preference for their shares, then the holders of shares of Series Seed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77" w:lineRule="exact"/>
        <w:rPr>
          <w:sz w:val="20"/>
          <w:szCs w:val="20"/>
          <w:color w:val="auto"/>
        </w:rPr>
      </w:pPr>
    </w:p>
    <w:p>
      <w:pPr>
        <w:ind w:left="1320" w:right="660"/>
        <w:spacing w:after="0" w:line="277" w:lineRule="auto"/>
        <w:rPr>
          <w:sz w:val="20"/>
          <w:szCs w:val="20"/>
          <w:color w:val="auto"/>
        </w:rPr>
      </w:pPr>
      <w:r>
        <w:rPr>
          <w:rFonts w:ascii="Arial" w:cs="Arial" w:eastAsia="Arial" w:hAnsi="Arial"/>
          <w:sz w:val="18"/>
          <w:szCs w:val="18"/>
          <w:color w:val="auto"/>
        </w:rPr>
        <w:t>After the payment to the holders of preferred stock of the full preferential amounts specified above, any remaining assets of the Company shall be distributed pro rata among the holders of Common Stock.</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Optional Conversion Rights</w:t>
      </w:r>
    </w:p>
    <w:p>
      <w:pPr>
        <w:spacing w:after="0" w:line="117" w:lineRule="exact"/>
        <w:rPr>
          <w:sz w:val="20"/>
          <w:szCs w:val="20"/>
          <w:color w:val="auto"/>
        </w:rPr>
      </w:pPr>
    </w:p>
    <w:p>
      <w:pPr>
        <w:ind w:left="1320" w:right="80"/>
        <w:spacing w:after="0" w:line="273" w:lineRule="auto"/>
        <w:rPr>
          <w:sz w:val="20"/>
          <w:szCs w:val="20"/>
          <w:color w:val="auto"/>
        </w:rPr>
      </w:pPr>
      <w:r>
        <w:rPr>
          <w:rFonts w:ascii="Arial" w:cs="Arial" w:eastAsia="Arial" w:hAnsi="Arial"/>
          <w:sz w:val="17"/>
          <w:szCs w:val="17"/>
          <w:color w:val="auto"/>
        </w:rPr>
        <w:t>Shares of any series of preferred stock shall be convertible, at the option of the holder thereof and without payment of additional consideration by the holder thereof, into such number of fully paid and non-assessable shares of Common Stock as is determined by dividing the original issue price for such series divided by the conversion price for such series, as adjusted for any stock splits, combinations, reorganizations and applicable dilutive issuances, in effect on the date of the conversion. In addition, the conversion price for each series of preferred stock will be reduced upon certain issuances by the Company of Common Stock for consideration per share that is less than the conversion price applicable to such series.</w:t>
      </w:r>
    </w:p>
    <w:p>
      <w:pPr>
        <w:spacing w:after="0" w:line="286"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Automatic Conversion</w:t>
      </w:r>
    </w:p>
    <w:p>
      <w:pPr>
        <w:spacing w:after="0" w:line="117" w:lineRule="exact"/>
        <w:rPr>
          <w:sz w:val="20"/>
          <w:szCs w:val="20"/>
          <w:color w:val="auto"/>
        </w:rPr>
      </w:pPr>
    </w:p>
    <w:p>
      <w:pPr>
        <w:ind w:left="1320" w:right="60"/>
        <w:spacing w:after="0" w:line="284" w:lineRule="auto"/>
        <w:rPr>
          <w:sz w:val="20"/>
          <w:szCs w:val="20"/>
          <w:color w:val="auto"/>
        </w:rPr>
      </w:pPr>
      <w:r>
        <w:rPr>
          <w:rFonts w:ascii="Arial" w:cs="Arial" w:eastAsia="Arial" w:hAnsi="Arial"/>
          <w:sz w:val="16"/>
          <w:szCs w:val="16"/>
          <w:color w:val="auto"/>
        </w:rPr>
        <w:t>Each share of preferred stock shall automatically be converted into shares of Common Stock at the then effective conversion price for such share immediately upon either (i) the closing of the sale of shares of Common Stock to the public at a price of at least $4.8151 per share (before deduction of the underwriting discount and commissions and subject to appropriate adjustments), in a firm-commitment underwritten public offering pursuant to an effective registration statement under the Securities Act of 1933, as amended, resulting in at least $50,000 of proceeds, before deduction of the underwriting discount and commissions, to the Company, (ii) the closing of the sale of shares of Common Stock to the public in a firm-commitment underwritten public offering pursuant to an effective registration statement under the Securities Act of 1933, as amended, that is approved by the holders of at least a majority of the then outstanding shares of Senior Preferred Stock, which shall include the holders of 55% of the outstanding shares of Series D Preferred Stock, or</w:t>
      </w:r>
    </w:p>
    <w:p>
      <w:pPr>
        <w:spacing w:after="0" w:line="1" w:lineRule="exact"/>
        <w:rPr>
          <w:sz w:val="20"/>
          <w:szCs w:val="20"/>
          <w:color w:val="auto"/>
        </w:rPr>
      </w:pPr>
    </w:p>
    <w:p>
      <w:pPr>
        <w:ind w:left="1320" w:right="60" w:firstLine="8"/>
        <w:spacing w:after="0" w:line="255" w:lineRule="auto"/>
        <w:tabs>
          <w:tab w:leader="none" w:pos="163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affirmative vote or written consent of the holders of at least a majority of the then outstanding shares of Senior Preferred Stock, voting together as a single class and on an as-converted basis, which (A) shall include the holders of a majority of the outstanding shares of each of the Series C Preferred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CONVERTIBLE PREFERRED STOCK AND STOCKHOLDERS’ DEFICIT (Cont.)</w:t>
      </w:r>
    </w:p>
    <w:p>
      <w:pPr>
        <w:spacing w:after="0" w:line="135" w:lineRule="exact"/>
        <w:rPr>
          <w:sz w:val="20"/>
          <w:szCs w:val="20"/>
          <w:color w:val="auto"/>
        </w:rPr>
      </w:pPr>
    </w:p>
    <w:p>
      <w:pPr>
        <w:jc w:val="both"/>
        <w:ind w:left="1320" w:right="420"/>
        <w:spacing w:after="0" w:line="286" w:lineRule="auto"/>
        <w:rPr>
          <w:sz w:val="20"/>
          <w:szCs w:val="20"/>
          <w:color w:val="auto"/>
        </w:rPr>
      </w:pPr>
      <w:r>
        <w:rPr>
          <w:rFonts w:ascii="Arial" w:cs="Arial" w:eastAsia="Arial" w:hAnsi="Arial"/>
          <w:sz w:val="17"/>
          <w:szCs w:val="17"/>
          <w:color w:val="auto"/>
        </w:rPr>
        <w:t>Stock and Series D Preferred Stock, if such conversion is not made in connection with a Deemed Liquidation Event, and (B) shall include the holders of at least 70% of the outstanding shares of Series C Preferred Stock and the holders of 55% of the outstanding shares of Series D Preferred Stock, if such conversion is made in connection with a Deemed Liquidation Event.</w:t>
      </w:r>
    </w:p>
    <w:p>
      <w:pPr>
        <w:spacing w:after="0" w:line="273"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Dividend Rights</w:t>
      </w:r>
    </w:p>
    <w:p>
      <w:pPr>
        <w:spacing w:after="0" w:line="117" w:lineRule="exact"/>
        <w:rPr>
          <w:sz w:val="20"/>
          <w:szCs w:val="20"/>
          <w:color w:val="auto"/>
        </w:rPr>
      </w:pPr>
    </w:p>
    <w:p>
      <w:pPr>
        <w:ind w:left="1320" w:right="120"/>
        <w:spacing w:after="0" w:line="270" w:lineRule="auto"/>
        <w:rPr>
          <w:sz w:val="20"/>
          <w:szCs w:val="20"/>
          <w:color w:val="auto"/>
        </w:rPr>
      </w:pPr>
      <w:r>
        <w:rPr>
          <w:rFonts w:ascii="Arial" w:cs="Arial" w:eastAsia="Arial" w:hAnsi="Arial"/>
          <w:sz w:val="17"/>
          <w:szCs w:val="17"/>
          <w:color w:val="auto"/>
        </w:rPr>
        <w:t>Holders of any series of Senior Preferred Stock, shall be entitled to receive, when, as and if declared by the Board of Directors, noncumulative dividends at the rate per annum of 6% of the applicable original issue price per share from and after the applicable date of issuance of such shares, for such shares of such series of Senior Preferred Stock, on a pari passu basis with each holder of Senior Preferred Stock and in preference to any dividend on Series Seed Preferred Stock and Common Stock. Following satisfaction of the foregoing preference in respect of Senior Preferred Stock, holders of Series Seed Preferred Stock shall be entitled to receive, when, as and if declared by the Board, noncumulative dividends at the rate per annum of 6% of the original issue price per share of Series Seed Preferred Stock from and after August 8, 2013, for such shares of Series Seed Preferred Stock. After satisfaction of the foregoing dividend preferences, any remaining dividends shall be distributed to all holders of Common Stock on a pro-rata basis (treating the preferred stock on as as-if converted basis).</w:t>
      </w:r>
    </w:p>
    <w:p>
      <w:pPr>
        <w:spacing w:after="0" w:line="28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Voting Rights</w:t>
      </w:r>
    </w:p>
    <w:p>
      <w:pPr>
        <w:spacing w:after="0" w:line="117" w:lineRule="exact"/>
        <w:rPr>
          <w:sz w:val="20"/>
          <w:szCs w:val="20"/>
          <w:color w:val="auto"/>
        </w:rPr>
      </w:pPr>
    </w:p>
    <w:p>
      <w:pPr>
        <w:jc w:val="both"/>
        <w:ind w:left="1320" w:right="60"/>
        <w:spacing w:after="0" w:line="263" w:lineRule="auto"/>
        <w:rPr>
          <w:sz w:val="20"/>
          <w:szCs w:val="20"/>
          <w:color w:val="auto"/>
        </w:rPr>
      </w:pPr>
      <w:r>
        <w:rPr>
          <w:rFonts w:ascii="Arial" w:cs="Arial" w:eastAsia="Arial" w:hAnsi="Arial"/>
          <w:sz w:val="18"/>
          <w:szCs w:val="18"/>
          <w:color w:val="auto"/>
        </w:rPr>
        <w:t>Each holder of preferred stock shall be entitled to the number of votes equal to the number of shares of Common Stock into which such shares of preferred stock held by such holder could then be converted as of the record date for determining stockholders entitled to vote on such matter.</w:t>
      </w:r>
    </w:p>
    <w:p>
      <w:pPr>
        <w:spacing w:after="0" w:line="76" w:lineRule="exact"/>
        <w:rPr>
          <w:sz w:val="20"/>
          <w:szCs w:val="20"/>
          <w:color w:val="auto"/>
        </w:rPr>
      </w:pPr>
    </w:p>
    <w:p>
      <w:pPr>
        <w:ind w:left="1320" w:right="60"/>
        <w:spacing w:after="0" w:line="291" w:lineRule="auto"/>
        <w:rPr>
          <w:sz w:val="20"/>
          <w:szCs w:val="20"/>
          <w:color w:val="auto"/>
        </w:rPr>
      </w:pPr>
      <w:r>
        <w:rPr>
          <w:rFonts w:ascii="Arial" w:cs="Arial" w:eastAsia="Arial" w:hAnsi="Arial"/>
          <w:sz w:val="16"/>
          <w:szCs w:val="16"/>
          <w:color w:val="auto"/>
        </w:rPr>
        <w:t>The holders of record the shares of Series A Preferred Stock, exclusively and as a single class, shall be entitled to elect one director of the Company. The holders of record the shares of Series B Preferred Stock, exclusively and as a single class, shall be entitled to elect one director of the Company. The holders of record the shares of Series C Preferred Stock, exclusively and as a single class, shall be entitled to elect one director of the Company. The holders of record the shares of Series D Preferred Stock, exclusively and as a single class, shall be entitled to elect one director of the Company. The holders of record of the shares of Common Stock, exclusively and as a separate class, shall be entitled to elect two directors of the Company. The holders of record of the shares of Common Stock and Preferred Stock, exclusively and voting as a single class, shall be entitled to elect any remaining directors of the Company.</w:t>
      </w:r>
    </w:p>
    <w:p>
      <w:pPr>
        <w:spacing w:after="0" w:line="274"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Redemption Rights</w:t>
      </w:r>
    </w:p>
    <w:p>
      <w:pPr>
        <w:spacing w:after="0" w:line="117" w:lineRule="exact"/>
        <w:rPr>
          <w:sz w:val="20"/>
          <w:szCs w:val="20"/>
          <w:color w:val="auto"/>
        </w:rPr>
      </w:pPr>
    </w:p>
    <w:p>
      <w:pPr>
        <w:ind w:left="1320"/>
        <w:spacing w:after="0" w:line="263" w:lineRule="auto"/>
        <w:rPr>
          <w:sz w:val="20"/>
          <w:szCs w:val="20"/>
          <w:color w:val="auto"/>
        </w:rPr>
      </w:pPr>
      <w:r>
        <w:rPr>
          <w:rFonts w:ascii="Arial" w:cs="Arial" w:eastAsia="Arial" w:hAnsi="Arial"/>
          <w:sz w:val="18"/>
          <w:szCs w:val="18"/>
          <w:color w:val="auto"/>
        </w:rPr>
        <w:t>The preferred stock is not redeemable at the option of the Company or any holder or holders thereof. The preferred stock is contingently redeemable if the Company does not effect a dissolution of the Company after the occurrence of certain events constituting a Deemed Liquidation Event.</w:t>
      </w:r>
    </w:p>
    <w:p>
      <w:pPr>
        <w:spacing w:after="0" w:line="292"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Common stock</w:t>
      </w:r>
    </w:p>
    <w:p>
      <w:pPr>
        <w:spacing w:after="0" w:line="117" w:lineRule="exact"/>
        <w:rPr>
          <w:sz w:val="20"/>
          <w:szCs w:val="20"/>
          <w:color w:val="auto"/>
        </w:rPr>
      </w:pPr>
    </w:p>
    <w:p>
      <w:pPr>
        <w:jc w:val="both"/>
        <w:ind w:left="1320" w:right="100"/>
        <w:spacing w:after="0" w:line="263" w:lineRule="auto"/>
        <w:rPr>
          <w:sz w:val="20"/>
          <w:szCs w:val="20"/>
          <w:color w:val="auto"/>
        </w:rPr>
      </w:pPr>
      <w:r>
        <w:rPr>
          <w:rFonts w:ascii="Arial" w:cs="Arial" w:eastAsia="Arial" w:hAnsi="Arial"/>
          <w:sz w:val="18"/>
          <w:szCs w:val="18"/>
          <w:color w:val="auto"/>
        </w:rPr>
        <w:t>Common stock-holders have equal rights including voting rights and rights to dividends. The shares confer upon their holders the right to receive, upon the winding up of the Company, a sum equal to their nominal value, and certain other rights, all as are specified in the Company’s Amended and Restated Certificate of Incorporation.</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320" w:right="540"/>
        <w:spacing w:after="0" w:line="277" w:lineRule="auto"/>
        <w:rPr>
          <w:sz w:val="20"/>
          <w:szCs w:val="20"/>
          <w:color w:val="auto"/>
        </w:rPr>
      </w:pPr>
      <w:r>
        <w:rPr>
          <w:rFonts w:ascii="Arial" w:cs="Arial" w:eastAsia="Arial" w:hAnsi="Arial"/>
          <w:sz w:val="18"/>
          <w:szCs w:val="18"/>
          <w:color w:val="auto"/>
        </w:rPr>
        <w:t>The Company adopted the Groop Internet Platform Inc. 2014 Global Share Incentive Plan (the “Option Plan”) pursuant to which incentive and nonqualified stock options and stock purchase rights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EQUITY INCENTIVE PLAN (Cont.)</w:t>
      </w:r>
    </w:p>
    <w:p>
      <w:pPr>
        <w:spacing w:after="0" w:line="135" w:lineRule="exact"/>
        <w:rPr>
          <w:sz w:val="20"/>
          <w:szCs w:val="20"/>
          <w:color w:val="auto"/>
        </w:rPr>
      </w:pPr>
    </w:p>
    <w:p>
      <w:pPr>
        <w:ind w:left="1320"/>
        <w:spacing w:after="0" w:line="257" w:lineRule="auto"/>
        <w:rPr>
          <w:sz w:val="20"/>
          <w:szCs w:val="20"/>
          <w:color w:val="auto"/>
        </w:rPr>
      </w:pPr>
      <w:r>
        <w:rPr>
          <w:rFonts w:ascii="Arial" w:cs="Arial" w:eastAsia="Arial" w:hAnsi="Arial"/>
          <w:sz w:val="18"/>
          <w:szCs w:val="18"/>
          <w:color w:val="auto"/>
        </w:rPr>
        <w:t>to purchase the Company’s common stock may be granted to officers, employees, directors, consultants and service providers. As of December 31, 2020, 889,046 common shares are reserved for issuance under the Option Plan, as amended. The Option Plan is administered by the Company’s board of directors (the “Plan Administrator”). The Plan Administrator determines the exercise price and vesting schedules for stock options granted under the Option Plan on the date of grant. Stock option grants generally vest over a four-year period and generally have contractual terms of ten years.</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 summary of the Company’s stock option activity to employees, directors and service providers and related information is as follows: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2020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Weighted</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remaining</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term</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price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(in years)</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13,841,065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0.61</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5,152,687</w:t>
            </w:r>
          </w:p>
        </w:tc>
        <w:tc>
          <w:tcPr>
            <w:tcW w:w="340" w:type="dxa"/>
            <w:vAlign w:val="bottom"/>
          </w:tcPr>
          <w:p>
            <w:pPr>
              <w:spacing w:after="0"/>
              <w:rPr>
                <w:sz w:val="18"/>
                <w:szCs w:val="18"/>
                <w:color w:val="auto"/>
              </w:rPr>
            </w:pP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1.37</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(167,315)</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0.56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(728,622)</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1.22</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18,097,815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0.80</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134,094</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Exercisable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11,161,876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0.52</w:t>
            </w:r>
          </w:p>
        </w:tc>
        <w:tc>
          <w:tcPr>
            <w:tcW w:w="6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320" w:right="40"/>
        <w:spacing w:after="0" w:line="277" w:lineRule="auto"/>
        <w:rPr>
          <w:sz w:val="20"/>
          <w:szCs w:val="20"/>
          <w:color w:val="auto"/>
        </w:rPr>
      </w:pPr>
      <w:r>
        <w:rPr>
          <w:rFonts w:ascii="Arial" w:cs="Arial" w:eastAsia="Arial" w:hAnsi="Arial"/>
          <w:sz w:val="18"/>
          <w:szCs w:val="18"/>
          <w:color w:val="auto"/>
        </w:rPr>
        <w:t>The weighted-average grant-date fair value of stock options granted to employees during the years ended December 31, 2020 and 2019, was $1.92 and $0.78 per share, respectively.</w:t>
      </w:r>
    </w:p>
    <w:p>
      <w:pPr>
        <w:spacing w:after="0" w:line="62" w:lineRule="exact"/>
        <w:rPr>
          <w:sz w:val="20"/>
          <w:szCs w:val="20"/>
          <w:color w:val="auto"/>
        </w:rPr>
      </w:pPr>
    </w:p>
    <w:p>
      <w:pPr>
        <w:ind w:left="1320" w:right="80"/>
        <w:spacing w:after="0" w:line="277" w:lineRule="auto"/>
        <w:rPr>
          <w:sz w:val="20"/>
          <w:szCs w:val="20"/>
          <w:color w:val="auto"/>
        </w:rPr>
      </w:pPr>
      <w:r>
        <w:rPr>
          <w:rFonts w:ascii="Arial" w:cs="Arial" w:eastAsia="Arial" w:hAnsi="Arial"/>
          <w:sz w:val="18"/>
          <w:szCs w:val="18"/>
          <w:color w:val="auto"/>
        </w:rPr>
        <w:t>The following table sets forth the total stock-based compensation expense included in the respective components of operating expenses in the consolidated statements of comprehensive loss:</w:t>
      </w:r>
    </w:p>
    <w:p>
      <w:pPr>
        <w:spacing w:after="0" w:line="189"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8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Clinical Operations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1,568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2,053</w:t>
            </w:r>
          </w:p>
        </w:tc>
      </w:tr>
      <w:tr>
        <w:trPr>
          <w:trHeight w:val="27"/>
        </w:trPr>
        <w:tc>
          <w:tcPr>
            <w:tcW w:w="4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2,977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3,404</w:t>
            </w:r>
          </w:p>
        </w:tc>
      </w:tr>
      <w:tr>
        <w:trPr>
          <w:trHeight w:val="20"/>
        </w:trPr>
        <w:tc>
          <w:tcPr>
            <w:tcW w:w="4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120"/>
        <w:spacing w:after="0" w:line="277" w:lineRule="auto"/>
        <w:rPr>
          <w:sz w:val="20"/>
          <w:szCs w:val="20"/>
          <w:color w:val="auto"/>
        </w:rPr>
      </w:pPr>
      <w:r>
        <w:rPr>
          <w:rFonts w:ascii="Arial" w:cs="Arial" w:eastAsia="Arial" w:hAnsi="Arial"/>
          <w:sz w:val="18"/>
          <w:szCs w:val="18"/>
          <w:color w:val="auto"/>
        </w:rPr>
        <w:t>As of December 31, 2020, there was $9,337 of total unrecognized compensation cost related to non-vested options that are expected to be recognized over a period of up to 4 years.</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Warrants to financial institutions</w:t>
      </w:r>
    </w:p>
    <w:p>
      <w:pPr>
        <w:spacing w:after="0" w:line="117" w:lineRule="exact"/>
        <w:rPr>
          <w:sz w:val="20"/>
          <w:szCs w:val="20"/>
          <w:color w:val="auto"/>
        </w:rPr>
      </w:pPr>
    </w:p>
    <w:p>
      <w:pPr>
        <w:ind w:left="1320" w:right="220"/>
        <w:spacing w:after="0" w:line="277" w:lineRule="auto"/>
        <w:rPr>
          <w:sz w:val="20"/>
          <w:szCs w:val="20"/>
          <w:color w:val="auto"/>
        </w:rPr>
      </w:pPr>
      <w:r>
        <w:rPr>
          <w:rFonts w:ascii="Arial" w:cs="Arial" w:eastAsia="Arial" w:hAnsi="Arial"/>
          <w:sz w:val="18"/>
          <w:szCs w:val="18"/>
          <w:color w:val="auto"/>
        </w:rPr>
        <w:t>As of December 31, 2020, there were 60,000 outstanding warrants to purchase the Company’s common stock for a price of $0.44 per share. These warrants were issued in 2017 and will expire in 2027.</w:t>
      </w:r>
    </w:p>
    <w:p>
      <w:pPr>
        <w:spacing w:after="0" w:line="62" w:lineRule="exact"/>
        <w:rPr>
          <w:sz w:val="20"/>
          <w:szCs w:val="20"/>
          <w:color w:val="auto"/>
        </w:rPr>
      </w:pPr>
    </w:p>
    <w:p>
      <w:pPr>
        <w:jc w:val="both"/>
        <w:ind w:left="1320" w:right="20"/>
        <w:spacing w:after="0" w:line="263" w:lineRule="auto"/>
        <w:rPr>
          <w:sz w:val="20"/>
          <w:szCs w:val="20"/>
          <w:color w:val="auto"/>
        </w:rPr>
      </w:pPr>
      <w:r>
        <w:rPr>
          <w:rFonts w:ascii="Arial" w:cs="Arial" w:eastAsia="Arial" w:hAnsi="Arial"/>
          <w:sz w:val="18"/>
          <w:szCs w:val="18"/>
          <w:color w:val="auto"/>
        </w:rPr>
        <w:t>As of December 31, 2020, there were 50,881 outstanding warrants to purchase the Company’s preferred D stock for a price of $2.75 per share. These warrants were issued in 2019 and will expire in 2029. The Company accounted for the warrants as a liability at fair value. The fair value of the warrants as of December 31, 2020 amounted to $444.</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NET LOSS PER SHARE ATTRIBUTABLE TO COMMON STOCKHOLDERS</w:t>
      </w:r>
    </w:p>
    <w:p>
      <w:pPr>
        <w:spacing w:after="0" w:line="121" w:lineRule="exact"/>
        <w:rPr>
          <w:sz w:val="20"/>
          <w:szCs w:val="20"/>
          <w:color w:val="auto"/>
        </w:rPr>
      </w:pPr>
    </w:p>
    <w:p>
      <w:pPr>
        <w:ind w:left="1320" w:right="5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89"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Year ended</w:t>
      </w:r>
    </w:p>
    <w:p>
      <w:pPr>
        <w:jc w:val="center"/>
        <w:ind w:left="8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7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22,370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29,086</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04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11,779,604</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11,219,242</w:t>
            </w:r>
          </w:p>
        </w:tc>
        <w:tc>
          <w:tcPr>
            <w:tcW w:w="60" w:type="dxa"/>
            <w:vAlign w:val="bottom"/>
          </w:tcPr>
          <w:p>
            <w:pPr>
              <w:spacing w:after="0"/>
              <w:rPr>
                <w:sz w:val="20"/>
                <w:szCs w:val="20"/>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20"/>
        <w:spacing w:after="0" w:line="263" w:lineRule="auto"/>
        <w:rPr>
          <w:sz w:val="20"/>
          <w:szCs w:val="20"/>
          <w:color w:val="auto"/>
        </w:rPr>
      </w:pPr>
      <w:r>
        <w:rPr>
          <w:rFonts w:ascii="Arial" w:cs="Arial" w:eastAsia="Arial" w:hAnsi="Arial"/>
          <w:sz w:val="18"/>
          <w:szCs w:val="18"/>
          <w:color w:val="auto"/>
        </w:rPr>
        <w:t>The following were excluded from the calculation of diluted loss per share since it would have an anti-dilutive effect: 83,395,815 shares of convertible preferred stock, 18,097,815 stock options, 60,000 warrants to the Company’s common stock and 50,881 warrants to the Company’s series D convertible preferred stock.</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TAXES ON INCOME</w:t>
      </w:r>
    </w:p>
    <w:p>
      <w:pPr>
        <w:spacing w:after="0" w:line="135" w:lineRule="exact"/>
        <w:rPr>
          <w:sz w:val="20"/>
          <w:szCs w:val="20"/>
          <w:color w:val="auto"/>
        </w:rPr>
      </w:pPr>
    </w:p>
    <w:p>
      <w:pPr>
        <w:ind w:left="1860" w:hanging="543"/>
        <w:spacing w:after="0"/>
        <w:tabs>
          <w:tab w:leader="none" w:pos="18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Domestic:</w:t>
      </w:r>
    </w:p>
    <w:p>
      <w:pPr>
        <w:spacing w:after="0" w:line="117" w:lineRule="exact"/>
        <w:rPr>
          <w:sz w:val="20"/>
          <w:szCs w:val="20"/>
          <w:color w:val="auto"/>
        </w:rPr>
      </w:pPr>
    </w:p>
    <w:p>
      <w:pPr>
        <w:ind w:left="1880" w:right="80"/>
        <w:spacing w:after="0" w:line="308" w:lineRule="auto"/>
        <w:rPr>
          <w:sz w:val="20"/>
          <w:szCs w:val="20"/>
          <w:color w:val="auto"/>
        </w:rPr>
      </w:pPr>
      <w:r>
        <w:rPr>
          <w:rFonts w:ascii="Arial" w:cs="Arial" w:eastAsia="Arial" w:hAnsi="Arial"/>
          <w:sz w:val="17"/>
          <w:szCs w:val="17"/>
          <w:color w:val="auto"/>
        </w:rPr>
        <w:t>Groop Internet Platform Inc., together with its U.S. subsidiary, is taxed under the tax laws of the United States and the statutory enacted corporate income tax rate for the years ended December 31, 2020 and 2019 is approximately 21%.</w:t>
      </w:r>
    </w:p>
    <w:p>
      <w:pPr>
        <w:spacing w:after="0" w:line="38" w:lineRule="exact"/>
        <w:rPr>
          <w:sz w:val="20"/>
          <w:szCs w:val="20"/>
          <w:color w:val="auto"/>
        </w:rPr>
      </w:pPr>
    </w:p>
    <w:p>
      <w:pPr>
        <w:ind w:left="1880" w:right="640"/>
        <w:spacing w:after="0" w:line="277" w:lineRule="auto"/>
        <w:rPr>
          <w:sz w:val="20"/>
          <w:szCs w:val="20"/>
          <w:color w:val="auto"/>
        </w:rPr>
      </w:pPr>
      <w:r>
        <w:rPr>
          <w:rFonts w:ascii="Arial" w:cs="Arial" w:eastAsia="Arial" w:hAnsi="Arial"/>
          <w:sz w:val="18"/>
          <w:szCs w:val="18"/>
          <w:color w:val="auto"/>
        </w:rPr>
        <w:t>As of December 31, 2020, the Company has U.S. federal and state tax loss carry-forward of approximately $97,000 and $105,000, respectively, which if unused will begin to expire 2032.</w:t>
      </w:r>
    </w:p>
    <w:p>
      <w:pPr>
        <w:spacing w:after="0" w:line="62" w:lineRule="exact"/>
        <w:rPr>
          <w:sz w:val="20"/>
          <w:szCs w:val="20"/>
          <w:color w:val="auto"/>
        </w:rPr>
      </w:pPr>
    </w:p>
    <w:p>
      <w:pPr>
        <w:ind w:left="1880" w:right="60"/>
        <w:spacing w:after="0" w:line="263" w:lineRule="auto"/>
        <w:rPr>
          <w:sz w:val="20"/>
          <w:szCs w:val="20"/>
          <w:color w:val="auto"/>
        </w:rPr>
      </w:pPr>
      <w:r>
        <w:rPr>
          <w:rFonts w:ascii="Arial" w:cs="Arial" w:eastAsia="Arial" w:hAnsi="Arial"/>
          <w:sz w:val="18"/>
          <w:szCs w:val="18"/>
          <w:color w:val="auto"/>
        </w:rPr>
        <w:t>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89" w:lineRule="exact"/>
        <w:rPr>
          <w:sz w:val="20"/>
          <w:szCs w:val="20"/>
          <w:color w:val="auto"/>
        </w:rPr>
      </w:pPr>
    </w:p>
    <w:p>
      <w:pPr>
        <w:ind w:left="1860" w:hanging="543"/>
        <w:spacing w:after="0"/>
        <w:tabs>
          <w:tab w:leader="none" w:pos="18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Israeli taxation:</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Taxable income is subject to a 23% Israeli corporate tax rate in 2020 and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TAXES ON INCOME (Cont.)</w:t>
      </w:r>
    </w:p>
    <w:p>
      <w:pPr>
        <w:spacing w:after="0" w:line="135" w:lineRule="exact"/>
        <w:rPr>
          <w:sz w:val="20"/>
          <w:szCs w:val="20"/>
          <w:color w:val="auto"/>
        </w:rPr>
      </w:pPr>
    </w:p>
    <w:p>
      <w:pPr>
        <w:ind w:left="1860" w:hanging="543"/>
        <w:spacing w:after="0"/>
        <w:tabs>
          <w:tab w:leader="none" w:pos="18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117" w:lineRule="exact"/>
        <w:rPr>
          <w:sz w:val="20"/>
          <w:szCs w:val="20"/>
          <w:color w:val="auto"/>
        </w:rPr>
      </w:pPr>
    </w:p>
    <w:p>
      <w:pPr>
        <w:ind w:left="1880" w:right="100"/>
        <w:spacing w:after="0" w:line="311"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The Company’s deferred tax assets consist of operating loss carryforwards and other temporary differences. The components of the net deferred tax assets are as follows:</w:t>
      </w:r>
    </w:p>
    <w:p>
      <w:pPr>
        <w:spacing w:after="0" w:line="167"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Year ended</w:t>
      </w:r>
    </w:p>
    <w:p>
      <w:pPr>
        <w:jc w:val="center"/>
        <w:ind w:left="86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7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120" w:type="dxa"/>
            <w:vAlign w:val="bottom"/>
            <w:shd w:val="clear" w:color="auto" w:fill="CCEEFF"/>
          </w:tcPr>
          <w:p>
            <w:pPr>
              <w:spacing w:after="0"/>
              <w:rPr>
                <w:sz w:val="18"/>
                <w:szCs w:val="18"/>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22,685</w:t>
            </w: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(27,075)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(22,685)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60" w:hanging="543"/>
        <w:spacing w:after="0"/>
        <w:tabs>
          <w:tab w:leader="none" w:pos="18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Loss (income) before taxes is comprised as follows:</w:t>
      </w:r>
    </w:p>
    <w:p>
      <w:pPr>
        <w:spacing w:after="0" w:line="244"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Year ended</w:t>
      </w:r>
    </w:p>
    <w:p>
      <w:pPr>
        <w:jc w:val="center"/>
        <w:ind w:left="87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3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$ 22,415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$ 29,127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w:t>
            </w:r>
          </w:p>
        </w:tc>
        <w:tc>
          <w:tcPr>
            <w:tcW w:w="34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r>
      <w:tr>
        <w:trPr>
          <w:trHeight w:val="27"/>
        </w:trPr>
        <w:tc>
          <w:tcPr>
            <w:tcW w:w="4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$ 22,346</w:t>
            </w:r>
          </w:p>
        </w:tc>
        <w:tc>
          <w:tcPr>
            <w:tcW w:w="3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$ 29,078</w:t>
            </w:r>
          </w:p>
        </w:tc>
      </w:tr>
      <w:tr>
        <w:trPr>
          <w:trHeight w:val="20"/>
        </w:trPr>
        <w:tc>
          <w:tcPr>
            <w:tcW w:w="4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60" w:hanging="543"/>
        <w:spacing w:after="0"/>
        <w:tabs>
          <w:tab w:leader="none" w:pos="18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244"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Year ended</w:t>
      </w:r>
    </w:p>
    <w:p>
      <w:pPr>
        <w:jc w:val="center"/>
        <w:ind w:left="60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22,346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Statutory tax rate</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benefit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Increase (decrease) in effective tax rate due to:</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(4,390)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(7,015)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8"/>
                <w:szCs w:val="18"/>
                <w:color w:val="auto"/>
                <w:w w:val="99"/>
              </w:rPr>
              <w:t>f.</w:t>
            </w:r>
          </w:p>
        </w:tc>
        <w:tc>
          <w:tcPr>
            <w:tcW w:w="6240" w:type="dxa"/>
            <w:vAlign w:val="bottom"/>
            <w:vMerge w:val="restart"/>
          </w:tcPr>
          <w:p>
            <w:pPr>
              <w:ind w:left="420"/>
              <w:spacing w:after="0"/>
              <w:rPr>
                <w:sz w:val="20"/>
                <w:szCs w:val="20"/>
                <w:color w:val="auto"/>
              </w:rPr>
            </w:pPr>
            <w:r>
              <w:rPr>
                <w:rFonts w:ascii="Arial" w:cs="Arial" w:eastAsia="Arial" w:hAnsi="Arial"/>
                <w:sz w:val="18"/>
                <w:szCs w:val="18"/>
                <w:color w:val="auto"/>
              </w:rPr>
              <w:t>Tax assessments: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20" w:type="dxa"/>
            <w:vAlign w:val="bottom"/>
            <w:vMerge w:val="continue"/>
          </w:tcPr>
          <w:p>
            <w:pPr>
              <w:spacing w:after="0"/>
              <w:rPr>
                <w:sz w:val="24"/>
                <w:szCs w:val="24"/>
                <w:color w:val="auto"/>
              </w:rPr>
            </w:pPr>
          </w:p>
        </w:tc>
        <w:tc>
          <w:tcPr>
            <w:tcW w:w="6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w w:val="95"/>
              </w:rPr>
              <w:t>The US entity has not received final tax assessments since its incorporation.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Israeli subsidiary tax assessments filed by the Company through the 2014 are considered final.</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320" w:right="300"/>
        <w:spacing w:after="0" w:line="277"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Internal Revenue Code. All U.S. employees over the age of 21 are eligible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EMPLOYEE BENEFIT PLAN (Cont.)</w:t>
      </w:r>
    </w:p>
    <w:p>
      <w:pPr>
        <w:spacing w:after="0" w:line="135" w:lineRule="exact"/>
        <w:rPr>
          <w:sz w:val="20"/>
          <w:szCs w:val="20"/>
          <w:color w:val="auto"/>
        </w:rPr>
      </w:pPr>
    </w:p>
    <w:p>
      <w:pPr>
        <w:ind w:left="1320"/>
        <w:spacing w:after="0" w:line="263" w:lineRule="auto"/>
        <w:rPr>
          <w:sz w:val="20"/>
          <w:szCs w:val="20"/>
          <w:color w:val="auto"/>
        </w:rPr>
      </w:pPr>
      <w:r>
        <w:rPr>
          <w:rFonts w:ascii="Arial" w:cs="Arial" w:eastAsia="Arial" w:hAnsi="Arial"/>
          <w:sz w:val="18"/>
          <w:szCs w:val="18"/>
          <w:color w:val="auto"/>
        </w:rPr>
        <w:t>to participate in the plan. The Company contributes 100% of eligible employee’s elective deferral up to 4% of eligible earnings. The Company made matching contributions to participants’ accounts totaling $319 and $264 during the years ended December 31, 2020 and 2019, respectively.</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SUBSEQUENT EVENTS</w:t>
      </w:r>
    </w:p>
    <w:p>
      <w:pPr>
        <w:spacing w:after="0" w:line="135" w:lineRule="exact"/>
        <w:rPr>
          <w:sz w:val="20"/>
          <w:szCs w:val="20"/>
          <w:color w:val="auto"/>
        </w:rPr>
      </w:pPr>
    </w:p>
    <w:p>
      <w:pPr>
        <w:ind w:left="1860" w:hanging="543"/>
        <w:spacing w:after="0" w:line="269" w:lineRule="auto"/>
        <w:tabs>
          <w:tab w:leader="none" w:pos="18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On January 12, 2021, the Company, Hudson Executive Investment Corp. (“HEIC”), a special purpose acquisition company sponsored by Hudson Executive Capital LP, Tailwind Merger Sub I, Inc. (“First Merger Sub”), a direct, wholly owned subsidiary of HEIC, and Tailwind Merger Sub II, LLC (“Second Merger Sub”), a direct, wholly owned subsidiary of HEIC, entered into an agreement and plan of merger (the “Merger Agreement”) pursuant to which (1) First Merger Sub will merge with and into the Company (the “First Merger”), with the Company surviving the First Merger, and (2) immediately following the First Merger and as part of the same overall transaction as the First Merger, the Company will be merged with and into Second Merger Sub (the “Second Merger” and, together with the First Merger, the “Mergers”), with Second Merger Sub surviving the Second Merger as a wholly owned subsidiary of HEIC. Upon closing of the Mergers, HEIC will change its name to Talkspace, Inc. Talkspace, Inc.’s common stock and warrants are expected to be listed on the Nasdaq under the symbols “TALK” and “TALKW,” respectively. The transaction values the Company at an initial enterprise value of $1,400,000 and will provide Talkspace, Inc. with $250,000 of cash, to be used as growth capital.</w:t>
      </w:r>
    </w:p>
    <w:p>
      <w:pPr>
        <w:spacing w:after="0" w:line="74" w:lineRule="exact"/>
        <w:rPr>
          <w:sz w:val="20"/>
          <w:szCs w:val="20"/>
          <w:color w:val="auto"/>
        </w:rPr>
      </w:pPr>
    </w:p>
    <w:p>
      <w:pPr>
        <w:ind w:left="1880" w:right="80"/>
        <w:spacing w:after="0" w:line="257" w:lineRule="auto"/>
        <w:rPr>
          <w:sz w:val="20"/>
          <w:szCs w:val="20"/>
          <w:color w:val="auto"/>
        </w:rPr>
      </w:pPr>
      <w:r>
        <w:rPr>
          <w:rFonts w:ascii="Arial" w:cs="Arial" w:eastAsia="Arial" w:hAnsi="Arial"/>
          <w:sz w:val="18"/>
          <w:szCs w:val="18"/>
          <w:color w:val="auto"/>
        </w:rPr>
        <w:t>The Mergers will be accounted for as a reverse recapitalization in accordance with GAAP. Under this method of accounting, HEIC will be treated as the “acquired” company for financial reporting purposes. Accordingly, the Mergers will be treated as the equivalent of the Company issuing stock for the net assets of HEIC, accompanied by a recapitalization. The net assets of HEIC will be stated at historical cost, with no goodwill or other intangible assets recorded. Operations prior to the Mergers will be those of the Company.</w:t>
      </w:r>
    </w:p>
    <w:p>
      <w:pPr>
        <w:spacing w:after="0" w:line="80" w:lineRule="exact"/>
        <w:rPr>
          <w:sz w:val="20"/>
          <w:szCs w:val="20"/>
          <w:color w:val="auto"/>
        </w:rPr>
      </w:pPr>
    </w:p>
    <w:p>
      <w:pPr>
        <w:ind w:left="1880" w:right="680"/>
        <w:spacing w:after="0" w:line="277" w:lineRule="auto"/>
        <w:rPr>
          <w:sz w:val="20"/>
          <w:szCs w:val="20"/>
          <w:color w:val="auto"/>
        </w:rPr>
      </w:pPr>
      <w:r>
        <w:rPr>
          <w:rFonts w:ascii="Arial" w:cs="Arial" w:eastAsia="Arial" w:hAnsi="Arial"/>
          <w:sz w:val="18"/>
          <w:szCs w:val="18"/>
          <w:color w:val="auto"/>
        </w:rPr>
        <w:t>The closing of the Mergers is subject to the satisfaction or waiver of certain closing conditions contained in the Merger Agreement.</w:t>
      </w:r>
    </w:p>
    <w:p>
      <w:pPr>
        <w:spacing w:after="0" w:line="76" w:lineRule="exact"/>
        <w:rPr>
          <w:sz w:val="20"/>
          <w:szCs w:val="20"/>
          <w:color w:val="auto"/>
        </w:rPr>
      </w:pPr>
    </w:p>
    <w:p>
      <w:pPr>
        <w:ind w:left="1860" w:right="180" w:hanging="543"/>
        <w:spacing w:after="0" w:line="254" w:lineRule="auto"/>
        <w:tabs>
          <w:tab w:leader="none" w:pos="18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On March 15, 2021, the Company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$15,000,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$5,000, available for a period of two years from the effective date of the Credit Agreement.</w:t>
      </w:r>
    </w:p>
    <w:p>
      <w:pPr>
        <w:spacing w:after="0" w:line="87" w:lineRule="exact"/>
        <w:rPr>
          <w:sz w:val="20"/>
          <w:szCs w:val="20"/>
          <w:color w:val="auto"/>
        </w:rPr>
      </w:pPr>
    </w:p>
    <w:p>
      <w:pPr>
        <w:ind w:left="1880" w:right="80"/>
        <w:spacing w:after="0" w:line="257" w:lineRule="auto"/>
        <w:rPr>
          <w:sz w:val="20"/>
          <w:szCs w:val="20"/>
          <w:color w:val="auto"/>
        </w:rPr>
      </w:pPr>
      <w:r>
        <w:rPr>
          <w:rFonts w:ascii="Arial" w:cs="Arial" w:eastAsia="Arial" w:hAnsi="Arial"/>
          <w:sz w:val="18"/>
          <w:szCs w:val="18"/>
          <w:color w:val="auto"/>
        </w:rPr>
        <w:t>Under the Credit Agreement, Borrower is required to maintain a minimum 85% of the net revenue disclosed in the annual projections. The loans bear interest at a per annum rate equal to (x) in respect of each term loan, the greater of (i) the prime rate plus the Applicable Margin or (ii) 4.75%, and (y) in respect of each revolving loan, the greater of (i) the prime rate plus the Applicable Margin or (ii) 3.75%. “Applicable Margin” is (x) in respect of each term loan, 1.50% per annum and (y) in respect of each revolving loan, 0.50% per annum.</w:t>
      </w:r>
    </w:p>
    <w:p>
      <w:pPr>
        <w:spacing w:after="0" w:line="80" w:lineRule="exact"/>
        <w:rPr>
          <w:sz w:val="20"/>
          <w:szCs w:val="20"/>
          <w:color w:val="auto"/>
        </w:rPr>
      </w:pPr>
    </w:p>
    <w:p>
      <w:pPr>
        <w:ind w:left="1880"/>
        <w:spacing w:after="0" w:line="311" w:lineRule="auto"/>
        <w:rPr>
          <w:sz w:val="20"/>
          <w:szCs w:val="20"/>
          <w:color w:val="auto"/>
        </w:rPr>
      </w:pPr>
      <w:r>
        <w:rPr>
          <w:rFonts w:ascii="Arial" w:cs="Arial" w:eastAsia="Arial" w:hAnsi="Arial"/>
          <w:sz w:val="16"/>
          <w:szCs w:val="16"/>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Mergers nor (ii) received net proceeds of at least twenty million dollars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SUBSEQUENT EVENTS (Cont.)</w:t>
      </w:r>
    </w:p>
    <w:p>
      <w:pPr>
        <w:spacing w:after="0" w:line="135" w:lineRule="exact"/>
        <w:rPr>
          <w:sz w:val="20"/>
          <w:szCs w:val="20"/>
          <w:color w:val="auto"/>
        </w:rPr>
      </w:pPr>
    </w:p>
    <w:p>
      <w:pPr>
        <w:ind w:left="1880"/>
        <w:spacing w:after="0" w:line="311" w:lineRule="auto"/>
        <w:rPr>
          <w:sz w:val="20"/>
          <w:szCs w:val="20"/>
          <w:color w:val="auto"/>
        </w:rPr>
      </w:pPr>
      <w:r>
        <w:rPr>
          <w:rFonts w:ascii="Arial" w:cs="Arial" w:eastAsia="Arial" w:hAnsi="Arial"/>
          <w:sz w:val="16"/>
          <w:szCs w:val="16"/>
          <w:color w:val="auto"/>
        </w:rPr>
        <w:t>($20,000) in connection with the issuance of additional equity interests. If the Company either closes the Mergers or receives such net proceeds from an equity issuance prior to June 30, 2021, the Warrant will be exercisable for zero shares and will automatically terminate. Otherwise, the Warrant will be exercisable until March 15, 2031 unless earlier terminated by the lender.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60" w:type="dxa"/>
            <w:vAlign w:val="bottom"/>
            <w:tcBorders>
              <w:bottom w:val="single" w:sz="8" w:color="CCEEFF"/>
            </w:tcBorders>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81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9,772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7,580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2,766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183"/>
        </w:trPr>
        <w:tc>
          <w:tcPr>
            <w:tcW w:w="854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20,118</w:t>
            </w:r>
          </w:p>
        </w:tc>
        <w:tc>
          <w:tcPr>
            <w:tcW w:w="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20,677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60" w:type="dxa"/>
            <w:vAlign w:val="bottom"/>
            <w:tcBorders>
              <w:top w:val="single" w:sz="8" w:color="auto"/>
            </w:tcBorders>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Deferred issuance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4,755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6,134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line="176" w:lineRule="exact"/>
              <w:rPr>
                <w:sz w:val="20"/>
                <w:szCs w:val="20"/>
                <w:color w:val="auto"/>
              </w:rPr>
            </w:pPr>
            <w:r>
              <w:rPr>
                <w:rFonts w:ascii="Arial" w:cs="Arial" w:eastAsia="Arial" w:hAnsi="Arial"/>
                <w:sz w:val="18"/>
                <w:szCs w:val="18"/>
                <w:color w:val="auto"/>
              </w:rPr>
              <w:t>34,919</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LIABILITIES, CONVERTIBLE PREFERRED STOCK AND STOCKHOLDERS’ DEFICIT</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16,830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8,050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7,958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61"/>
              <w:spacing w:after="0" w:line="176" w:lineRule="exact"/>
              <w:rPr>
                <w:sz w:val="20"/>
                <w:szCs w:val="20"/>
                <w:color w:val="auto"/>
              </w:rPr>
            </w:pPr>
            <w:r>
              <w:rPr>
                <w:rFonts w:ascii="Arial" w:cs="Arial" w:eastAsia="Arial" w:hAnsi="Arial"/>
                <w:sz w:val="18"/>
                <w:szCs w:val="18"/>
                <w:color w:val="auto"/>
              </w:rPr>
              <w:t>32,838</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854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Convertible preferred stock (Series Seed, Seed-1, Seed-2, A, B, C and D) of 0.001 par value — Authorized: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84,389,164 shares at March 31, 2021 and December 31, 2020; Issued and outstanding: 83,395,815 shares at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w w:val="95"/>
              </w:rPr>
              <w:t>111,282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111,282</w:t>
            </w:r>
          </w:p>
        </w:tc>
        <w:tc>
          <w:tcPr>
            <w:tcW w:w="0" w:type="dxa"/>
            <w:vAlign w:val="bottom"/>
          </w:tcPr>
          <w:p>
            <w:pPr>
              <w:spacing w:after="0"/>
              <w:rPr>
                <w:sz w:val="1"/>
                <w:szCs w:val="1"/>
                <w:color w:val="auto"/>
              </w:rPr>
            </w:pPr>
          </w:p>
        </w:tc>
      </w:tr>
      <w:tr>
        <w:trPr>
          <w:trHeight w:val="331"/>
        </w:trPr>
        <w:tc>
          <w:tcPr>
            <w:tcW w:w="85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of 0.001 par value — Authorized: 114,092,838 shares at March 31, 2021 and December 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2020; Issued and outstanding: 12,430,874 and 11,826,960 shares at March 31, 2021 and December 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12,313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8"/>
              </w:rPr>
              <w:t>(121,526)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(108,788)</w:t>
            </w:r>
          </w:p>
        </w:tc>
        <w:tc>
          <w:tcPr>
            <w:tcW w:w="0" w:type="dxa"/>
            <w:vAlign w:val="bottom"/>
          </w:tcPr>
          <w:p>
            <w:pPr>
              <w:spacing w:after="0"/>
              <w:rPr>
                <w:sz w:val="1"/>
                <w:szCs w:val="1"/>
                <w:color w:val="auto"/>
              </w:rPr>
            </w:pPr>
          </w:p>
        </w:tc>
      </w:tr>
      <w:tr>
        <w:trPr>
          <w:trHeight w:val="183"/>
        </w:trPr>
        <w:tc>
          <w:tcPr>
            <w:tcW w:w="8540" w:type="dxa"/>
            <w:vAlign w:val="bottom"/>
            <w:gridSpan w:val="2"/>
          </w:tcPr>
          <w:p>
            <w:pPr>
              <w:spacing w:after="0" w:line="182" w:lineRule="exact"/>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(109,201</w:t>
            </w:r>
          </w:p>
        </w:tc>
        <w:tc>
          <w:tcPr>
            <w:tcW w:w="540" w:type="dxa"/>
            <w:vAlign w:val="bottom"/>
          </w:tcPr>
          <w:p>
            <w:pPr>
              <w:jc w:val="right"/>
              <w:ind w:right="401"/>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(98,898)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60" w:type="dxa"/>
            <w:vAlign w:val="bottom"/>
            <w:tcBorders>
              <w:top w:val="single" w:sz="8" w:color="auto"/>
            </w:tcBorders>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1"/>
              <w:spacing w:after="0" w:line="176" w:lineRule="exact"/>
              <w:rPr>
                <w:sz w:val="20"/>
                <w:szCs w:val="20"/>
                <w:color w:val="auto"/>
              </w:rPr>
            </w:pPr>
            <w:r>
              <w:rPr>
                <w:rFonts w:ascii="Arial" w:cs="Arial" w:eastAsia="Arial" w:hAnsi="Arial"/>
                <w:sz w:val="18"/>
                <w:szCs w:val="18"/>
                <w:color w:val="auto"/>
              </w:rPr>
              <w:t>34,919</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900"/>
        <w:spacing w:after="0" w:line="289" w:lineRule="auto"/>
        <w:rPr>
          <w:sz w:val="20"/>
          <w:szCs w:val="20"/>
          <w:color w:val="auto"/>
        </w:rPr>
      </w:pPr>
      <w:r>
        <w:rPr>
          <w:rFonts w:ascii="Arial" w:cs="Arial" w:eastAsia="Arial" w:hAnsi="Arial"/>
          <w:sz w:val="17"/>
          <w:szCs w:val="17"/>
          <w:b w:val="1"/>
          <w:bCs w:val="1"/>
          <w:color w:val="auto"/>
        </w:rPr>
        <w:t>GROOP INTERNET PLATFORM INC. AND ITS SUBSIDIARIES CONSOLIDATED STATEMENTS OF COMPREHENSIVE LOSS (Unaudited) U.S. dollars in thousands (except share and per share data)</w:t>
      </w:r>
    </w:p>
    <w:p>
      <w:pPr>
        <w:spacing w:after="0" w:line="180"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jc w:val="center"/>
        <w:ind w:left="8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360" w:type="dxa"/>
            <w:vAlign w:val="bottom"/>
            <w:tcBorders>
              <w:bottom w:val="single" w:sz="8" w:color="CCEEFF"/>
            </w:tcBorders>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5,410</w:t>
            </w:r>
          </w:p>
        </w:tc>
      </w:tr>
      <w:tr>
        <w:trPr>
          <w:trHeight w:val="27"/>
        </w:trPr>
        <w:tc>
          <w:tcPr>
            <w:tcW w:w="3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5,710</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2,728</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Clinical operations</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8,918</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1,114</w:t>
            </w:r>
          </w:p>
        </w:tc>
      </w:tr>
      <w:tr>
        <w:trPr>
          <w:trHeight w:val="27"/>
        </w:trPr>
        <w:tc>
          <w:tcPr>
            <w:tcW w:w="3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76"/>
        </w:trPr>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29,900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13,637</w:t>
            </w:r>
          </w:p>
        </w:tc>
      </w:tr>
      <w:tr>
        <w:trPr>
          <w:trHeight w:val="20"/>
        </w:trPr>
        <w:tc>
          <w:tcPr>
            <w:tcW w:w="360" w:type="dxa"/>
            <w:vAlign w:val="bottom"/>
            <w:tcBorders>
              <w:top w:val="single" w:sz="8" w:color="auto"/>
            </w:tcBorders>
            <w:shd w:val="clear" w:color="auto" w:fill="CCEEFF"/>
          </w:tcPr>
          <w:p>
            <w:pPr>
              <w:spacing w:after="0" w:line="20" w:lineRule="exact"/>
              <w:rPr>
                <w:sz w:val="1"/>
                <w:szCs w:val="1"/>
                <w:color w:val="auto"/>
              </w:rPr>
            </w:pPr>
          </w:p>
        </w:tc>
        <w:tc>
          <w:tcPr>
            <w:tcW w:w="8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12,557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Pr>
          <w:p>
            <w:pPr>
              <w:spacing w:after="0"/>
              <w:rPr>
                <w:sz w:val="19"/>
                <w:szCs w:val="19"/>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Loss before taxes on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19"/>
                <w:szCs w:val="19"/>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r>
      <w:tr>
        <w:trPr>
          <w:trHeight w:val="20"/>
        </w:trPr>
        <w:tc>
          <w:tcPr>
            <w:tcW w:w="3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used in computing basic and diluted net loss per share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12,134,482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11,728,768</w:t>
            </w:r>
          </w:p>
        </w:tc>
      </w:tr>
      <w:tr>
        <w:trPr>
          <w:trHeight w:val="20"/>
        </w:trPr>
        <w:tc>
          <w:tcPr>
            <w:tcW w:w="3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STOCKHOLDERS’ DEFICIT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Three months ended March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8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gridSpan w:val="10"/>
            <w:vMerge w:val="restart"/>
          </w:tcPr>
          <w:p>
            <w:pPr>
              <w:ind w:left="22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gridSpan w:val="9"/>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10"/>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9"/>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tcPr>
          <w:p>
            <w:pPr>
              <w:ind w:left="740"/>
              <w:spacing w:after="0"/>
              <w:rPr>
                <w:sz w:val="20"/>
                <w:szCs w:val="20"/>
                <w:color w:val="auto"/>
              </w:rPr>
            </w:pPr>
            <w:r>
              <w:rPr>
                <w:rFonts w:ascii="Arial" w:cs="Arial" w:eastAsia="Arial" w:hAnsi="Arial"/>
                <w:sz w:val="14"/>
                <w:szCs w:val="14"/>
                <w:b w:val="1"/>
                <w:bCs w:val="1"/>
                <w:color w:val="auto"/>
              </w:rPr>
              <w:t>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6"/>
              </w:rPr>
              <w:t>83,395,815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$111,282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11,659,645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(79,599)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107,574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(7,900)</w:t>
            </w:r>
          </w:p>
        </w:tc>
        <w:tc>
          <w:tcPr>
            <w:tcW w:w="860" w:type="dxa"/>
            <w:vAlign w:val="bottom"/>
            <w:gridSpan w:val="3"/>
          </w:tcPr>
          <w:p>
            <w:pPr>
              <w:jc w:val="right"/>
              <w:ind w:right="21"/>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March 31, 2020</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83,395,815</w:t>
            </w:r>
          </w:p>
        </w:tc>
        <w:tc>
          <w:tcPr>
            <w:tcW w:w="10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11,767,219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(94,318)</w:t>
            </w:r>
          </w:p>
        </w:tc>
        <w:tc>
          <w:tcPr>
            <w:tcW w:w="8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(87,044)</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gridSpan w:val="8"/>
            <w:vMerge w:val="restart"/>
          </w:tcPr>
          <w:p>
            <w:pPr>
              <w:ind w:left="12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22"/>
                <w:szCs w:val="22"/>
                <w:color w:val="auto"/>
              </w:rPr>
            </w:pPr>
          </w:p>
        </w:tc>
        <w:tc>
          <w:tcPr>
            <w:tcW w:w="240" w:type="dxa"/>
            <w:vAlign w:val="bottom"/>
            <w:gridSpan w:val="4"/>
            <w:vMerge w:val="restart"/>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Stock</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0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40" w:type="dxa"/>
            <w:vAlign w:val="bottom"/>
            <w:gridSpan w:val="4"/>
          </w:tcPr>
          <w:p>
            <w:pPr>
              <w:spacing w:after="0"/>
              <w:rPr>
                <w:sz w:val="14"/>
                <w:szCs w:val="14"/>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83,395,815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$111,282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11,826,960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(108,788)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40" w:type="dxa"/>
            <w:vAlign w:val="bottom"/>
            <w:gridSpan w:val="4"/>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603,914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40" w:type="dxa"/>
            <w:vAlign w:val="bottom"/>
            <w:gridSpan w:val="4"/>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0" w:type="dxa"/>
            <w:vAlign w:val="bottom"/>
          </w:tcPr>
          <w:p>
            <w:pPr>
              <w:spacing w:after="0"/>
              <w:rPr>
                <w:sz w:val="18"/>
                <w:szCs w:val="18"/>
                <w:color w:val="auto"/>
              </w:rPr>
            </w:pP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4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40" w:type="dxa"/>
            <w:vAlign w:val="bottom"/>
            <w:gridSpan w:val="4"/>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(12,738)</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color w:val="auto"/>
              </w:rPr>
              <w:t>Balance as of March 31, 2021</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83,395,815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12,430,874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(121,526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(109,201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3460" w:type="dxa"/>
            <w:vAlign w:val="bottom"/>
            <w:gridSpan w:val="2"/>
            <w:vMerge w:val="restart"/>
          </w:tcPr>
          <w:p>
            <w:pPr>
              <w:ind w:left="140"/>
              <w:spacing w:after="0"/>
              <w:rPr>
                <w:sz w:val="20"/>
                <w:szCs w:val="20"/>
                <w:color w:val="auto"/>
              </w:rPr>
            </w:pPr>
            <w:r>
              <w:rPr>
                <w:rFonts w:ascii="Arial" w:cs="Arial" w:eastAsia="Arial" w:hAnsi="Arial"/>
                <w:sz w:val="18"/>
                <w:szCs w:val="18"/>
                <w:color w:val="auto"/>
              </w:rPr>
              <w:t>Represents an amount lower than $1</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17"/>
          </w:tcPr>
          <w:p>
            <w:pPr>
              <w:spacing w:after="0"/>
              <w:rPr>
                <w:sz w:val="20"/>
                <w:szCs w:val="20"/>
                <w:color w:val="auto"/>
              </w:rPr>
            </w:pPr>
            <w:r>
              <w:rPr>
                <w:rFonts w:ascii="Arial" w:cs="Arial" w:eastAsia="Arial" w:hAnsi="Arial"/>
                <w:sz w:val="18"/>
                <w:szCs w:val="18"/>
                <w:color w:val="auto"/>
                <w:w w:val="89"/>
              </w:rPr>
              <w:t>The accompanying notes are an integral part of the consolidated financial statements.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8"/>
          </w:tcPr>
          <w:p>
            <w:pPr>
              <w:ind w:left="360"/>
              <w:spacing w:after="0"/>
              <w:rPr>
                <w:sz w:val="20"/>
                <w:szCs w:val="20"/>
                <w:color w:val="auto"/>
              </w:rPr>
            </w:pPr>
            <w:r>
              <w:rPr>
                <w:rFonts w:ascii="Arial" w:cs="Arial" w:eastAsia="Arial" w:hAnsi="Arial"/>
                <w:sz w:val="18"/>
                <w:szCs w:val="18"/>
                <w:color w:val="auto"/>
              </w:rPr>
              <w:t>F-74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29"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20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2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Cash flows from operating activities: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w:t>
            </w:r>
          </w:p>
        </w:tc>
        <w:tc>
          <w:tcPr>
            <w:tcW w:w="46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w w:val="89"/>
              </w:rPr>
              <w:t>(12,738)</w:t>
            </w:r>
          </w:p>
        </w:tc>
        <w:tc>
          <w:tcPr>
            <w:tcW w:w="7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8"/>
              </w:rPr>
              <w:t>$ (7,900)</w:t>
            </w:r>
          </w:p>
        </w:tc>
        <w:tc>
          <w:tcPr>
            <w:tcW w:w="0" w:type="dxa"/>
            <w:vAlign w:val="bottom"/>
          </w:tcPr>
          <w:p>
            <w:pPr>
              <w:spacing w:after="0"/>
              <w:rPr>
                <w:sz w:val="1"/>
                <w:szCs w:val="1"/>
                <w:color w:val="auto"/>
              </w:rPr>
            </w:pPr>
          </w:p>
        </w:tc>
      </w:tr>
      <w:tr>
        <w:trPr>
          <w:trHeight w:val="216"/>
        </w:trPr>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4"/>
          </w:tcPr>
          <w:p>
            <w:pPr>
              <w:ind w:left="36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462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7280" w:type="dxa"/>
            <w:vAlign w:val="bottom"/>
            <w:gridSpan w:val="4"/>
          </w:tcPr>
          <w:p>
            <w:pPr>
              <w:ind w:left="360"/>
              <w:spacing w:after="0"/>
              <w:rPr>
                <w:sz w:val="20"/>
                <w:szCs w:val="20"/>
                <w:color w:val="auto"/>
              </w:rPr>
            </w:pPr>
            <w:r>
              <w:rPr>
                <w:rFonts w:ascii="Arial" w:cs="Arial" w:eastAsia="Arial" w:hAnsi="Arial"/>
                <w:sz w:val="18"/>
                <w:szCs w:val="18"/>
                <w:color w:val="auto"/>
              </w:rPr>
              <w:t>Increase in accounts receivable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(1,666)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7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Increase in other current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7280" w:type="dxa"/>
            <w:vAlign w:val="bottom"/>
            <w:gridSpan w:val="4"/>
          </w:tcPr>
          <w:p>
            <w:pPr>
              <w:ind w:left="360"/>
              <w:spacing w:after="0"/>
              <w:rPr>
                <w:sz w:val="20"/>
                <w:szCs w:val="20"/>
                <w:color w:val="auto"/>
              </w:rPr>
            </w:pPr>
            <w:r>
              <w:rPr>
                <w:rFonts w:ascii="Arial" w:cs="Arial" w:eastAsia="Arial" w:hAnsi="Arial"/>
                <w:sz w:val="18"/>
                <w:szCs w:val="18"/>
                <w:color w:val="auto"/>
              </w:rPr>
              <w:t>Increase in accounts payable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7,030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7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Increase in deferred revenues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7280" w:type="dxa"/>
            <w:vAlign w:val="bottom"/>
            <w:gridSpan w:val="4"/>
          </w:tcPr>
          <w:p>
            <w:pPr>
              <w:ind w:left="360"/>
              <w:spacing w:after="0"/>
              <w:rPr>
                <w:sz w:val="20"/>
                <w:szCs w:val="20"/>
                <w:color w:val="auto"/>
              </w:rPr>
            </w:pPr>
            <w:r>
              <w:rPr>
                <w:rFonts w:ascii="Arial" w:cs="Arial" w:eastAsia="Arial" w:hAnsi="Arial"/>
                <w:sz w:val="18"/>
                <w:szCs w:val="18"/>
                <w:color w:val="auto"/>
              </w:rPr>
              <w:t>Decrease in accrued expenses and other current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398"/>
        </w:trPr>
        <w:tc>
          <w:tcPr>
            <w:tcW w:w="7280" w:type="dxa"/>
            <w:vAlign w:val="bottom"/>
            <w:gridSpan w:val="4"/>
          </w:tcPr>
          <w:p>
            <w:pPr>
              <w:spacing w:after="0"/>
              <w:rPr>
                <w:sz w:val="20"/>
                <w:szCs w:val="20"/>
                <w:color w:val="auto"/>
              </w:rPr>
            </w:pPr>
            <w:r>
              <w:rPr>
                <w:rFonts w:ascii="Arial" w:cs="Arial" w:eastAsia="Arial" w:hAnsi="Arial"/>
                <w:sz w:val="18"/>
                <w:szCs w:val="18"/>
                <w:color w:val="auto"/>
              </w:rPr>
              <w:t>Cash flows from investing activities:</w:t>
            </w:r>
          </w:p>
        </w:tc>
        <w:tc>
          <w:tcPr>
            <w:tcW w:w="20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gridSpan w:val="4"/>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4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4"/>
          </w:tcPr>
          <w:p>
            <w:pPr>
              <w:ind w:left="360"/>
              <w:spacing w:after="0"/>
              <w:rPr>
                <w:sz w:val="20"/>
                <w:szCs w:val="20"/>
                <w:color w:val="auto"/>
              </w:rPr>
            </w:pPr>
            <w:r>
              <w:rPr>
                <w:rFonts w:ascii="Arial" w:cs="Arial" w:eastAsia="Arial" w:hAnsi="Arial"/>
                <w:sz w:val="18"/>
                <w:szCs w:val="18"/>
                <w:color w:val="auto"/>
              </w:rPr>
              <w:t>Payment of deferred issuance costs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2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728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13,248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39,632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31,885</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color w:val="auto"/>
              </w:rPr>
              <w:t>Non-cash financing activity:</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80" w:type="dxa"/>
            <w:vAlign w:val="bottom"/>
            <w:gridSpan w:val="4"/>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issuance costs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rPr>
              <w:t>Issuance of warrant and other costs related to the Credit Agreement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20"/>
        <w:spacing w:after="0" w:line="289" w:lineRule="auto"/>
        <w:rPr>
          <w:sz w:val="20"/>
          <w:szCs w:val="20"/>
          <w:color w:val="auto"/>
        </w:rPr>
      </w:pPr>
      <w:r>
        <w:rPr>
          <w:rFonts w:ascii="Arial" w:cs="Arial" w:eastAsia="Arial" w:hAnsi="Arial"/>
          <w:sz w:val="17"/>
          <w:szCs w:val="17"/>
          <w:b w:val="1"/>
          <w:bCs w:val="1"/>
          <w:color w:val="auto"/>
        </w:rPr>
        <w:t>GROOP INTERNET PLATFORM INC. AND ITS SUBSIDIARIES NOTES TO CONSOLIDATED FINANCIAL STATEMENTS (Unaudited) U.S. dollars in thousands (except share and per share data)</w:t>
      </w:r>
    </w:p>
    <w:p>
      <w:pPr>
        <w:spacing w:after="0" w:line="306"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135" w:lineRule="exact"/>
        <w:rPr>
          <w:sz w:val="20"/>
          <w:szCs w:val="20"/>
          <w:color w:val="auto"/>
        </w:rPr>
      </w:pPr>
    </w:p>
    <w:p>
      <w:pPr>
        <w:ind w:left="1860" w:right="240" w:hanging="543"/>
        <w:spacing w:after="0" w:line="257" w:lineRule="auto"/>
        <w:tabs>
          <w:tab w:leader="none" w:pos="18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Groop Internet Platform Inc. was incorporated in 2011 and its wholly owned subsidiaries Groop Internet Platform Ltd and Talkspace LLC (Groop Internet Platform Inc together with its subsidiaries, (the “Company”)) is engaged in the operation of a virtual behavioral healthcare business that provides individuals and licensed therapists, psychologists and psychiatrists (“therapists”) with an online platform for one-on-one therapy delivered via messaging, audio and video using the brand name Talkspace.</w:t>
      </w:r>
    </w:p>
    <w:p>
      <w:pPr>
        <w:spacing w:after="0" w:line="93" w:lineRule="exact"/>
        <w:rPr>
          <w:rFonts w:ascii="Arial" w:cs="Arial" w:eastAsia="Arial" w:hAnsi="Arial"/>
          <w:sz w:val="18"/>
          <w:szCs w:val="18"/>
          <w:color w:val="auto"/>
        </w:rPr>
      </w:pPr>
    </w:p>
    <w:p>
      <w:pPr>
        <w:ind w:left="1860" w:right="80" w:hanging="543"/>
        <w:spacing w:after="0" w:line="269" w:lineRule="auto"/>
        <w:tabs>
          <w:tab w:leader="none" w:pos="18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Over the past several years, the Company has devoted substantially most of its effort to research and development, product development and increasing revenues through additional investments in sales and marketing. The Company generated a loss of $12,738 and negative cash flow of $3,879 from operating activities in the three-month period ended March 31, 2021 and has an accumulated deficit of $121,526 as of March 31, 2021. The Company is planning to finance its operations from its existing and future working capital resources and to continue to evaluate additional sources of capital and financing. However, there is no assurance that additional capital and/or financing will be available to the Company, and even if available, whether it will be on terms acceptable to the Company or in amounts required. Accordingly, the Company’s Board approved a contingency plan, to be effected if needed, in whole or in part, at its discretion, to allow the Company to continue its operations and meet its cash obligations. The contingency plan consists of cost reduction, which include mainly the following steps: reduction in marketing expenses, headcount, compensation paid to key management personnel and capital expenditures. The Company and the Board believe that its existing capital resources will be adequate to satisfy its expected liquidity requirements for at least twelve months from the filing date.</w:t>
      </w:r>
    </w:p>
    <w:p>
      <w:pPr>
        <w:spacing w:after="0" w:line="84" w:lineRule="exact"/>
        <w:rPr>
          <w:rFonts w:ascii="Arial" w:cs="Arial" w:eastAsia="Arial" w:hAnsi="Arial"/>
          <w:sz w:val="17"/>
          <w:szCs w:val="17"/>
          <w:color w:val="auto"/>
        </w:rPr>
      </w:pPr>
    </w:p>
    <w:p>
      <w:pPr>
        <w:ind w:left="1860" w:right="480" w:hanging="543"/>
        <w:spacing w:after="0" w:line="277" w:lineRule="auto"/>
        <w:tabs>
          <w:tab w:leader="none" w:pos="18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 operates in one operating segment and substantially all of its revenues derive from customers located in the United States.</w:t>
      </w:r>
    </w:p>
    <w:p>
      <w:pPr>
        <w:spacing w:after="0" w:line="75" w:lineRule="exact"/>
        <w:rPr>
          <w:rFonts w:ascii="Arial" w:cs="Arial" w:eastAsia="Arial" w:hAnsi="Arial"/>
          <w:sz w:val="18"/>
          <w:szCs w:val="18"/>
          <w:color w:val="auto"/>
        </w:rPr>
      </w:pPr>
    </w:p>
    <w:p>
      <w:pPr>
        <w:ind w:left="1860" w:right="60" w:hanging="543"/>
        <w:spacing w:after="0" w:line="254" w:lineRule="auto"/>
        <w:tabs>
          <w:tab w:leader="none" w:pos="18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The Company has followed guidance by the United States, Israeli and other applicable foreign and local governments to protect its employees and operations during the pandemic and has implemented a remote environment for its business. The Company cannot predict the potential impacts of the COVID-19 pandemic on its business or operations, but continuously monitors performance and other industry reports to assess the risk of future negative impacts as the disruptions of the COVID-19 pandemic continue to evolve.</w:t>
      </w:r>
    </w:p>
    <w:p>
      <w:pPr>
        <w:spacing w:after="0" w:line="100" w:lineRule="exact"/>
        <w:rPr>
          <w:rFonts w:ascii="Arial" w:cs="Arial" w:eastAsia="Arial" w:hAnsi="Arial"/>
          <w:sz w:val="18"/>
          <w:szCs w:val="18"/>
          <w:color w:val="auto"/>
        </w:rPr>
      </w:pPr>
    </w:p>
    <w:p>
      <w:pPr>
        <w:ind w:left="1860" w:right="580" w:hanging="543"/>
        <w:spacing w:after="0" w:line="311" w:lineRule="auto"/>
        <w:tabs>
          <w:tab w:leader="none" w:pos="18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On November 1, 2020, the Company completed an acquisition of the operation of Lasting, an app-based subscription for relationship and couple counseling for a total cash consideration of $10,685. In addition, the Company entered into a non-competition agreement for a total consideration of $939, which was recorded as an intangible asset.</w:t>
      </w:r>
    </w:p>
    <w:p>
      <w:pPr>
        <w:spacing w:after="0" w:line="54" w:lineRule="exact"/>
        <w:rPr>
          <w:rFonts w:ascii="Arial" w:cs="Arial" w:eastAsia="Arial" w:hAnsi="Arial"/>
          <w:sz w:val="16"/>
          <w:szCs w:val="16"/>
          <w:color w:val="auto"/>
        </w:rPr>
      </w:pPr>
    </w:p>
    <w:p>
      <w:pPr>
        <w:ind w:left="1860" w:hanging="543"/>
        <w:spacing w:after="0" w:line="257" w:lineRule="auto"/>
        <w:tabs>
          <w:tab w:leader="none" w:pos="18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On January 12, 2021, the Company, Hudson Executive Investment Corp. (“HEIC”), a special purpose acquisition company sponsored by Hudson Executive Capital LP, Tailwind Merger Sub I, Inc. (“First Merger Sub”), a direct, wholly owned subsidiary of HEIC, and Tailwind Merger Sub II, LLC (“Second Merger Sub”), a direct, wholly owned subsidiary of HEIC, entered into an agreement and plan of merger (the “Merger Agreement”) pursuant to which (1) First Merger Sub will merge with and into the Company (the “First Merger”), with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 (Cont.)</w:t>
      </w:r>
    </w:p>
    <w:p>
      <w:pPr>
        <w:spacing w:after="0" w:line="135" w:lineRule="exact"/>
        <w:rPr>
          <w:sz w:val="20"/>
          <w:szCs w:val="20"/>
          <w:color w:val="auto"/>
        </w:rPr>
      </w:pPr>
    </w:p>
    <w:p>
      <w:pPr>
        <w:jc w:val="both"/>
        <w:ind w:left="1880" w:right="40"/>
        <w:spacing w:after="0" w:line="311" w:lineRule="auto"/>
        <w:rPr>
          <w:sz w:val="20"/>
          <w:szCs w:val="20"/>
          <w:color w:val="auto"/>
        </w:rPr>
      </w:pPr>
      <w:r>
        <w:rPr>
          <w:rFonts w:ascii="Arial" w:cs="Arial" w:eastAsia="Arial" w:hAnsi="Arial"/>
          <w:sz w:val="16"/>
          <w:szCs w:val="16"/>
          <w:color w:val="auto"/>
        </w:rPr>
        <w:t>Company surviving the First Merger, and (2) immediately following the First Merger and as part of the same overall transaction as the First Merger, the Company will be merged with and into Second Merger Sub (the “Second Merger” and, together with the First Merger, the “Mergers”), with Second Merger Sub surviving the Second Merger as a wholly owned subsidiary of HEIC.</w:t>
      </w:r>
    </w:p>
    <w:p>
      <w:pPr>
        <w:spacing w:after="0" w:line="41" w:lineRule="exact"/>
        <w:rPr>
          <w:sz w:val="20"/>
          <w:szCs w:val="20"/>
          <w:color w:val="auto"/>
        </w:rPr>
      </w:pPr>
    </w:p>
    <w:p>
      <w:pPr>
        <w:ind w:left="1880" w:right="100"/>
        <w:spacing w:after="0" w:line="257" w:lineRule="auto"/>
        <w:rPr>
          <w:sz w:val="20"/>
          <w:szCs w:val="20"/>
          <w:color w:val="auto"/>
        </w:rPr>
      </w:pPr>
      <w:r>
        <w:rPr>
          <w:rFonts w:ascii="Arial" w:cs="Arial" w:eastAsia="Arial" w:hAnsi="Arial"/>
          <w:sz w:val="18"/>
          <w:szCs w:val="18"/>
          <w:color w:val="auto"/>
        </w:rPr>
        <w:t>The Mergers will be accounted for as a reverse recapitalization in accordance with GAAP. Under this method of accounting, HEIC will be treated as the “acquired” company for financial reporting purposes. Accordingly, the Mergers will be treated as the equivalent of the Company issuing stock for the net assets of HEIC, accompanied by a recapitalization. The net assets of HEIC will be stated at historical cost, with no goodwill or other intangible assets recorded. Operations prior to the Mergers will be those of the Company.</w:t>
      </w:r>
    </w:p>
    <w:p>
      <w:pPr>
        <w:spacing w:after="0" w:line="33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U.S.</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 GAAP”).</w:t>
      </w:r>
    </w:p>
    <w:p>
      <w:pPr>
        <w:spacing w:after="0" w:line="116" w:lineRule="exact"/>
        <w:rPr>
          <w:sz w:val="20"/>
          <w:szCs w:val="20"/>
          <w:color w:val="auto"/>
        </w:rPr>
      </w:pPr>
    </w:p>
    <w:p>
      <w:pPr>
        <w:ind w:left="1860" w:hanging="543"/>
        <w:spacing w:after="0"/>
        <w:tabs>
          <w:tab w:leader="none" w:pos="18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sz w:val="20"/>
          <w:szCs w:val="20"/>
          <w:color w:val="auto"/>
        </w:rPr>
      </w:pPr>
    </w:p>
    <w:p>
      <w:pPr>
        <w:ind w:left="1880" w:right="40"/>
        <w:spacing w:after="0" w:line="257" w:lineRule="auto"/>
        <w:rPr>
          <w:sz w:val="20"/>
          <w:szCs w:val="20"/>
          <w:color w:val="auto"/>
        </w:rPr>
      </w:pPr>
      <w:r>
        <w:rPr>
          <w:rFonts w:ascii="Arial" w:cs="Arial" w:eastAsia="Arial" w:hAnsi="Arial"/>
          <w:sz w:val="18"/>
          <w:szCs w:val="18"/>
          <w:color w:val="auto"/>
        </w:rPr>
        <w:t>The unaudited consolidated financial statements and accompanying notes have been prepared in accordance with U.S. generally accepted accounting principles (“U.S. GAAP”). In management’s opinion, the unaudited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80" w:lineRule="exact"/>
        <w:rPr>
          <w:sz w:val="20"/>
          <w:szCs w:val="20"/>
          <w:color w:val="auto"/>
        </w:rPr>
      </w:pPr>
    </w:p>
    <w:p>
      <w:pPr>
        <w:ind w:left="1880" w:right="100"/>
        <w:spacing w:after="0" w:line="342" w:lineRule="auto"/>
        <w:rPr>
          <w:sz w:val="20"/>
          <w:szCs w:val="20"/>
          <w:color w:val="auto"/>
        </w:rPr>
      </w:pPr>
      <w:r>
        <w:rPr>
          <w:rFonts w:ascii="Arial" w:cs="Arial" w:eastAsia="Arial" w:hAnsi="Arial"/>
          <w:sz w:val="16"/>
          <w:szCs w:val="16"/>
          <w:color w:val="auto"/>
        </w:rPr>
        <w:t>The significant accounting policies applied in the annual consolidated financial statements of the Company as of December 31, 2020, have been applied consistently in these unaudited consolidated financial statements, unless otherwise stated.</w:t>
      </w:r>
    </w:p>
    <w:p>
      <w:pPr>
        <w:spacing w:after="0" w:line="29" w:lineRule="exact"/>
        <w:rPr>
          <w:sz w:val="20"/>
          <w:szCs w:val="20"/>
          <w:color w:val="auto"/>
        </w:rPr>
      </w:pPr>
    </w:p>
    <w:p>
      <w:pPr>
        <w:ind w:left="1860" w:hanging="543"/>
        <w:spacing w:after="0"/>
        <w:tabs>
          <w:tab w:leader="none" w:pos="18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188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00" w:lineRule="exact"/>
        <w:rPr>
          <w:sz w:val="20"/>
          <w:szCs w:val="20"/>
          <w:color w:val="auto"/>
        </w:rPr>
      </w:pPr>
    </w:p>
    <w:p>
      <w:pPr>
        <w:ind w:left="1860" w:hanging="543"/>
        <w:spacing w:after="0"/>
        <w:tabs>
          <w:tab w:leader="none" w:pos="18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Impact of recently issued accounting standards:</w:t>
      </w:r>
    </w:p>
    <w:p>
      <w:pPr>
        <w:spacing w:after="0" w:line="117" w:lineRule="exact"/>
        <w:rPr>
          <w:sz w:val="20"/>
          <w:szCs w:val="20"/>
          <w:color w:val="auto"/>
        </w:rPr>
      </w:pPr>
    </w:p>
    <w:p>
      <w:pPr>
        <w:ind w:left="1880" w:right="300"/>
        <w:spacing w:after="0" w:line="259"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reflects this election.</w:t>
      </w:r>
    </w:p>
    <w:p>
      <w:pPr>
        <w:spacing w:after="0" w:line="79" w:lineRule="exact"/>
        <w:rPr>
          <w:sz w:val="20"/>
          <w:szCs w:val="20"/>
          <w:color w:val="auto"/>
        </w:rPr>
      </w:pPr>
    </w:p>
    <w:p>
      <w:pPr>
        <w:ind w:left="1880" w:right="80"/>
        <w:spacing w:after="0" w:line="311" w:lineRule="auto"/>
        <w:rPr>
          <w:sz w:val="20"/>
          <w:szCs w:val="20"/>
          <w:color w:val="auto"/>
        </w:rPr>
      </w:pPr>
      <w:r>
        <w:rPr>
          <w:rFonts w:ascii="Arial" w:cs="Arial" w:eastAsia="Arial" w:hAnsi="Arial"/>
          <w:sz w:val="16"/>
          <w:szCs w:val="16"/>
          <w:color w:val="auto"/>
        </w:rPr>
        <w:t>In February 2016, the FASB issued ASU 2016-02, Topic 842 “Leases”.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680"/>
        <w:spacing w:after="0" w:line="263" w:lineRule="auto"/>
        <w:rPr>
          <w:sz w:val="20"/>
          <w:szCs w:val="20"/>
          <w:color w:val="auto"/>
        </w:rPr>
      </w:pPr>
      <w:r>
        <w:rPr>
          <w:rFonts w:ascii="Arial" w:cs="Arial" w:eastAsia="Arial" w:hAnsi="Arial"/>
          <w:sz w:val="18"/>
          <w:szCs w:val="18"/>
          <w:color w:val="auto"/>
        </w:rPr>
        <w:t>2020-05 which extends the effective date of ASU 2016-02 for non-public business entities, including smaller reporting companies, to fiscal years beginning after December 15, 2021, and interim periods within fiscal years beginning after December 15, 2022. Early adoption is permitted.</w:t>
      </w:r>
    </w:p>
    <w:p>
      <w:pPr>
        <w:spacing w:after="0" w:line="76" w:lineRule="exact"/>
        <w:rPr>
          <w:sz w:val="20"/>
          <w:szCs w:val="20"/>
          <w:color w:val="auto"/>
        </w:rPr>
      </w:pPr>
    </w:p>
    <w:p>
      <w:pPr>
        <w:ind w:left="1880" w:right="100"/>
        <w:spacing w:after="0" w:line="277" w:lineRule="auto"/>
        <w:rPr>
          <w:sz w:val="20"/>
          <w:szCs w:val="20"/>
          <w:color w:val="auto"/>
        </w:rPr>
      </w:pPr>
      <w:r>
        <w:rPr>
          <w:rFonts w:ascii="Arial" w:cs="Arial" w:eastAsia="Arial" w:hAnsi="Arial"/>
          <w:sz w:val="18"/>
          <w:szCs w:val="18"/>
          <w:color w:val="auto"/>
        </w:rPr>
        <w:t>The Company adopted ASC 842 on January 1, 2021 and did not restate comparative periods. In addition, the Company elected the available practical expedients on adoption.</w:t>
      </w:r>
    </w:p>
    <w:p>
      <w:pPr>
        <w:spacing w:after="0" w:line="62" w:lineRule="exact"/>
        <w:rPr>
          <w:sz w:val="20"/>
          <w:szCs w:val="20"/>
          <w:color w:val="auto"/>
        </w:rPr>
      </w:pPr>
    </w:p>
    <w:p>
      <w:pPr>
        <w:ind w:left="1880" w:right="220"/>
        <w:spacing w:after="0" w:line="311" w:lineRule="auto"/>
        <w:rPr>
          <w:sz w:val="20"/>
          <w:szCs w:val="20"/>
          <w:color w:val="auto"/>
        </w:rPr>
      </w:pPr>
      <w:r>
        <w:rPr>
          <w:rFonts w:ascii="Arial" w:cs="Arial" w:eastAsia="Arial" w:hAnsi="Arial"/>
          <w:sz w:val="16"/>
          <w:szCs w:val="16"/>
          <w:color w:val="auto"/>
        </w:rPr>
        <w:t>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As of March 31, 2021, all arrangements were classified as operating leases.</w:t>
      </w:r>
    </w:p>
    <w:p>
      <w:pPr>
        <w:spacing w:after="0" w:line="41" w:lineRule="exact"/>
        <w:rPr>
          <w:sz w:val="20"/>
          <w:szCs w:val="20"/>
          <w:color w:val="auto"/>
        </w:rPr>
      </w:pPr>
    </w:p>
    <w:p>
      <w:pPr>
        <w:ind w:left="1880" w:right="40"/>
        <w:spacing w:after="0" w:line="293" w:lineRule="auto"/>
        <w:rPr>
          <w:sz w:val="20"/>
          <w:szCs w:val="20"/>
          <w:color w:val="auto"/>
        </w:rPr>
      </w:pPr>
      <w:r>
        <w:rPr>
          <w:rFonts w:ascii="Arial" w:cs="Arial" w:eastAsia="Arial" w:hAnsi="Arial"/>
          <w:sz w:val="16"/>
          <w:szCs w:val="16"/>
          <w:color w:val="auto"/>
        </w:rPr>
        <w:t>Operating leases are included in operating lease right-of-use (“ROU”) assets and operating lease liabilities in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Operating lease expenses are recognized on a straight-line basis over the lease term.</w:t>
      </w:r>
    </w:p>
    <w:p>
      <w:pPr>
        <w:spacing w:after="0" w:line="56" w:lineRule="exact"/>
        <w:rPr>
          <w:sz w:val="20"/>
          <w:szCs w:val="20"/>
          <w:color w:val="auto"/>
        </w:rPr>
      </w:pPr>
    </w:p>
    <w:p>
      <w:pPr>
        <w:ind w:left="1880"/>
        <w:spacing w:after="0" w:line="296" w:lineRule="auto"/>
        <w:rPr>
          <w:sz w:val="20"/>
          <w:szCs w:val="20"/>
          <w:color w:val="auto"/>
        </w:rPr>
      </w:pPr>
      <w:r>
        <w:rPr>
          <w:rFonts w:ascii="Arial" w:cs="Arial" w:eastAsia="Arial" w:hAnsi="Arial"/>
          <w:sz w:val="16"/>
          <w:szCs w:val="16"/>
          <w:color w:val="auto"/>
        </w:rPr>
        <w:t>The new standard also provides practical expedients for an entity’s ongoing accounting. 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53" w:lineRule="exact"/>
        <w:rPr>
          <w:sz w:val="20"/>
          <w:szCs w:val="20"/>
          <w:color w:val="auto"/>
        </w:rPr>
      </w:pPr>
    </w:p>
    <w:p>
      <w:pPr>
        <w:ind w:left="1880" w:right="160"/>
        <w:spacing w:after="0" w:line="277" w:lineRule="auto"/>
        <w:rPr>
          <w:sz w:val="20"/>
          <w:szCs w:val="20"/>
          <w:color w:val="auto"/>
        </w:rPr>
      </w:pPr>
      <w:r>
        <w:rPr>
          <w:rFonts w:ascii="Arial" w:cs="Arial" w:eastAsia="Arial" w:hAnsi="Arial"/>
          <w:sz w:val="18"/>
          <w:szCs w:val="18"/>
          <w:color w:val="auto"/>
        </w:rPr>
        <w:t>The Company does not currently have any leases with terms in excess of 12 months. The Company adopted this ASU with no impact on its financial statements or related footnotes.</w:t>
      </w:r>
    </w:p>
    <w:p>
      <w:pPr>
        <w:spacing w:after="0" w:line="76" w:lineRule="exact"/>
        <w:rPr>
          <w:sz w:val="20"/>
          <w:szCs w:val="20"/>
          <w:color w:val="auto"/>
        </w:rPr>
      </w:pPr>
    </w:p>
    <w:p>
      <w:pPr>
        <w:ind w:left="1860" w:hanging="543"/>
        <w:spacing w:after="0"/>
        <w:tabs>
          <w:tab w:leader="none" w:pos="1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left="1880" w:right="260"/>
        <w:spacing w:after="0" w:line="286" w:lineRule="auto"/>
        <w:rPr>
          <w:sz w:val="20"/>
          <w:szCs w:val="20"/>
          <w:color w:val="auto"/>
        </w:rPr>
      </w:pPr>
      <w:r>
        <w:rPr>
          <w:rFonts w:ascii="Arial" w:cs="Arial" w:eastAsia="Arial" w:hAnsi="Arial"/>
          <w:sz w:val="17"/>
          <w:szCs w:val="17"/>
          <w:color w:val="auto"/>
        </w:rPr>
        <w:t>The Company is operating a virtual behavioral healthcare business that connects individuals and licensed therapists, psychologists and psychiatrists (“therapists”) with an online platform for one-on-one therapy delivered via messaging, audio and video. Individuals access the company’s services through the Company’s website or mobile app.</w:t>
      </w:r>
    </w:p>
    <w:p>
      <w:pPr>
        <w:spacing w:after="0" w:line="57" w:lineRule="exact"/>
        <w:rPr>
          <w:sz w:val="20"/>
          <w:szCs w:val="20"/>
          <w:color w:val="auto"/>
        </w:rPr>
      </w:pPr>
    </w:p>
    <w:p>
      <w:pPr>
        <w:jc w:val="both"/>
        <w:ind w:left="1880" w:right="300"/>
        <w:spacing w:after="0" w:line="263" w:lineRule="auto"/>
        <w:rPr>
          <w:sz w:val="20"/>
          <w:szCs w:val="20"/>
          <w:color w:val="auto"/>
        </w:rPr>
      </w:pPr>
      <w:r>
        <w:rPr>
          <w:rFonts w:ascii="Arial" w:cs="Arial" w:eastAsia="Arial" w:hAnsi="Arial"/>
          <w:sz w:val="18"/>
          <w:szCs w:val="18"/>
          <w:color w:val="auto"/>
        </w:rPr>
        <w:t>The Company provides these services directly to individuals through a subscription plan. The Company also contracts with health plans and other enterprises to provide its services to individuals who are qualified to receive access to the Company’s services through the Company’s commercial arrangements.</w:t>
      </w:r>
    </w:p>
    <w:p>
      <w:pPr>
        <w:spacing w:after="0" w:line="7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244"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Three months ended</w:t>
      </w:r>
    </w:p>
    <w:p>
      <w:pPr>
        <w:jc w:val="center"/>
        <w:ind w:left="5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880" w:type="dxa"/>
        <w:tblCellMar>
          <w:top w:w="0" w:type="dxa"/>
          <w:left w:w="0" w:type="dxa"/>
          <w:bottom w:w="0" w:type="dxa"/>
          <w:right w:w="0" w:type="dxa"/>
        </w:tblCellMar>
      </w:tblPr>
      <w:tr>
        <w:trPr>
          <w:trHeight w:val="142"/>
        </w:trPr>
        <w:tc>
          <w:tcPr>
            <w:tcW w:w="348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Revenues from sales to unaffiliated customers:</w:t>
            </w:r>
          </w:p>
        </w:tc>
        <w:tc>
          <w:tcPr>
            <w:tcW w:w="2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Consumers</w:t>
            </w:r>
          </w:p>
        </w:tc>
        <w:tc>
          <w:tcPr>
            <w:tcW w:w="3320" w:type="dxa"/>
            <w:vAlign w:val="bottom"/>
            <w:gridSpan w:val="3"/>
          </w:tcPr>
          <w:p>
            <w:pPr>
              <w:jc w:val="right"/>
              <w:ind w:right="500"/>
              <w:spacing w:after="0"/>
              <w:rPr>
                <w:sz w:val="20"/>
                <w:szCs w:val="20"/>
                <w:color w:val="auto"/>
              </w:rPr>
            </w:pPr>
            <w:r>
              <w:rPr>
                <w:rFonts w:ascii="Arial" w:cs="Arial" w:eastAsia="Arial" w:hAnsi="Arial"/>
                <w:sz w:val="18"/>
                <w:szCs w:val="18"/>
                <w:color w:val="auto"/>
              </w:rPr>
              <w:t>$ 18,564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9,759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$ 27,157</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11,120</w:t>
            </w:r>
          </w:p>
        </w:tc>
        <w:tc>
          <w:tcPr>
            <w:tcW w:w="6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3320" w:type="dxa"/>
            <w:vAlign w:val="bottom"/>
            <w:gridSpan w:val="3"/>
          </w:tcPr>
          <w:p>
            <w:pPr>
              <w:ind w:left="100"/>
              <w:spacing w:after="0"/>
              <w:rPr>
                <w:sz w:val="20"/>
                <w:szCs w:val="20"/>
                <w:color w:val="auto"/>
              </w:rPr>
            </w:pPr>
            <w:r>
              <w:rPr>
                <w:rFonts w:ascii="Arial" w:cs="Arial" w:eastAsia="Arial" w:hAnsi="Arial"/>
                <w:sz w:val="18"/>
                <w:szCs w:val="18"/>
                <w:color w:val="auto"/>
              </w:rPr>
              <w:t>F-78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left="1320" w:right="60"/>
        <w:spacing w:after="0" w:line="301" w:lineRule="auto"/>
        <w:rPr>
          <w:sz w:val="20"/>
          <w:szCs w:val="20"/>
          <w:color w:val="auto"/>
        </w:rPr>
      </w:pPr>
      <w:r>
        <w:rPr>
          <w:rFonts w:ascii="Arial" w:cs="Arial" w:eastAsia="Arial" w:hAnsi="Arial"/>
          <w:sz w:val="16"/>
          <w:szCs w:val="16"/>
          <w:color w:val="auto"/>
        </w:rPr>
        <w:t>The Company measures its warrants liability at fair value on a recurring basis and classifies such as Level 3. The inputs related to the Company’s share prices were determined based on management’s assumptions and based on the Option Pricing Model (“OPM”). The fair value of the underlying preferred share price was determined by the board of directors, considering among others, a third-party valuation. The warrant liability fair value measurement as of March 31, 2021 and December 31, 2020 was $609 and $444, respectively.</w:t>
      </w:r>
    </w:p>
    <w:p>
      <w:pPr>
        <w:spacing w:after="0" w:line="30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BORROWING ARRANGEMENTS</w:t>
      </w:r>
    </w:p>
    <w:p>
      <w:pPr>
        <w:spacing w:after="0" w:line="121" w:lineRule="exact"/>
        <w:rPr>
          <w:sz w:val="20"/>
          <w:szCs w:val="20"/>
          <w:color w:val="auto"/>
        </w:rPr>
      </w:pPr>
    </w:p>
    <w:p>
      <w:pPr>
        <w:ind w:left="1320" w:right="120"/>
        <w:spacing w:after="0" w:line="273" w:lineRule="auto"/>
        <w:rPr>
          <w:sz w:val="20"/>
          <w:szCs w:val="20"/>
          <w:color w:val="auto"/>
        </w:rPr>
      </w:pPr>
      <w:r>
        <w:rPr>
          <w:rFonts w:ascii="Arial" w:cs="Arial" w:eastAsia="Arial" w:hAnsi="Arial"/>
          <w:sz w:val="17"/>
          <w:szCs w:val="17"/>
          <w:color w:val="auto"/>
        </w:rPr>
        <w:t>On March 15, 2021, the Company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$15,000,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$5,000, available for a period of two years from the effective date of the Credit Agreement.</w:t>
      </w:r>
    </w:p>
    <w:p>
      <w:pPr>
        <w:spacing w:after="0" w:line="70" w:lineRule="exact"/>
        <w:rPr>
          <w:sz w:val="20"/>
          <w:szCs w:val="20"/>
          <w:color w:val="auto"/>
        </w:rPr>
      </w:pPr>
    </w:p>
    <w:p>
      <w:pPr>
        <w:jc w:val="both"/>
        <w:ind w:left="1320" w:right="100"/>
        <w:spacing w:after="0" w:line="287" w:lineRule="auto"/>
        <w:rPr>
          <w:sz w:val="20"/>
          <w:szCs w:val="20"/>
          <w:color w:val="auto"/>
        </w:rPr>
      </w:pPr>
      <w:r>
        <w:rPr>
          <w:rFonts w:ascii="Arial" w:cs="Arial" w:eastAsia="Arial" w:hAnsi="Arial"/>
          <w:sz w:val="16"/>
          <w:szCs w:val="16"/>
          <w:color w:val="auto"/>
        </w:rPr>
        <w:t>Under the Credit Agreement, Borrower is required to maintain a minimum 85% of the net revenue disclosed in the annual projections. The loans bear interest at a per annum rate equal to (x) in respect of each term loan, the greater of (i) the prime rate plus the Applicable Margin or (ii) 4.75%, and (y) in respect of each revolving loan, the greater of (i) the prime rate plus the Applicable Margin or (ii)</w:t>
      </w:r>
    </w:p>
    <w:p>
      <w:pPr>
        <w:spacing w:after="0" w:line="2" w:lineRule="exact"/>
        <w:rPr>
          <w:sz w:val="20"/>
          <w:szCs w:val="20"/>
          <w:color w:val="auto"/>
        </w:rPr>
      </w:pPr>
    </w:p>
    <w:p>
      <w:pPr>
        <w:ind w:left="1320" w:right="120"/>
        <w:spacing w:after="0" w:line="260" w:lineRule="auto"/>
        <w:rPr>
          <w:sz w:val="20"/>
          <w:szCs w:val="20"/>
          <w:color w:val="auto"/>
        </w:rPr>
      </w:pPr>
      <w:r>
        <w:rPr>
          <w:rFonts w:ascii="Arial" w:cs="Arial" w:eastAsia="Arial" w:hAnsi="Arial"/>
          <w:sz w:val="18"/>
          <w:szCs w:val="18"/>
          <w:color w:val="auto"/>
        </w:rPr>
        <w:t>3.75%. “Applicable Margin” is (x) in respect of each term loan, 1.50% per annum and (y) in respect of each revolving loan, 0.50% per annum.</w:t>
      </w:r>
    </w:p>
    <w:p>
      <w:pPr>
        <w:spacing w:after="0" w:line="77" w:lineRule="exact"/>
        <w:rPr>
          <w:sz w:val="20"/>
          <w:szCs w:val="20"/>
          <w:color w:val="auto"/>
        </w:rPr>
      </w:pPr>
    </w:p>
    <w:p>
      <w:pPr>
        <w:ind w:left="1320" w:right="180"/>
        <w:spacing w:after="0" w:line="263" w:lineRule="auto"/>
        <w:rPr>
          <w:sz w:val="20"/>
          <w:szCs w:val="20"/>
          <w:color w:val="auto"/>
        </w:rPr>
      </w:pPr>
      <w:r>
        <w:rPr>
          <w:rFonts w:ascii="Arial" w:cs="Arial" w:eastAsia="Arial" w:hAnsi="Arial"/>
          <w:sz w:val="18"/>
          <w:szCs w:val="18"/>
          <w:color w:val="auto"/>
        </w:rPr>
        <w:t>As of March 31, 2021, the Company did not have any outstanding borrowings under the Credit Agreement. On May 7, 2021, the Company borrowed $6,000 under the Credit Agreement to provide for additional liquidity. Following the May 7, 2021 borrowing, the Company had a remaining borrowing capacity of $14,000 under the Credit Agreement.</w:t>
      </w:r>
    </w:p>
    <w:p>
      <w:pPr>
        <w:spacing w:after="0" w:line="76" w:lineRule="exact"/>
        <w:rPr>
          <w:sz w:val="20"/>
          <w:szCs w:val="20"/>
          <w:color w:val="auto"/>
        </w:rPr>
      </w:pPr>
    </w:p>
    <w:p>
      <w:pPr>
        <w:ind w:left="1320"/>
        <w:spacing w:after="0" w:line="291" w:lineRule="auto"/>
        <w:rPr>
          <w:sz w:val="20"/>
          <w:szCs w:val="20"/>
          <w:color w:val="auto"/>
        </w:rPr>
      </w:pPr>
      <w:r>
        <w:rPr>
          <w:rFonts w:ascii="Arial" w:cs="Arial" w:eastAsia="Arial" w:hAnsi="Arial"/>
          <w:sz w:val="16"/>
          <w:szCs w:val="16"/>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Mergers nor (ii) received net proceeds of at least twenty million dollars ($20,000) in connection with the issuance of additional equity interests. If the Company either closes the Mergers or receives such net proceeds from an equity issuance prior to June 30, 2021, the Warrant will be exercisable for zero shares and will automatically terminate. Otherwise, the Warrant will be exercisable until March 15, 2031 unless earlier terminated by the lender. During the three months ended March 31, 2021, the Company recorded $125 in additional paid-in capital related to the estimated value of the issued warrant.</w:t>
      </w:r>
    </w:p>
    <w:p>
      <w:pPr>
        <w:spacing w:after="0" w:line="58" w:lineRule="exact"/>
        <w:rPr>
          <w:sz w:val="20"/>
          <w:szCs w:val="20"/>
          <w:color w:val="auto"/>
        </w:rPr>
      </w:pPr>
    </w:p>
    <w:p>
      <w:pPr>
        <w:ind w:left="1320" w:right="100"/>
        <w:spacing w:after="0" w:line="263" w:lineRule="auto"/>
        <w:rPr>
          <w:sz w:val="20"/>
          <w:szCs w:val="20"/>
          <w:color w:val="auto"/>
        </w:rPr>
      </w:pPr>
      <w:r>
        <w:rPr>
          <w:rFonts w:ascii="Arial" w:cs="Arial" w:eastAsia="Arial" w:hAnsi="Arial"/>
          <w:sz w:val="18"/>
          <w:szCs w:val="18"/>
          <w:color w:val="auto"/>
        </w:rPr>
        <w:t>During the three months ended March 31, 2021, the Company recorded debt issuance costs of $175 which comprised of $50 in upfront fees and $125 for the issued warrant. These costs will be amortized over the term of the Credit Agreement. The upfront fees were included in accrued expenses as of March 31, 2021.</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COMMITMENTS AND CONTINGENT LIABILITIES</w:t>
      </w:r>
    </w:p>
    <w:p>
      <w:pPr>
        <w:spacing w:after="0" w:line="135" w:lineRule="exact"/>
        <w:rPr>
          <w:sz w:val="20"/>
          <w:szCs w:val="20"/>
          <w:color w:val="auto"/>
        </w:rPr>
      </w:pPr>
    </w:p>
    <w:p>
      <w:pPr>
        <w:ind w:left="1860" w:hanging="543"/>
        <w:spacing w:after="0"/>
        <w:tabs>
          <w:tab w:leader="none" w:pos="18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sz w:val="20"/>
          <w:szCs w:val="20"/>
          <w:color w:val="auto"/>
        </w:rPr>
      </w:pPr>
    </w:p>
    <w:p>
      <w:pPr>
        <w:jc w:val="both"/>
        <w:ind w:left="1880" w:right="240"/>
        <w:spacing w:after="0" w:line="263"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the ultimate outcome of these matters will not have a material adverse effect on the Company’s financial position, results of operations or cash flows.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COMMITMENTS AND CONTINGENT LIABILITIES (Cont.)</w:t>
      </w:r>
    </w:p>
    <w:p>
      <w:pPr>
        <w:spacing w:after="0" w:line="135" w:lineRule="exact"/>
        <w:rPr>
          <w:sz w:val="20"/>
          <w:szCs w:val="20"/>
          <w:color w:val="auto"/>
        </w:rPr>
      </w:pPr>
    </w:p>
    <w:p>
      <w:pPr>
        <w:ind w:left="1860" w:hanging="543"/>
        <w:spacing w:after="0"/>
        <w:tabs>
          <w:tab w:leader="none" w:pos="18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Warranties and Indemnification</w:t>
      </w:r>
    </w:p>
    <w:p>
      <w:pPr>
        <w:spacing w:after="0" w:line="117" w:lineRule="exact"/>
        <w:rPr>
          <w:sz w:val="20"/>
          <w:szCs w:val="20"/>
          <w:color w:val="auto"/>
        </w:rPr>
      </w:pPr>
    </w:p>
    <w:p>
      <w:pPr>
        <w:jc w:val="both"/>
        <w:ind w:left="1880" w:right="20"/>
        <w:spacing w:after="0" w:line="263"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76" w:lineRule="exact"/>
        <w:rPr>
          <w:sz w:val="20"/>
          <w:szCs w:val="20"/>
          <w:color w:val="auto"/>
        </w:rPr>
      </w:pPr>
    </w:p>
    <w:p>
      <w:pPr>
        <w:ind w:left="1880" w:right="60"/>
        <w:spacing w:after="0" w:line="291" w:lineRule="auto"/>
        <w:rPr>
          <w:sz w:val="20"/>
          <w:szCs w:val="20"/>
          <w:color w:val="auto"/>
        </w:rPr>
      </w:pPr>
      <w:r>
        <w:rPr>
          <w:rFonts w:ascii="Arial" w:cs="Arial" w:eastAsia="Arial" w:hAnsi="Arial"/>
          <w:sz w:val="16"/>
          <w:szCs w:val="16"/>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4480" w:type="dxa"/>
            <w:vAlign w:val="bottom"/>
            <w:gridSpan w:val="4"/>
          </w:tcPr>
          <w:p>
            <w:pPr>
              <w:ind w:left="220"/>
              <w:spacing w:after="0"/>
              <w:rPr>
                <w:sz w:val="20"/>
                <w:szCs w:val="20"/>
                <w:color w:val="auto"/>
              </w:rPr>
            </w:pPr>
            <w:r>
              <w:rPr>
                <w:rFonts w:ascii="Arial" w:cs="Arial" w:eastAsia="Arial" w:hAnsi="Arial"/>
                <w:sz w:val="18"/>
                <w:szCs w:val="18"/>
                <w:b w:val="1"/>
                <w:bCs w:val="1"/>
                <w:color w:val="auto"/>
              </w:rPr>
              <w:t>CONVERTIBLE PREFERRED STOCK</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Convertible preferred stock consists of the following:</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March 31, 2021 and December 31, 2020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Authorized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Seed</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$ 0.3275</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3,434,999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Seed-1</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0.3036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7,812,250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7,812,248</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Seed-2</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0.3624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3,311,260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3,311,260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0.5842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16,014,920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16,014,920</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1.0413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14,741,184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14,405,065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1.5839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19,761,349</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19,761,349</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2.7515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19,313,201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18,655,974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51,332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84,389,164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83,395,815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111,282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320" w:right="20"/>
        <w:spacing w:after="0" w:line="293" w:lineRule="auto"/>
        <w:rPr>
          <w:sz w:val="20"/>
          <w:szCs w:val="20"/>
          <w:color w:val="auto"/>
        </w:rPr>
      </w:pPr>
      <w:r>
        <w:rPr>
          <w:rFonts w:ascii="Arial" w:cs="Arial" w:eastAsia="Arial" w:hAnsi="Arial"/>
          <w:sz w:val="16"/>
          <w:szCs w:val="16"/>
          <w:color w:val="auto"/>
        </w:rPr>
        <w:t>The Company adopted the Groop Internet Platform Inc. 2014 Global Share Incentive Plan (the “Option Plan”) pursuant to which incentive and nonqualified stock options and stock purchase rights to purchase the Company’s common stock may be granted to officers, employees, directors, consultants and service providers. As of March 31, 2021, 201,427 common shares are reserved for issuance under the Option Plan, as amended. The Option Plan is administered by the Company’s board of directors (the “Plan Administrator”). The Plan Administrator determines the exercise price and vesting schedules for stock options granted under the Option Plan on the date of grant. Stock option grants generally vest over a four-year period and generally have contractual terms of ten years.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EQUITY INCENTIVE PLAN (Cont.)</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 summary of the Company’s stock option activity to employees, directors and service providers and related information is as follows: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2021</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Weighted</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Weighted</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remaining</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term</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price</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 years)</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the beginning of the period</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18,097,815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743,156</w:t>
            </w:r>
          </w:p>
        </w:tc>
        <w:tc>
          <w:tcPr>
            <w:tcW w:w="16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8.21</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(603,914)</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(45,537)</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1.33</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end of the period</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18,191,520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Exercisable at the end of the period</w:t>
            </w: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11,847,077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4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220"/>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periods ended March 31, 2021 and 2020 was $7 and $0.73 per share, respectively.</w:t>
      </w:r>
    </w:p>
    <w:p>
      <w:pPr>
        <w:spacing w:after="0" w:line="62" w:lineRule="exact"/>
        <w:rPr>
          <w:sz w:val="20"/>
          <w:szCs w:val="20"/>
          <w:color w:val="auto"/>
        </w:rPr>
      </w:pPr>
    </w:p>
    <w:p>
      <w:pPr>
        <w:ind w:left="1320" w:right="80"/>
        <w:spacing w:after="0" w:line="277" w:lineRule="auto"/>
        <w:rPr>
          <w:sz w:val="20"/>
          <w:szCs w:val="20"/>
          <w:color w:val="auto"/>
        </w:rPr>
      </w:pPr>
      <w:r>
        <w:rPr>
          <w:rFonts w:ascii="Arial" w:cs="Arial" w:eastAsia="Arial" w:hAnsi="Arial"/>
          <w:sz w:val="18"/>
          <w:szCs w:val="18"/>
          <w:color w:val="auto"/>
        </w:rPr>
        <w:t>The following table sets forth the total stock-based compensation expense included in the respective components of operating expenses in the consolidated statements of comprehensive loss: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Three months</w:t>
            </w:r>
          </w:p>
        </w:tc>
      </w:tr>
      <w:tr>
        <w:trPr>
          <w:trHeight w:val="148"/>
        </w:trPr>
        <w:tc>
          <w:tcPr>
            <w:tcW w:w="4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left="98"/>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Clinical Operations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165</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203</w:t>
            </w:r>
          </w:p>
        </w:tc>
        <w:tc>
          <w:tcPr>
            <w:tcW w:w="4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1,513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401</w:t>
            </w:r>
          </w:p>
        </w:tc>
      </w:tr>
      <w:tr>
        <w:trPr>
          <w:trHeight w:val="20"/>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80"/>
        <w:spacing w:after="0" w:line="277" w:lineRule="auto"/>
        <w:rPr>
          <w:sz w:val="20"/>
          <w:szCs w:val="20"/>
          <w:color w:val="auto"/>
        </w:rPr>
      </w:pPr>
      <w:r>
        <w:rPr>
          <w:rFonts w:ascii="Arial" w:cs="Arial" w:eastAsia="Arial" w:hAnsi="Arial"/>
          <w:sz w:val="18"/>
          <w:szCs w:val="18"/>
          <w:color w:val="auto"/>
        </w:rPr>
        <w:t>As of March 31, 2021, there was $12,545 of total unrecognized compensation cost related to non-vested options that are expected to be recognized over a period of up to 4 years.</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Warrants to financial institutions</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As of March 31, 2021, there were 60,000 outstanding warrants to purchase the Company’s common stock for a price of $0.44 per share.</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These warrants were issued in 2017 and will expire in 2027.</w:t>
      </w:r>
    </w:p>
    <w:p>
      <w:pPr>
        <w:spacing w:after="0" w:line="103" w:lineRule="exact"/>
        <w:rPr>
          <w:sz w:val="20"/>
          <w:szCs w:val="20"/>
          <w:color w:val="auto"/>
        </w:rPr>
      </w:pPr>
    </w:p>
    <w:p>
      <w:pPr>
        <w:ind w:left="1320" w:right="280"/>
        <w:spacing w:after="0" w:line="263" w:lineRule="auto"/>
        <w:rPr>
          <w:sz w:val="20"/>
          <w:szCs w:val="20"/>
          <w:color w:val="auto"/>
        </w:rPr>
      </w:pPr>
      <w:r>
        <w:rPr>
          <w:rFonts w:ascii="Arial" w:cs="Arial" w:eastAsia="Arial" w:hAnsi="Arial"/>
          <w:sz w:val="18"/>
          <w:szCs w:val="18"/>
          <w:color w:val="auto"/>
        </w:rPr>
        <w:t>As of March 31, 2021, there were 50,881 outstanding warrants to purchase the Company’s preferred D stock for a price of $2.75 per share. These warrants were issued in 2019 and will expire in 2029. The Company accounted for these warrants as a liability at fair value. The fair value of the warrants as of March 31, 2021 amounted to $609.</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For warrant issued in respect of the Credit Agreement, refer to Note 4.</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NET LOSS PER SHARE ATTRIBUTABLE TO COMMON STOCKHOLDERS</w:t>
      </w:r>
    </w:p>
    <w:p>
      <w:pPr>
        <w:spacing w:after="0" w:line="121" w:lineRule="exact"/>
        <w:rPr>
          <w:sz w:val="20"/>
          <w:szCs w:val="20"/>
          <w:color w:val="auto"/>
        </w:rPr>
      </w:pPr>
    </w:p>
    <w:p>
      <w:pPr>
        <w:ind w:left="1320" w:right="5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89"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7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12,738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7,900</w:t>
            </w: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08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7080" w:type="dxa"/>
            <w:vAlign w:val="bottom"/>
          </w:tcPr>
          <w:p>
            <w:pPr>
              <w:ind w:left="540"/>
              <w:spacing w:after="0"/>
              <w:rPr>
                <w:sz w:val="20"/>
                <w:szCs w:val="20"/>
                <w:color w:val="auto"/>
              </w:rPr>
            </w:pPr>
            <w:r>
              <w:rPr>
                <w:rFonts w:ascii="Arial" w:cs="Arial" w:eastAsia="Arial" w:hAnsi="Arial"/>
                <w:sz w:val="18"/>
                <w:szCs w:val="18"/>
                <w:color w:val="auto"/>
              </w:rPr>
              <w:t>common stockholders, basic and diluted</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12,134,482</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11,728,768</w:t>
            </w:r>
          </w:p>
        </w:tc>
        <w:tc>
          <w:tcPr>
            <w:tcW w:w="60" w:type="dxa"/>
            <w:vAlign w:val="bottom"/>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w:t>
            </w: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20"/>
        <w:spacing w:after="0" w:line="263" w:lineRule="auto"/>
        <w:rPr>
          <w:sz w:val="20"/>
          <w:szCs w:val="20"/>
          <w:color w:val="auto"/>
        </w:rPr>
      </w:pPr>
      <w:r>
        <w:rPr>
          <w:rFonts w:ascii="Arial" w:cs="Arial" w:eastAsia="Arial" w:hAnsi="Arial"/>
          <w:sz w:val="18"/>
          <w:szCs w:val="18"/>
          <w:color w:val="auto"/>
        </w:rPr>
        <w:t>The following were excluded from the calculation of diluted loss per share since it would have an anti-dilutive effect: 83,395,815 shares of convertible preferred stock, 18,191,520 stock options, 60,000 warrants to the Company’s common stock and 50,881 warrants to the Company’s series D convertible preferred stock.</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TAXES ON INCOME</w:t>
      </w:r>
    </w:p>
    <w:p>
      <w:pPr>
        <w:spacing w:after="0" w:line="121" w:lineRule="exact"/>
        <w:rPr>
          <w:sz w:val="20"/>
          <w:szCs w:val="20"/>
          <w:color w:val="auto"/>
        </w:rPr>
      </w:pPr>
    </w:p>
    <w:p>
      <w:pPr>
        <w:ind w:left="1320" w:right="80"/>
        <w:spacing w:after="0" w:line="277" w:lineRule="auto"/>
        <w:rPr>
          <w:sz w:val="20"/>
          <w:szCs w:val="20"/>
          <w:color w:val="auto"/>
        </w:rPr>
      </w:pPr>
      <w:r>
        <w:rPr>
          <w:rFonts w:ascii="Arial" w:cs="Arial" w:eastAsia="Arial" w:hAnsi="Arial"/>
          <w:sz w:val="18"/>
          <w:szCs w:val="18"/>
          <w:color w:val="auto"/>
        </w:rPr>
        <w:t>As a result of the Company’s history of net operating losses (“NOL”), the Company has provided for a full valuation allowance against its deferred tax assets for assets that are not more-likely-than-not to be realized.</w:t>
      </w:r>
    </w:p>
    <w:p>
      <w:pPr>
        <w:spacing w:after="0" w:line="62" w:lineRule="exact"/>
        <w:rPr>
          <w:sz w:val="20"/>
          <w:szCs w:val="20"/>
          <w:color w:val="auto"/>
        </w:rPr>
      </w:pPr>
    </w:p>
    <w:p>
      <w:pPr>
        <w:ind w:left="1320" w:right="520"/>
        <w:spacing w:after="0" w:line="263" w:lineRule="auto"/>
        <w:rPr>
          <w:sz w:val="20"/>
          <w:szCs w:val="20"/>
          <w:color w:val="auto"/>
        </w:rPr>
      </w:pPr>
      <w:r>
        <w:rPr>
          <w:rFonts w:ascii="Arial" w:cs="Arial" w:eastAsia="Arial" w:hAnsi="Arial"/>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2563495</wp:posOffset>
            </wp:positionV>
            <wp:extent cx="6995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2606040</wp:posOffset>
            </wp:positionV>
            <wp:extent cx="6995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TAILWIND MERGER SUB I,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TAILWIND MERGER SUB II,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GROOP INTERNET PLATFORM,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January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5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4"/>
                <w:szCs w:val="24"/>
                <w:color w:val="auto"/>
              </w:rPr>
            </w:pPr>
          </w:p>
        </w:tc>
      </w:tr>
      <w:tr>
        <w:trPr>
          <w:trHeight w:val="480"/>
        </w:trPr>
        <w:tc>
          <w:tcPr>
            <w:tcW w:w="466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I CERTAIN DEFINITIONS</w:t>
            </w:r>
          </w:p>
        </w:tc>
        <w:tc>
          <w:tcPr>
            <w:tcW w:w="19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Definitions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Knowledge</w:t>
            </w:r>
          </w:p>
        </w:tc>
        <w:tc>
          <w:tcPr>
            <w:tcW w:w="11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Equitable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II THE MERGERS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A-20</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The Mergers</w:t>
            </w:r>
          </w:p>
        </w:tc>
        <w:tc>
          <w:tcPr>
            <w:tcW w:w="1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Effective Times</w:t>
            </w:r>
          </w:p>
        </w:tc>
        <w:tc>
          <w:tcPr>
            <w:tcW w:w="1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 of the Mergers</w:t>
            </w:r>
          </w:p>
        </w:tc>
        <w:tc>
          <w:tcPr>
            <w:tcW w:w="1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Governing Documents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Directors/Managers and Officers of the Surviving Corporation and the Surviving Entity</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06"/>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III TOTAL PRE-CLOSING HOLDER CONSIDERATION; CONVERSION OF SECURITIES; MERGER</w:t>
            </w:r>
          </w:p>
        </w:tc>
        <w:tc>
          <w:tcPr>
            <w:tcW w:w="1120" w:type="dxa"/>
            <w:vAlign w:val="bottom"/>
          </w:tcPr>
          <w:p>
            <w:pPr>
              <w:spacing w:after="0"/>
              <w:rPr>
                <w:sz w:val="24"/>
                <w:szCs w:val="24"/>
                <w:color w:val="auto"/>
              </w:rPr>
            </w:pPr>
          </w:p>
        </w:tc>
      </w:tr>
      <w:tr>
        <w:trPr>
          <w:trHeight w:val="234"/>
        </w:trPr>
        <w:tc>
          <w:tcPr>
            <w:tcW w:w="212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CONSIDERATION</w:t>
            </w:r>
          </w:p>
        </w:tc>
        <w:tc>
          <w:tcPr>
            <w:tcW w:w="2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A-21</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Total Pre-Closing Holder Consideration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 of First Merger on Company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Merger Consideration.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Exchange Agent</w:t>
            </w:r>
          </w:p>
        </w:tc>
        <w:tc>
          <w:tcPr>
            <w:tcW w:w="112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 of Second Merger</w:t>
            </w:r>
          </w:p>
        </w:tc>
        <w:tc>
          <w:tcPr>
            <w:tcW w:w="112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3.06</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Treatment of Company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3.07</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Withholding Rights</w:t>
            </w:r>
          </w:p>
        </w:tc>
        <w:tc>
          <w:tcPr>
            <w:tcW w:w="11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3.08</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Dissenting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IV CLOSING TRANSACTIONS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A-28</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4.01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Closing</w:t>
            </w:r>
          </w:p>
        </w:tc>
        <w:tc>
          <w:tcPr>
            <w:tcW w:w="11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4.02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Closing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324"/>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V REPRESENTATIONS AND WARRANTIES OF THE COMPANY</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A-30</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Corporate Organization of the Company</w:t>
            </w:r>
          </w:p>
        </w:tc>
        <w:tc>
          <w:tcPr>
            <w:tcW w:w="1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Subsidiaries</w:t>
            </w:r>
          </w:p>
        </w:tc>
        <w:tc>
          <w:tcPr>
            <w:tcW w:w="1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Due Authorization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No Conflict</w:t>
            </w:r>
          </w:p>
        </w:tc>
        <w:tc>
          <w:tcPr>
            <w:tcW w:w="1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Governmental Authorities; Consents</w:t>
            </w:r>
          </w:p>
        </w:tc>
        <w:tc>
          <w:tcPr>
            <w:tcW w:w="1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5.06</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Current Capitalization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5.07</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Capitalization of Subsidiaries</w:t>
            </w:r>
          </w:p>
        </w:tc>
        <w:tc>
          <w:tcPr>
            <w:tcW w:w="11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5.08</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Financial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5.09</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Undisclosed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5.10</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Litigation and Proceedings</w:t>
            </w:r>
          </w:p>
        </w:tc>
        <w:tc>
          <w:tcPr>
            <w:tcW w:w="1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Compliance with Laws</w:t>
            </w:r>
          </w:p>
        </w:tc>
        <w:tc>
          <w:tcPr>
            <w:tcW w:w="1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Contracts; No Defaults</w:t>
            </w:r>
          </w:p>
        </w:tc>
        <w:tc>
          <w:tcPr>
            <w:tcW w:w="11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Company Benefit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Labor Matters</w:t>
            </w:r>
          </w:p>
        </w:tc>
        <w:tc>
          <w:tcPr>
            <w:tcW w:w="1120" w:type="dxa"/>
            <w:vAlign w:val="bottom"/>
          </w:tcPr>
          <w:p>
            <w:pPr>
              <w:jc w:val="right"/>
              <w:spacing w:after="0"/>
              <w:rPr>
                <w:sz w:val="20"/>
                <w:szCs w:val="20"/>
                <w:color w:val="auto"/>
              </w:rPr>
            </w:pPr>
            <w:r>
              <w:rPr>
                <w:rFonts w:ascii="Arial" w:cs="Arial" w:eastAsia="Arial" w:hAnsi="Arial"/>
                <w:sz w:val="18"/>
                <w:szCs w:val="18"/>
                <w:color w:val="auto"/>
              </w:rPr>
              <w:t>A-37</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Taxes</w:t>
            </w:r>
          </w:p>
        </w:tc>
        <w:tc>
          <w:tcPr>
            <w:tcW w:w="112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5.16</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Insurance</w:t>
            </w:r>
          </w:p>
        </w:tc>
        <w:tc>
          <w:tcPr>
            <w:tcW w:w="112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5.17</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Permits</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5.18</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Personal Property and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5.19</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Real Property</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5.20</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Intellectual Property and IT Security</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5.21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Environmental Matters</w:t>
            </w:r>
          </w:p>
        </w:tc>
        <w:tc>
          <w:tcPr>
            <w:tcW w:w="1120" w:type="dxa"/>
            <w:vAlign w:val="bottom"/>
          </w:tcPr>
          <w:p>
            <w:pPr>
              <w:jc w:val="right"/>
              <w:spacing w:after="0"/>
              <w:rPr>
                <w:sz w:val="20"/>
                <w:szCs w:val="20"/>
                <w:color w:val="auto"/>
              </w:rPr>
            </w:pPr>
            <w:r>
              <w:rPr>
                <w:rFonts w:ascii="Arial" w:cs="Arial" w:eastAsia="Arial" w:hAnsi="Arial"/>
                <w:sz w:val="18"/>
                <w:szCs w:val="18"/>
                <w:color w:val="auto"/>
              </w:rPr>
              <w:t>A-43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45" w:right="51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7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19"/>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5.22</w:t>
            </w:r>
          </w:p>
        </w:tc>
        <w:tc>
          <w:tcPr>
            <w:tcW w:w="750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5.23</w:t>
            </w:r>
          </w:p>
        </w:tc>
        <w:tc>
          <w:tcPr>
            <w:tcW w:w="7500" w:type="dxa"/>
            <w:vAlign w:val="bottom"/>
          </w:tcPr>
          <w:p>
            <w:pPr>
              <w:ind w:left="260"/>
              <w:spacing w:after="0"/>
              <w:rPr>
                <w:sz w:val="20"/>
                <w:szCs w:val="20"/>
                <w:color w:val="auto"/>
              </w:rPr>
            </w:pPr>
            <w:r>
              <w:rPr>
                <w:rFonts w:ascii="Arial" w:cs="Arial" w:eastAsia="Arial" w:hAnsi="Arial"/>
                <w:sz w:val="18"/>
                <w:szCs w:val="18"/>
                <w:color w:val="auto"/>
              </w:rPr>
              <w:t>Brokers’ Fees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5.24</w:t>
            </w:r>
          </w:p>
        </w:tc>
        <w:tc>
          <w:tcPr>
            <w:tcW w:w="7500" w:type="dxa"/>
            <w:vAlign w:val="bottom"/>
          </w:tcPr>
          <w:p>
            <w:pPr>
              <w:ind w:left="260"/>
              <w:spacing w:after="0"/>
              <w:rPr>
                <w:sz w:val="20"/>
                <w:szCs w:val="20"/>
                <w:color w:val="auto"/>
              </w:rPr>
            </w:pPr>
            <w:r>
              <w:rPr>
                <w:rFonts w:ascii="Arial" w:cs="Arial" w:eastAsia="Arial" w:hAnsi="Arial"/>
                <w:sz w:val="18"/>
                <w:szCs w:val="18"/>
                <w:color w:val="auto"/>
              </w:rPr>
              <w:t>Business Relationships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5.25</w:t>
            </w:r>
          </w:p>
        </w:tc>
        <w:tc>
          <w:tcPr>
            <w:tcW w:w="7500" w:type="dxa"/>
            <w:vAlign w:val="bottom"/>
          </w:tcPr>
          <w:p>
            <w:pPr>
              <w:ind w:left="260"/>
              <w:spacing w:after="0"/>
              <w:rPr>
                <w:sz w:val="20"/>
                <w:szCs w:val="20"/>
                <w:color w:val="auto"/>
              </w:rPr>
            </w:pPr>
            <w:r>
              <w:rPr>
                <w:rFonts w:ascii="Arial" w:cs="Arial" w:eastAsia="Arial" w:hAnsi="Arial"/>
                <w:sz w:val="18"/>
                <w:szCs w:val="18"/>
                <w:color w:val="auto"/>
              </w:rPr>
              <w:t>Related Party Transactions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5.26</w:t>
            </w:r>
          </w:p>
        </w:tc>
        <w:tc>
          <w:tcPr>
            <w:tcW w:w="7500" w:type="dxa"/>
            <w:vAlign w:val="bottom"/>
          </w:tcPr>
          <w:p>
            <w:pPr>
              <w:ind w:left="260"/>
              <w:spacing w:after="0"/>
              <w:rPr>
                <w:sz w:val="20"/>
                <w:szCs w:val="20"/>
                <w:color w:val="auto"/>
              </w:rPr>
            </w:pPr>
            <w:r>
              <w:rPr>
                <w:rFonts w:ascii="Arial" w:cs="Arial" w:eastAsia="Arial" w:hAnsi="Arial"/>
                <w:sz w:val="18"/>
                <w:szCs w:val="18"/>
                <w:color w:val="auto"/>
              </w:rPr>
              <w:t>Information Supplied</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5.27</w:t>
            </w:r>
          </w:p>
        </w:tc>
        <w:tc>
          <w:tcPr>
            <w:tcW w:w="7500" w:type="dxa"/>
            <w:vAlign w:val="bottom"/>
          </w:tcPr>
          <w:p>
            <w:pPr>
              <w:ind w:left="260"/>
              <w:spacing w:after="0"/>
              <w:rPr>
                <w:sz w:val="20"/>
                <w:szCs w:val="20"/>
                <w:color w:val="auto"/>
              </w:rPr>
            </w:pPr>
            <w:r>
              <w:rPr>
                <w:rFonts w:ascii="Arial" w:cs="Arial" w:eastAsia="Arial" w:hAnsi="Arial"/>
                <w:sz w:val="18"/>
                <w:szCs w:val="18"/>
                <w:color w:val="auto"/>
              </w:rPr>
              <w:t>Regulatory Compliance</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5.28</w:t>
            </w:r>
          </w:p>
        </w:tc>
        <w:tc>
          <w:tcPr>
            <w:tcW w:w="7500" w:type="dxa"/>
            <w:vAlign w:val="bottom"/>
          </w:tcPr>
          <w:p>
            <w:pPr>
              <w:ind w:left="260"/>
              <w:spacing w:after="0"/>
              <w:rPr>
                <w:sz w:val="20"/>
                <w:szCs w:val="20"/>
                <w:color w:val="auto"/>
              </w:rPr>
            </w:pPr>
            <w:r>
              <w:rPr>
                <w:rFonts w:ascii="Arial" w:cs="Arial" w:eastAsia="Arial" w:hAnsi="Arial"/>
                <w:sz w:val="18"/>
                <w:szCs w:val="18"/>
                <w:color w:val="auto"/>
              </w:rPr>
              <w:t>No Additional Representations or Warranties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324"/>
        </w:trPr>
        <w:tc>
          <w:tcPr>
            <w:tcW w:w="9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 REPRESENTATIONS AND WARRANTIES OF ACQUIROR PARTIES</w:t>
            </w: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87"/>
              </w:rPr>
              <w:t>A-45</w:t>
            </w:r>
          </w:p>
        </w:tc>
      </w:tr>
      <w:tr>
        <w:trPr>
          <w:trHeight w:val="31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6.01</w:t>
            </w:r>
          </w:p>
        </w:tc>
        <w:tc>
          <w:tcPr>
            <w:tcW w:w="7500" w:type="dxa"/>
            <w:vAlign w:val="bottom"/>
          </w:tcPr>
          <w:p>
            <w:pPr>
              <w:ind w:left="260"/>
              <w:spacing w:after="0"/>
              <w:rPr>
                <w:sz w:val="20"/>
                <w:szCs w:val="20"/>
                <w:color w:val="auto"/>
              </w:rPr>
            </w:pPr>
            <w:r>
              <w:rPr>
                <w:rFonts w:ascii="Arial" w:cs="Arial" w:eastAsia="Arial" w:hAnsi="Arial"/>
                <w:sz w:val="18"/>
                <w:szCs w:val="18"/>
                <w:color w:val="auto"/>
              </w:rPr>
              <w:t>Corporate Organization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A-45</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6.02</w:t>
            </w:r>
          </w:p>
        </w:tc>
        <w:tc>
          <w:tcPr>
            <w:tcW w:w="7500" w:type="dxa"/>
            <w:vAlign w:val="bottom"/>
          </w:tcPr>
          <w:p>
            <w:pPr>
              <w:ind w:left="260"/>
              <w:spacing w:after="0"/>
              <w:rPr>
                <w:sz w:val="20"/>
                <w:szCs w:val="20"/>
                <w:color w:val="auto"/>
              </w:rPr>
            </w:pPr>
            <w:r>
              <w:rPr>
                <w:rFonts w:ascii="Arial" w:cs="Arial" w:eastAsia="Arial" w:hAnsi="Arial"/>
                <w:sz w:val="18"/>
                <w:szCs w:val="18"/>
                <w:color w:val="auto"/>
              </w:rPr>
              <w:t>Due Authorization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A-45</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6.03</w:t>
            </w:r>
          </w:p>
        </w:tc>
        <w:tc>
          <w:tcPr>
            <w:tcW w:w="7500" w:type="dxa"/>
            <w:vAlign w:val="bottom"/>
          </w:tcPr>
          <w:p>
            <w:pPr>
              <w:ind w:left="260"/>
              <w:spacing w:after="0"/>
              <w:rPr>
                <w:sz w:val="20"/>
                <w:szCs w:val="20"/>
                <w:color w:val="auto"/>
              </w:rPr>
            </w:pPr>
            <w:r>
              <w:rPr>
                <w:rFonts w:ascii="Arial" w:cs="Arial" w:eastAsia="Arial" w:hAnsi="Arial"/>
                <w:sz w:val="18"/>
                <w:szCs w:val="18"/>
                <w:color w:val="auto"/>
              </w:rPr>
              <w:t>No Conflict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A-46</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6.04</w:t>
            </w:r>
          </w:p>
        </w:tc>
        <w:tc>
          <w:tcPr>
            <w:tcW w:w="7500" w:type="dxa"/>
            <w:vAlign w:val="bottom"/>
          </w:tcPr>
          <w:p>
            <w:pPr>
              <w:ind w:left="260"/>
              <w:spacing w:after="0"/>
              <w:rPr>
                <w:sz w:val="20"/>
                <w:szCs w:val="20"/>
                <w:color w:val="auto"/>
              </w:rPr>
            </w:pPr>
            <w:r>
              <w:rPr>
                <w:rFonts w:ascii="Arial" w:cs="Arial" w:eastAsia="Arial" w:hAnsi="Arial"/>
                <w:sz w:val="18"/>
                <w:szCs w:val="18"/>
                <w:color w:val="auto"/>
              </w:rPr>
              <w:t>Litigation and Proceedings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A-46</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6.05</w:t>
            </w:r>
          </w:p>
        </w:tc>
        <w:tc>
          <w:tcPr>
            <w:tcW w:w="7500" w:type="dxa"/>
            <w:vAlign w:val="bottom"/>
          </w:tcPr>
          <w:p>
            <w:pPr>
              <w:ind w:left="260"/>
              <w:spacing w:after="0"/>
              <w:rPr>
                <w:sz w:val="20"/>
                <w:szCs w:val="20"/>
                <w:color w:val="auto"/>
              </w:rPr>
            </w:pPr>
            <w:r>
              <w:rPr>
                <w:rFonts w:ascii="Arial" w:cs="Arial" w:eastAsia="Arial" w:hAnsi="Arial"/>
                <w:sz w:val="18"/>
                <w:szCs w:val="18"/>
                <w:color w:val="auto"/>
              </w:rPr>
              <w:t>Governmental Authorities; Consents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A-46</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6.06</w:t>
            </w:r>
          </w:p>
        </w:tc>
        <w:tc>
          <w:tcPr>
            <w:tcW w:w="7500" w:type="dxa"/>
            <w:vAlign w:val="bottom"/>
          </w:tcPr>
          <w:p>
            <w:pPr>
              <w:ind w:left="260"/>
              <w:spacing w:after="0"/>
              <w:rPr>
                <w:sz w:val="20"/>
                <w:szCs w:val="20"/>
                <w:color w:val="auto"/>
              </w:rPr>
            </w:pPr>
            <w:r>
              <w:rPr>
                <w:rFonts w:ascii="Arial" w:cs="Arial" w:eastAsia="Arial" w:hAnsi="Arial"/>
                <w:sz w:val="18"/>
                <w:szCs w:val="18"/>
                <w:color w:val="auto"/>
              </w:rPr>
              <w:t>Financial Ability; Trust Account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A-47</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6.07</w:t>
            </w:r>
          </w:p>
        </w:tc>
        <w:tc>
          <w:tcPr>
            <w:tcW w:w="7500" w:type="dxa"/>
            <w:vAlign w:val="bottom"/>
          </w:tcPr>
          <w:p>
            <w:pPr>
              <w:ind w:left="260"/>
              <w:spacing w:after="0"/>
              <w:rPr>
                <w:sz w:val="20"/>
                <w:szCs w:val="20"/>
                <w:color w:val="auto"/>
              </w:rPr>
            </w:pPr>
            <w:r>
              <w:rPr>
                <w:rFonts w:ascii="Arial" w:cs="Arial" w:eastAsia="Arial" w:hAnsi="Arial"/>
                <w:sz w:val="18"/>
                <w:szCs w:val="18"/>
                <w:color w:val="auto"/>
              </w:rPr>
              <w:t>Brokers’ Fees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6.08</w:t>
            </w:r>
          </w:p>
        </w:tc>
        <w:tc>
          <w:tcPr>
            <w:tcW w:w="7500" w:type="dxa"/>
            <w:vAlign w:val="bottom"/>
          </w:tcPr>
          <w:p>
            <w:pPr>
              <w:ind w:left="260"/>
              <w:spacing w:after="0"/>
              <w:rPr>
                <w:sz w:val="20"/>
                <w:szCs w:val="20"/>
                <w:color w:val="auto"/>
              </w:rPr>
            </w:pPr>
            <w:r>
              <w:rPr>
                <w:rFonts w:ascii="Arial" w:cs="Arial" w:eastAsia="Arial" w:hAnsi="Arial"/>
                <w:sz w:val="18"/>
                <w:szCs w:val="18"/>
                <w:color w:val="auto"/>
              </w:rPr>
              <w:t>SEC Reports; Financial Statements; Sarbanes-Oxley Act; Undisclosed Liabilities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6.09</w:t>
            </w:r>
          </w:p>
        </w:tc>
        <w:tc>
          <w:tcPr>
            <w:tcW w:w="7500" w:type="dxa"/>
            <w:vAlign w:val="bottom"/>
          </w:tcPr>
          <w:p>
            <w:pPr>
              <w:ind w:left="260"/>
              <w:spacing w:after="0"/>
              <w:rPr>
                <w:sz w:val="20"/>
                <w:szCs w:val="20"/>
                <w:color w:val="auto"/>
              </w:rPr>
            </w:pPr>
            <w:r>
              <w:rPr>
                <w:rFonts w:ascii="Arial" w:cs="Arial" w:eastAsia="Arial" w:hAnsi="Arial"/>
                <w:sz w:val="18"/>
                <w:szCs w:val="18"/>
                <w:color w:val="auto"/>
              </w:rPr>
              <w:t>Business Activities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A-49</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6.10</w:t>
            </w:r>
          </w:p>
        </w:tc>
        <w:tc>
          <w:tcPr>
            <w:tcW w:w="750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A-50</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6.11</w:t>
            </w:r>
          </w:p>
        </w:tc>
        <w:tc>
          <w:tcPr>
            <w:tcW w:w="75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A-51</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6.12</w:t>
            </w:r>
          </w:p>
        </w:tc>
        <w:tc>
          <w:tcPr>
            <w:tcW w:w="7500" w:type="dxa"/>
            <w:vAlign w:val="bottom"/>
          </w:tcPr>
          <w:p>
            <w:pPr>
              <w:ind w:left="260"/>
              <w:spacing w:after="0"/>
              <w:rPr>
                <w:sz w:val="20"/>
                <w:szCs w:val="20"/>
                <w:color w:val="auto"/>
              </w:rPr>
            </w:pPr>
            <w:r>
              <w:rPr>
                <w:rFonts w:ascii="Arial" w:cs="Arial" w:eastAsia="Arial" w:hAnsi="Arial"/>
                <w:sz w:val="18"/>
                <w:szCs w:val="18"/>
                <w:color w:val="auto"/>
              </w:rPr>
              <w:t>Nasdaq Listing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A-52</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6.13</w:t>
            </w:r>
          </w:p>
        </w:tc>
        <w:tc>
          <w:tcPr>
            <w:tcW w:w="7500" w:type="dxa"/>
            <w:vAlign w:val="bottom"/>
          </w:tcPr>
          <w:p>
            <w:pPr>
              <w:ind w:left="260"/>
              <w:spacing w:after="0"/>
              <w:rPr>
                <w:sz w:val="20"/>
                <w:szCs w:val="20"/>
                <w:color w:val="auto"/>
              </w:rPr>
            </w:pPr>
            <w:r>
              <w:rPr>
                <w:rFonts w:ascii="Arial" w:cs="Arial" w:eastAsia="Arial" w:hAnsi="Arial"/>
                <w:sz w:val="18"/>
                <w:szCs w:val="18"/>
                <w:color w:val="auto"/>
              </w:rPr>
              <w:t>PIPE Investment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A-52</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6.14</w:t>
            </w:r>
          </w:p>
        </w:tc>
        <w:tc>
          <w:tcPr>
            <w:tcW w:w="7500" w:type="dxa"/>
            <w:vAlign w:val="bottom"/>
          </w:tcPr>
          <w:p>
            <w:pPr>
              <w:ind w:left="260"/>
              <w:spacing w:after="0"/>
              <w:rPr>
                <w:sz w:val="20"/>
                <w:szCs w:val="20"/>
                <w:color w:val="auto"/>
              </w:rPr>
            </w:pPr>
            <w:r>
              <w:rPr>
                <w:rFonts w:ascii="Arial" w:cs="Arial" w:eastAsia="Arial" w:hAnsi="Arial"/>
                <w:sz w:val="18"/>
                <w:szCs w:val="18"/>
                <w:color w:val="auto"/>
              </w:rPr>
              <w:t>Related Party Transactions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6.15</w:t>
            </w:r>
          </w:p>
        </w:tc>
        <w:tc>
          <w:tcPr>
            <w:tcW w:w="7500" w:type="dxa"/>
            <w:vAlign w:val="bottom"/>
          </w:tcPr>
          <w:p>
            <w:pPr>
              <w:ind w:left="260"/>
              <w:spacing w:after="0"/>
              <w:rPr>
                <w:sz w:val="20"/>
                <w:szCs w:val="20"/>
                <w:color w:val="auto"/>
              </w:rPr>
            </w:pPr>
            <w:r>
              <w:rPr>
                <w:rFonts w:ascii="Arial" w:cs="Arial" w:eastAsia="Arial" w:hAnsi="Arial"/>
                <w:sz w:val="18"/>
                <w:szCs w:val="18"/>
                <w:color w:val="auto"/>
              </w:rPr>
              <w:t>Investment Company Act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6.16</w:t>
            </w:r>
          </w:p>
        </w:tc>
        <w:tc>
          <w:tcPr>
            <w:tcW w:w="7500" w:type="dxa"/>
            <w:vAlign w:val="bottom"/>
          </w:tcPr>
          <w:p>
            <w:pPr>
              <w:ind w:left="260"/>
              <w:spacing w:after="0"/>
              <w:rPr>
                <w:sz w:val="20"/>
                <w:szCs w:val="20"/>
                <w:color w:val="auto"/>
              </w:rPr>
            </w:pPr>
            <w:r>
              <w:rPr>
                <w:rFonts w:ascii="Arial" w:cs="Arial" w:eastAsia="Arial" w:hAnsi="Arial"/>
                <w:sz w:val="18"/>
                <w:szCs w:val="18"/>
                <w:color w:val="auto"/>
              </w:rPr>
              <w:t>Interest in Competitors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6.17</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Stockholders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6.18</w:t>
            </w:r>
          </w:p>
        </w:tc>
        <w:tc>
          <w:tcPr>
            <w:tcW w:w="7500" w:type="dxa"/>
            <w:vAlign w:val="bottom"/>
          </w:tcPr>
          <w:p>
            <w:pPr>
              <w:ind w:left="260"/>
              <w:spacing w:after="0"/>
              <w:rPr>
                <w:sz w:val="20"/>
                <w:szCs w:val="20"/>
                <w:color w:val="auto"/>
              </w:rPr>
            </w:pPr>
            <w:r>
              <w:rPr>
                <w:rFonts w:ascii="Arial" w:cs="Arial" w:eastAsia="Arial" w:hAnsi="Arial"/>
                <w:sz w:val="18"/>
                <w:szCs w:val="18"/>
                <w:color w:val="auto"/>
              </w:rPr>
              <w:t>Registration Statement, Proxy Statement and Proxy Statement/Registration Statement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A-54</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6.19</w:t>
            </w:r>
          </w:p>
        </w:tc>
        <w:tc>
          <w:tcPr>
            <w:tcW w:w="7500" w:type="dxa"/>
            <w:vAlign w:val="bottom"/>
          </w:tcPr>
          <w:p>
            <w:pPr>
              <w:ind w:left="260"/>
              <w:spacing w:after="0"/>
              <w:rPr>
                <w:sz w:val="20"/>
                <w:szCs w:val="20"/>
                <w:color w:val="auto"/>
              </w:rPr>
            </w:pPr>
            <w:r>
              <w:rPr>
                <w:rFonts w:ascii="Arial" w:cs="Arial" w:eastAsia="Arial" w:hAnsi="Arial"/>
                <w:sz w:val="18"/>
                <w:szCs w:val="18"/>
                <w:color w:val="auto"/>
              </w:rPr>
              <w:t>No Additional Representations or Warranties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A-54</w:t>
            </w:r>
          </w:p>
        </w:tc>
      </w:tr>
      <w:tr>
        <w:trPr>
          <w:trHeight w:val="324"/>
        </w:trPr>
        <w:tc>
          <w:tcPr>
            <w:tcW w:w="9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VII COVENANTS OF THE COMPANY</w:t>
            </w: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87"/>
              </w:rPr>
              <w:t>A-54</w:t>
            </w:r>
          </w:p>
        </w:tc>
      </w:tr>
      <w:tr>
        <w:trPr>
          <w:trHeight w:val="31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7.01</w:t>
            </w:r>
          </w:p>
        </w:tc>
        <w:tc>
          <w:tcPr>
            <w:tcW w:w="7500" w:type="dxa"/>
            <w:vAlign w:val="bottom"/>
          </w:tcPr>
          <w:p>
            <w:pPr>
              <w:ind w:left="260"/>
              <w:spacing w:after="0"/>
              <w:rPr>
                <w:sz w:val="20"/>
                <w:szCs w:val="20"/>
                <w:color w:val="auto"/>
              </w:rPr>
            </w:pPr>
            <w:r>
              <w:rPr>
                <w:rFonts w:ascii="Arial" w:cs="Arial" w:eastAsia="Arial" w:hAnsi="Arial"/>
                <w:sz w:val="18"/>
                <w:szCs w:val="18"/>
                <w:color w:val="auto"/>
              </w:rPr>
              <w:t>Conduct of Business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A-54</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7.02</w:t>
            </w:r>
          </w:p>
        </w:tc>
        <w:tc>
          <w:tcPr>
            <w:tcW w:w="7500" w:type="dxa"/>
            <w:vAlign w:val="bottom"/>
          </w:tcPr>
          <w:p>
            <w:pPr>
              <w:ind w:left="260"/>
              <w:spacing w:after="0"/>
              <w:rPr>
                <w:sz w:val="20"/>
                <w:szCs w:val="20"/>
                <w:color w:val="auto"/>
              </w:rPr>
            </w:pPr>
            <w:r>
              <w:rPr>
                <w:rFonts w:ascii="Arial" w:cs="Arial" w:eastAsia="Arial" w:hAnsi="Arial"/>
                <w:sz w:val="18"/>
                <w:szCs w:val="18"/>
                <w:color w:val="auto"/>
              </w:rPr>
              <w:t>Inspection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A-57</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7.03</w:t>
            </w:r>
          </w:p>
        </w:tc>
        <w:tc>
          <w:tcPr>
            <w:tcW w:w="7500" w:type="dxa"/>
            <w:vAlign w:val="bottom"/>
          </w:tcPr>
          <w:p>
            <w:pPr>
              <w:ind w:left="260"/>
              <w:spacing w:after="0"/>
              <w:rPr>
                <w:sz w:val="20"/>
                <w:szCs w:val="20"/>
                <w:color w:val="auto"/>
              </w:rPr>
            </w:pPr>
            <w:r>
              <w:rPr>
                <w:rFonts w:ascii="Arial" w:cs="Arial" w:eastAsia="Arial" w:hAnsi="Arial"/>
                <w:sz w:val="18"/>
                <w:szCs w:val="18"/>
                <w:color w:val="auto"/>
              </w:rPr>
              <w:t>HSR Act and Approvals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A-57</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7.04</w:t>
            </w:r>
          </w:p>
        </w:tc>
        <w:tc>
          <w:tcPr>
            <w:tcW w:w="7500" w:type="dxa"/>
            <w:vAlign w:val="bottom"/>
          </w:tcPr>
          <w:p>
            <w:pPr>
              <w:ind w:left="260"/>
              <w:spacing w:after="0"/>
              <w:rPr>
                <w:sz w:val="20"/>
                <w:szCs w:val="20"/>
                <w:color w:val="auto"/>
              </w:rPr>
            </w:pPr>
            <w:r>
              <w:rPr>
                <w:rFonts w:ascii="Arial" w:cs="Arial" w:eastAsia="Arial" w:hAnsi="Arial"/>
                <w:sz w:val="18"/>
                <w:szCs w:val="18"/>
                <w:color w:val="auto"/>
              </w:rPr>
              <w:t>No Claim Against the Trust Account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7.05</w:t>
            </w:r>
          </w:p>
        </w:tc>
        <w:tc>
          <w:tcPr>
            <w:tcW w:w="7500" w:type="dxa"/>
            <w:vAlign w:val="bottom"/>
          </w:tcPr>
          <w:p>
            <w:pPr>
              <w:ind w:left="260"/>
              <w:spacing w:after="0"/>
              <w:rPr>
                <w:sz w:val="20"/>
                <w:szCs w:val="20"/>
                <w:color w:val="auto"/>
              </w:rPr>
            </w:pPr>
            <w:r>
              <w:rPr>
                <w:rFonts w:ascii="Arial" w:cs="Arial" w:eastAsia="Arial" w:hAnsi="Arial"/>
                <w:sz w:val="18"/>
                <w:szCs w:val="18"/>
                <w:color w:val="auto"/>
              </w:rPr>
              <w:t>FIRPTA</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7.06</w:t>
            </w:r>
          </w:p>
        </w:tc>
        <w:tc>
          <w:tcPr>
            <w:tcW w:w="7500" w:type="dxa"/>
            <w:vAlign w:val="bottom"/>
          </w:tcPr>
          <w:p>
            <w:pPr>
              <w:ind w:left="260"/>
              <w:spacing w:after="0"/>
              <w:rPr>
                <w:sz w:val="20"/>
                <w:szCs w:val="20"/>
                <w:color w:val="auto"/>
              </w:rPr>
            </w:pPr>
            <w:r>
              <w:rPr>
                <w:rFonts w:ascii="Arial" w:cs="Arial" w:eastAsia="Arial" w:hAnsi="Arial"/>
                <w:sz w:val="18"/>
                <w:szCs w:val="18"/>
                <w:color w:val="auto"/>
              </w:rPr>
              <w:t>Code Section 280G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7.07</w:t>
            </w:r>
          </w:p>
        </w:tc>
        <w:tc>
          <w:tcPr>
            <w:tcW w:w="7500" w:type="dxa"/>
            <w:vAlign w:val="bottom"/>
          </w:tcPr>
          <w:p>
            <w:pPr>
              <w:ind w:left="260"/>
              <w:spacing w:after="0"/>
              <w:rPr>
                <w:sz w:val="20"/>
                <w:szCs w:val="20"/>
                <w:color w:val="auto"/>
              </w:rPr>
            </w:pPr>
            <w:r>
              <w:rPr>
                <w:rFonts w:ascii="Arial" w:cs="Arial" w:eastAsia="Arial" w:hAnsi="Arial"/>
                <w:sz w:val="18"/>
                <w:szCs w:val="18"/>
                <w:color w:val="auto"/>
              </w:rPr>
              <w:t>Company Stockholder Approval</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7.08</w:t>
            </w:r>
          </w:p>
        </w:tc>
        <w:tc>
          <w:tcPr>
            <w:tcW w:w="7500" w:type="dxa"/>
            <w:vAlign w:val="bottom"/>
          </w:tcPr>
          <w:p>
            <w:pPr>
              <w:ind w:left="260"/>
              <w:spacing w:after="0"/>
              <w:rPr>
                <w:sz w:val="20"/>
                <w:szCs w:val="20"/>
                <w:color w:val="auto"/>
              </w:rPr>
            </w:pPr>
            <w:r>
              <w:rPr>
                <w:rFonts w:ascii="Arial" w:cs="Arial" w:eastAsia="Arial" w:hAnsi="Arial"/>
                <w:sz w:val="18"/>
                <w:szCs w:val="18"/>
                <w:color w:val="auto"/>
              </w:rPr>
              <w:t>Pre-Closing Restructuring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7.09</w:t>
            </w:r>
          </w:p>
        </w:tc>
        <w:tc>
          <w:tcPr>
            <w:tcW w:w="7500" w:type="dxa"/>
            <w:vAlign w:val="bottom"/>
          </w:tcPr>
          <w:p>
            <w:pPr>
              <w:ind w:left="260"/>
              <w:spacing w:after="0"/>
              <w:rPr>
                <w:sz w:val="20"/>
                <w:szCs w:val="20"/>
                <w:color w:val="auto"/>
              </w:rPr>
            </w:pPr>
            <w:r>
              <w:rPr>
                <w:rFonts w:ascii="Arial" w:cs="Arial" w:eastAsia="Arial" w:hAnsi="Arial"/>
                <w:sz w:val="18"/>
                <w:szCs w:val="18"/>
                <w:color w:val="auto"/>
              </w:rPr>
              <w:t>Affiliate Agreements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324"/>
        </w:trPr>
        <w:tc>
          <w:tcPr>
            <w:tcW w:w="9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VIII COVENANTS OF ACQUIROR</w:t>
            </w: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87"/>
              </w:rPr>
              <w:t>A-59</w:t>
            </w:r>
          </w:p>
        </w:tc>
      </w:tr>
      <w:tr>
        <w:trPr>
          <w:trHeight w:val="31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8.01</w:t>
            </w:r>
          </w:p>
        </w:tc>
        <w:tc>
          <w:tcPr>
            <w:tcW w:w="7500" w:type="dxa"/>
            <w:vAlign w:val="bottom"/>
          </w:tcPr>
          <w:p>
            <w:pPr>
              <w:ind w:left="260"/>
              <w:spacing w:after="0"/>
              <w:rPr>
                <w:sz w:val="20"/>
                <w:szCs w:val="20"/>
                <w:color w:val="auto"/>
              </w:rPr>
            </w:pPr>
            <w:r>
              <w:rPr>
                <w:rFonts w:ascii="Arial" w:cs="Arial" w:eastAsia="Arial" w:hAnsi="Arial"/>
                <w:sz w:val="18"/>
                <w:szCs w:val="18"/>
                <w:color w:val="auto"/>
              </w:rPr>
              <w:t>HSR Act and Regulatory Approvals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8.02</w:t>
            </w:r>
          </w:p>
        </w:tc>
        <w:tc>
          <w:tcPr>
            <w:tcW w:w="7500" w:type="dxa"/>
            <w:vAlign w:val="bottom"/>
          </w:tcPr>
          <w:p>
            <w:pPr>
              <w:ind w:left="260"/>
              <w:spacing w:after="0"/>
              <w:rPr>
                <w:sz w:val="20"/>
                <w:szCs w:val="20"/>
                <w:color w:val="auto"/>
              </w:rPr>
            </w:pPr>
            <w:r>
              <w:rPr>
                <w:rFonts w:ascii="Arial" w:cs="Arial" w:eastAsia="Arial" w:hAnsi="Arial"/>
                <w:sz w:val="18"/>
                <w:szCs w:val="18"/>
                <w:color w:val="auto"/>
              </w:rPr>
              <w:t>Indemnification and Insurance</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A-60</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8.03</w:t>
            </w:r>
          </w:p>
        </w:tc>
        <w:tc>
          <w:tcPr>
            <w:tcW w:w="7500" w:type="dxa"/>
            <w:vAlign w:val="bottom"/>
          </w:tcPr>
          <w:p>
            <w:pPr>
              <w:ind w:left="260"/>
              <w:spacing w:after="0"/>
              <w:rPr>
                <w:sz w:val="20"/>
                <w:szCs w:val="20"/>
                <w:color w:val="auto"/>
              </w:rPr>
            </w:pPr>
            <w:r>
              <w:rPr>
                <w:rFonts w:ascii="Arial" w:cs="Arial" w:eastAsia="Arial" w:hAnsi="Arial"/>
                <w:sz w:val="18"/>
                <w:szCs w:val="18"/>
                <w:color w:val="auto"/>
              </w:rPr>
              <w:t>Conduct of Acquiror During the Interim Period</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A-62</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8.04</w:t>
            </w:r>
          </w:p>
        </w:tc>
        <w:tc>
          <w:tcPr>
            <w:tcW w:w="7500" w:type="dxa"/>
            <w:vAlign w:val="bottom"/>
          </w:tcPr>
          <w:p>
            <w:pPr>
              <w:ind w:left="260"/>
              <w:spacing w:after="0"/>
              <w:rPr>
                <w:sz w:val="20"/>
                <w:szCs w:val="20"/>
                <w:color w:val="auto"/>
              </w:rPr>
            </w:pPr>
            <w:r>
              <w:rPr>
                <w:rFonts w:ascii="Arial" w:cs="Arial" w:eastAsia="Arial" w:hAnsi="Arial"/>
                <w:sz w:val="18"/>
                <w:szCs w:val="18"/>
                <w:color w:val="auto"/>
              </w:rPr>
              <w:t>PIPE Investment; HEC Forward Purchase Agreement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8.05</w:t>
            </w:r>
          </w:p>
        </w:tc>
        <w:tc>
          <w:tcPr>
            <w:tcW w:w="7500" w:type="dxa"/>
            <w:vAlign w:val="bottom"/>
          </w:tcPr>
          <w:p>
            <w:pPr>
              <w:ind w:left="260"/>
              <w:spacing w:after="0"/>
              <w:rPr>
                <w:sz w:val="20"/>
                <w:szCs w:val="20"/>
                <w:color w:val="auto"/>
              </w:rPr>
            </w:pPr>
            <w:r>
              <w:rPr>
                <w:rFonts w:ascii="Arial" w:cs="Arial" w:eastAsia="Arial" w:hAnsi="Arial"/>
                <w:sz w:val="18"/>
                <w:szCs w:val="18"/>
                <w:color w:val="auto"/>
              </w:rPr>
              <w:t>Inspection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8.06</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Nasdaq Listing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8.07</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Public Filings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8.08</w:t>
            </w:r>
          </w:p>
        </w:tc>
        <w:tc>
          <w:tcPr>
            <w:tcW w:w="7500" w:type="dxa"/>
            <w:vAlign w:val="bottom"/>
          </w:tcPr>
          <w:p>
            <w:pPr>
              <w:ind w:left="260"/>
              <w:spacing w:after="0"/>
              <w:rPr>
                <w:sz w:val="20"/>
                <w:szCs w:val="20"/>
                <w:color w:val="auto"/>
              </w:rPr>
            </w:pPr>
            <w:r>
              <w:rPr>
                <w:rFonts w:ascii="Arial" w:cs="Arial" w:eastAsia="Arial" w:hAnsi="Arial"/>
                <w:sz w:val="18"/>
                <w:szCs w:val="18"/>
                <w:color w:val="auto"/>
              </w:rPr>
              <w:t>Section 16 Matters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8.09</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Board of Directors, Committees and Officers.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A-64</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8.10</w:t>
            </w:r>
          </w:p>
        </w:tc>
        <w:tc>
          <w:tcPr>
            <w:tcW w:w="7500" w:type="dxa"/>
            <w:vAlign w:val="bottom"/>
          </w:tcPr>
          <w:p>
            <w:pPr>
              <w:ind w:left="260"/>
              <w:spacing w:after="0"/>
              <w:rPr>
                <w:sz w:val="20"/>
                <w:szCs w:val="20"/>
                <w:color w:val="auto"/>
              </w:rPr>
            </w:pPr>
            <w:r>
              <w:rPr>
                <w:rFonts w:ascii="Arial" w:cs="Arial" w:eastAsia="Arial" w:hAnsi="Arial"/>
                <w:sz w:val="18"/>
                <w:szCs w:val="18"/>
                <w:color w:val="auto"/>
              </w:rPr>
              <w:t>Incentive Equity Plan and ESPP</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60"/>
          </w:cols>
          <w:pgMar w:left="320" w:top="445" w:right="51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19"/>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8.11</w:t>
            </w:r>
          </w:p>
        </w:tc>
        <w:tc>
          <w:tcPr>
            <w:tcW w:w="6820" w:type="dxa"/>
            <w:vAlign w:val="bottom"/>
          </w:tcPr>
          <w:p>
            <w:pPr>
              <w:ind w:left="220"/>
              <w:spacing w:after="0"/>
              <w:rPr>
                <w:sz w:val="20"/>
                <w:szCs w:val="20"/>
                <w:color w:val="auto"/>
              </w:rPr>
            </w:pPr>
            <w:r>
              <w:rPr>
                <w:rFonts w:ascii="Arial" w:cs="Arial" w:eastAsia="Arial" w:hAnsi="Arial"/>
                <w:sz w:val="18"/>
                <w:szCs w:val="18"/>
                <w:color w:val="auto"/>
              </w:rPr>
              <w:t>Qualification as an Emerging Growth Company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A-64</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8.12</w:t>
            </w:r>
          </w:p>
        </w:tc>
        <w:tc>
          <w:tcPr>
            <w:tcW w:w="6820" w:type="dxa"/>
            <w:vAlign w:val="bottom"/>
          </w:tcPr>
          <w:p>
            <w:pPr>
              <w:ind w:left="220"/>
              <w:spacing w:after="0"/>
              <w:rPr>
                <w:sz w:val="20"/>
                <w:szCs w:val="20"/>
                <w:color w:val="auto"/>
              </w:rPr>
            </w:pPr>
            <w:r>
              <w:rPr>
                <w:rFonts w:ascii="Arial" w:cs="Arial" w:eastAsia="Arial" w:hAnsi="Arial"/>
                <w:sz w:val="18"/>
                <w:szCs w:val="18"/>
                <w:color w:val="auto"/>
              </w:rPr>
              <w:t>Stockholder Litigation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A-64</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8.13</w:t>
            </w:r>
          </w:p>
        </w:tc>
        <w:tc>
          <w:tcPr>
            <w:tcW w:w="6820" w:type="dxa"/>
            <w:vAlign w:val="bottom"/>
          </w:tcPr>
          <w:p>
            <w:pPr>
              <w:ind w:left="220"/>
              <w:spacing w:after="0"/>
              <w:rPr>
                <w:sz w:val="20"/>
                <w:szCs w:val="20"/>
                <w:color w:val="auto"/>
              </w:rPr>
            </w:pPr>
            <w:r>
              <w:rPr>
                <w:rFonts w:ascii="Arial" w:cs="Arial" w:eastAsia="Arial" w:hAnsi="Arial"/>
                <w:sz w:val="18"/>
                <w:szCs w:val="18"/>
                <w:color w:val="auto"/>
              </w:rPr>
              <w:t>Other Compensation Matters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A-64</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IX JOINT COVENANTS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A-65</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9.01</w:t>
            </w:r>
          </w:p>
        </w:tc>
        <w:tc>
          <w:tcPr>
            <w:tcW w:w="6820" w:type="dxa"/>
            <w:vAlign w:val="bottom"/>
          </w:tcPr>
          <w:p>
            <w:pPr>
              <w:ind w:left="220"/>
              <w:spacing w:after="0"/>
              <w:rPr>
                <w:sz w:val="20"/>
                <w:szCs w:val="20"/>
                <w:color w:val="auto"/>
              </w:rPr>
            </w:pPr>
            <w:r>
              <w:rPr>
                <w:rFonts w:ascii="Arial" w:cs="Arial" w:eastAsia="Arial" w:hAnsi="Arial"/>
                <w:sz w:val="18"/>
                <w:szCs w:val="18"/>
                <w:color w:val="auto"/>
              </w:rPr>
              <w:t>Support of Transaction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A-65</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9.02</w:t>
            </w:r>
          </w:p>
        </w:tc>
        <w:tc>
          <w:tcPr>
            <w:tcW w:w="6820" w:type="dxa"/>
            <w:vAlign w:val="bottom"/>
          </w:tcPr>
          <w:p>
            <w:pPr>
              <w:ind w:left="220"/>
              <w:spacing w:after="0"/>
              <w:rPr>
                <w:sz w:val="20"/>
                <w:szCs w:val="20"/>
                <w:color w:val="auto"/>
              </w:rPr>
            </w:pPr>
            <w:r>
              <w:rPr>
                <w:rFonts w:ascii="Arial" w:cs="Arial" w:eastAsia="Arial" w:hAnsi="Arial"/>
                <w:sz w:val="18"/>
                <w:szCs w:val="18"/>
                <w:color w:val="auto"/>
              </w:rPr>
              <w:t>Proxy Statement/Registration Statement; Acquiror Special Meeting</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A-65</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9.03</w:t>
            </w:r>
          </w:p>
        </w:tc>
        <w:tc>
          <w:tcPr>
            <w:tcW w:w="6820" w:type="dxa"/>
            <w:vAlign w:val="bottom"/>
          </w:tcPr>
          <w:p>
            <w:pPr>
              <w:ind w:left="220"/>
              <w:spacing w:after="0"/>
              <w:rPr>
                <w:sz w:val="20"/>
                <w:szCs w:val="20"/>
                <w:color w:val="auto"/>
              </w:rPr>
            </w:pPr>
            <w:r>
              <w:rPr>
                <w:rFonts w:ascii="Arial" w:cs="Arial" w:eastAsia="Arial" w:hAnsi="Arial"/>
                <w:sz w:val="18"/>
                <w:szCs w:val="18"/>
                <w:color w:val="auto"/>
              </w:rPr>
              <w:t>Exclusivity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9.04</w:t>
            </w:r>
          </w:p>
        </w:tc>
        <w:tc>
          <w:tcPr>
            <w:tcW w:w="682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A-68</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9.05</w:t>
            </w:r>
          </w:p>
        </w:tc>
        <w:tc>
          <w:tcPr>
            <w:tcW w:w="6820" w:type="dxa"/>
            <w:vAlign w:val="bottom"/>
          </w:tcPr>
          <w:p>
            <w:pPr>
              <w:ind w:left="220"/>
              <w:spacing w:after="0"/>
              <w:rPr>
                <w:sz w:val="20"/>
                <w:szCs w:val="20"/>
                <w:color w:val="auto"/>
              </w:rPr>
            </w:pPr>
            <w:r>
              <w:rPr>
                <w:rFonts w:ascii="Arial" w:cs="Arial" w:eastAsia="Arial" w:hAnsi="Arial"/>
                <w:sz w:val="18"/>
                <w:szCs w:val="18"/>
                <w:color w:val="auto"/>
              </w:rPr>
              <w:t>Confidentiality; Publicity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A-69</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9.06</w:t>
            </w:r>
          </w:p>
        </w:tc>
        <w:tc>
          <w:tcPr>
            <w:tcW w:w="6820" w:type="dxa"/>
            <w:vAlign w:val="bottom"/>
          </w:tcPr>
          <w:p>
            <w:pPr>
              <w:ind w:left="220"/>
              <w:spacing w:after="0"/>
              <w:rPr>
                <w:sz w:val="20"/>
                <w:szCs w:val="20"/>
                <w:color w:val="auto"/>
              </w:rPr>
            </w:pPr>
            <w:r>
              <w:rPr>
                <w:rFonts w:ascii="Arial" w:cs="Arial" w:eastAsia="Arial" w:hAnsi="Arial"/>
                <w:sz w:val="18"/>
                <w:szCs w:val="18"/>
                <w:color w:val="auto"/>
              </w:rPr>
              <w:t>Post-Closing Cooperation; Further Assurances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A-70</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9.07</w:t>
            </w:r>
          </w:p>
        </w:tc>
        <w:tc>
          <w:tcPr>
            <w:tcW w:w="6820" w:type="dxa"/>
            <w:vAlign w:val="bottom"/>
          </w:tcPr>
          <w:p>
            <w:pPr>
              <w:ind w:left="220"/>
              <w:spacing w:after="0"/>
              <w:rPr>
                <w:sz w:val="20"/>
                <w:szCs w:val="20"/>
                <w:color w:val="auto"/>
              </w:rPr>
            </w:pPr>
            <w:r>
              <w:rPr>
                <w:rFonts w:ascii="Arial" w:cs="Arial" w:eastAsia="Arial" w:hAnsi="Arial"/>
                <w:sz w:val="18"/>
                <w:szCs w:val="18"/>
                <w:color w:val="auto"/>
              </w:rPr>
              <w:t>Employee Matters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A-70</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X CONDITIONS TO OBLIGATIONS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A-71</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10.01</w:t>
            </w:r>
          </w:p>
        </w:tc>
        <w:tc>
          <w:tcPr>
            <w:tcW w:w="6820" w:type="dxa"/>
            <w:vAlign w:val="bottom"/>
          </w:tcPr>
          <w:p>
            <w:pPr>
              <w:ind w:left="220"/>
              <w:spacing w:after="0"/>
              <w:rPr>
                <w:sz w:val="20"/>
                <w:szCs w:val="20"/>
                <w:color w:val="auto"/>
              </w:rPr>
            </w:pPr>
            <w:r>
              <w:rPr>
                <w:rFonts w:ascii="Arial" w:cs="Arial" w:eastAsia="Arial" w:hAnsi="Arial"/>
                <w:sz w:val="18"/>
                <w:szCs w:val="18"/>
                <w:color w:val="auto"/>
              </w:rPr>
              <w:t>Conditions to Obligations of All Parties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A-71</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10.02</w:t>
            </w:r>
          </w:p>
        </w:tc>
        <w:tc>
          <w:tcPr>
            <w:tcW w:w="6820" w:type="dxa"/>
            <w:vAlign w:val="bottom"/>
          </w:tcPr>
          <w:p>
            <w:pPr>
              <w:ind w:left="220"/>
              <w:spacing w:after="0"/>
              <w:rPr>
                <w:sz w:val="20"/>
                <w:szCs w:val="20"/>
                <w:color w:val="auto"/>
              </w:rPr>
            </w:pPr>
            <w:r>
              <w:rPr>
                <w:rFonts w:ascii="Arial" w:cs="Arial" w:eastAsia="Arial" w:hAnsi="Arial"/>
                <w:sz w:val="18"/>
                <w:szCs w:val="18"/>
                <w:color w:val="auto"/>
              </w:rPr>
              <w:t>Additional Conditions to Obligations of Acquiror Parties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A-71</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10.03</w:t>
            </w:r>
          </w:p>
        </w:tc>
        <w:tc>
          <w:tcPr>
            <w:tcW w:w="6820" w:type="dxa"/>
            <w:vAlign w:val="bottom"/>
          </w:tcPr>
          <w:p>
            <w:pPr>
              <w:ind w:left="220"/>
              <w:spacing w:after="0"/>
              <w:rPr>
                <w:sz w:val="20"/>
                <w:szCs w:val="20"/>
                <w:color w:val="auto"/>
              </w:rPr>
            </w:pPr>
            <w:r>
              <w:rPr>
                <w:rFonts w:ascii="Arial" w:cs="Arial" w:eastAsia="Arial" w:hAnsi="Arial"/>
                <w:sz w:val="18"/>
                <w:szCs w:val="18"/>
                <w:color w:val="auto"/>
              </w:rPr>
              <w:t>Additional Conditions to the Obligations of the Company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A-72</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10.04</w:t>
            </w:r>
          </w:p>
        </w:tc>
        <w:tc>
          <w:tcPr>
            <w:tcW w:w="6820" w:type="dxa"/>
            <w:vAlign w:val="bottom"/>
          </w:tcPr>
          <w:p>
            <w:pPr>
              <w:ind w:left="220"/>
              <w:spacing w:after="0"/>
              <w:rPr>
                <w:sz w:val="20"/>
                <w:szCs w:val="20"/>
                <w:color w:val="auto"/>
              </w:rPr>
            </w:pPr>
            <w:r>
              <w:rPr>
                <w:rFonts w:ascii="Arial" w:cs="Arial" w:eastAsia="Arial" w:hAnsi="Arial"/>
                <w:sz w:val="18"/>
                <w:szCs w:val="18"/>
                <w:color w:val="auto"/>
              </w:rPr>
              <w:t>Frustration of Conditions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A-73</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XI TERMINATION/EFFECTIVENESS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A-73</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11.01</w:t>
            </w:r>
          </w:p>
        </w:tc>
        <w:tc>
          <w:tcPr>
            <w:tcW w:w="68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A-73</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11.02</w:t>
            </w:r>
          </w:p>
        </w:tc>
        <w:tc>
          <w:tcPr>
            <w:tcW w:w="682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A-74</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XII MISCELLANEOUS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A-74</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12.01</w:t>
            </w:r>
          </w:p>
        </w:tc>
        <w:tc>
          <w:tcPr>
            <w:tcW w:w="6820" w:type="dxa"/>
            <w:vAlign w:val="bottom"/>
          </w:tcPr>
          <w:p>
            <w:pPr>
              <w:ind w:left="220"/>
              <w:spacing w:after="0"/>
              <w:rPr>
                <w:sz w:val="20"/>
                <w:szCs w:val="20"/>
                <w:color w:val="auto"/>
              </w:rPr>
            </w:pPr>
            <w:r>
              <w:rPr>
                <w:rFonts w:ascii="Arial" w:cs="Arial" w:eastAsia="Arial" w:hAnsi="Arial"/>
                <w:sz w:val="18"/>
                <w:szCs w:val="18"/>
                <w:color w:val="auto"/>
              </w:rPr>
              <w:t>Waiver</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A-74</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12.02</w:t>
            </w:r>
          </w:p>
        </w:tc>
        <w:tc>
          <w:tcPr>
            <w:tcW w:w="6820" w:type="dxa"/>
            <w:vAlign w:val="bottom"/>
          </w:tcPr>
          <w:p>
            <w:pPr>
              <w:ind w:left="220"/>
              <w:spacing w:after="0"/>
              <w:rPr>
                <w:sz w:val="20"/>
                <w:szCs w:val="20"/>
                <w:color w:val="auto"/>
              </w:rPr>
            </w:pPr>
            <w:r>
              <w:rPr>
                <w:rFonts w:ascii="Arial" w:cs="Arial" w:eastAsia="Arial" w:hAnsi="Arial"/>
                <w:sz w:val="18"/>
                <w:szCs w:val="18"/>
                <w:color w:val="auto"/>
              </w:rPr>
              <w:t>Notices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A-74</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12.03</w:t>
            </w:r>
          </w:p>
        </w:tc>
        <w:tc>
          <w:tcPr>
            <w:tcW w:w="682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A-75</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12.04</w:t>
            </w:r>
          </w:p>
        </w:tc>
        <w:tc>
          <w:tcPr>
            <w:tcW w:w="6820" w:type="dxa"/>
            <w:vAlign w:val="bottom"/>
          </w:tcPr>
          <w:p>
            <w:pPr>
              <w:ind w:left="220"/>
              <w:spacing w:after="0"/>
              <w:rPr>
                <w:sz w:val="20"/>
                <w:szCs w:val="20"/>
                <w:color w:val="auto"/>
              </w:rPr>
            </w:pPr>
            <w:r>
              <w:rPr>
                <w:rFonts w:ascii="Arial" w:cs="Arial" w:eastAsia="Arial" w:hAnsi="Arial"/>
                <w:sz w:val="18"/>
                <w:szCs w:val="18"/>
                <w:color w:val="auto"/>
              </w:rPr>
              <w:t>Rights of Third Parties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12.05</w:t>
            </w:r>
          </w:p>
        </w:tc>
        <w:tc>
          <w:tcPr>
            <w:tcW w:w="682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12.06</w:t>
            </w:r>
          </w:p>
        </w:tc>
        <w:tc>
          <w:tcPr>
            <w:tcW w:w="682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12.07</w:t>
            </w:r>
          </w:p>
        </w:tc>
        <w:tc>
          <w:tcPr>
            <w:tcW w:w="6820" w:type="dxa"/>
            <w:vAlign w:val="bottom"/>
          </w:tcPr>
          <w:p>
            <w:pPr>
              <w:ind w:left="220"/>
              <w:spacing w:after="0"/>
              <w:rPr>
                <w:sz w:val="20"/>
                <w:szCs w:val="20"/>
                <w:color w:val="auto"/>
              </w:rPr>
            </w:pPr>
            <w:r>
              <w:rPr>
                <w:rFonts w:ascii="Arial" w:cs="Arial" w:eastAsia="Arial" w:hAnsi="Arial"/>
                <w:sz w:val="18"/>
                <w:szCs w:val="18"/>
                <w:color w:val="auto"/>
              </w:rPr>
              <w:t>Captions; Counterparts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12.08</w:t>
            </w:r>
          </w:p>
        </w:tc>
        <w:tc>
          <w:tcPr>
            <w:tcW w:w="6820" w:type="dxa"/>
            <w:vAlign w:val="bottom"/>
          </w:tcPr>
          <w:p>
            <w:pPr>
              <w:ind w:left="220"/>
              <w:spacing w:after="0"/>
              <w:rPr>
                <w:sz w:val="20"/>
                <w:szCs w:val="20"/>
                <w:color w:val="auto"/>
              </w:rPr>
            </w:pPr>
            <w:r>
              <w:rPr>
                <w:rFonts w:ascii="Arial" w:cs="Arial" w:eastAsia="Arial" w:hAnsi="Arial"/>
                <w:sz w:val="18"/>
                <w:szCs w:val="18"/>
                <w:color w:val="auto"/>
              </w:rPr>
              <w:t>Schedules and Exhibits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12.09</w:t>
            </w:r>
          </w:p>
        </w:tc>
        <w:tc>
          <w:tcPr>
            <w:tcW w:w="682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12.10</w:t>
            </w:r>
          </w:p>
        </w:tc>
        <w:tc>
          <w:tcPr>
            <w:tcW w:w="6820" w:type="dxa"/>
            <w:vAlign w:val="bottom"/>
          </w:tcPr>
          <w:p>
            <w:pPr>
              <w:ind w:left="220"/>
              <w:spacing w:after="0"/>
              <w:rPr>
                <w:sz w:val="20"/>
                <w:szCs w:val="20"/>
                <w:color w:val="auto"/>
              </w:rPr>
            </w:pPr>
            <w:r>
              <w:rPr>
                <w:rFonts w:ascii="Arial" w:cs="Arial" w:eastAsia="Arial" w:hAnsi="Arial"/>
                <w:sz w:val="18"/>
                <w:szCs w:val="18"/>
                <w:color w:val="auto"/>
              </w:rPr>
              <w:t>Amendments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12.11</w:t>
            </w:r>
          </w:p>
        </w:tc>
        <w:tc>
          <w:tcPr>
            <w:tcW w:w="68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12.12</w:t>
            </w:r>
          </w:p>
        </w:tc>
        <w:tc>
          <w:tcPr>
            <w:tcW w:w="6820" w:type="dxa"/>
            <w:vAlign w:val="bottom"/>
          </w:tcPr>
          <w:p>
            <w:pPr>
              <w:ind w:left="220"/>
              <w:spacing w:after="0"/>
              <w:rPr>
                <w:sz w:val="20"/>
                <w:szCs w:val="20"/>
                <w:color w:val="auto"/>
              </w:rPr>
            </w:pPr>
            <w:r>
              <w:rPr>
                <w:rFonts w:ascii="Arial" w:cs="Arial" w:eastAsia="Arial" w:hAnsi="Arial"/>
                <w:sz w:val="18"/>
                <w:szCs w:val="18"/>
                <w:color w:val="auto"/>
              </w:rPr>
              <w:t>Jurisdiction; WAIVER OF TRIAL BY JURY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12.13</w:t>
            </w:r>
          </w:p>
        </w:tc>
        <w:tc>
          <w:tcPr>
            <w:tcW w:w="6820" w:type="dxa"/>
            <w:vAlign w:val="bottom"/>
          </w:tcPr>
          <w:p>
            <w:pPr>
              <w:ind w:left="220"/>
              <w:spacing w:after="0"/>
              <w:rPr>
                <w:sz w:val="20"/>
                <w:szCs w:val="20"/>
                <w:color w:val="auto"/>
              </w:rPr>
            </w:pPr>
            <w:r>
              <w:rPr>
                <w:rFonts w:ascii="Arial" w:cs="Arial" w:eastAsia="Arial" w:hAnsi="Arial"/>
                <w:sz w:val="18"/>
                <w:szCs w:val="18"/>
                <w:color w:val="auto"/>
              </w:rPr>
              <w:t>Enforcement</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12.14</w:t>
            </w:r>
          </w:p>
        </w:tc>
        <w:tc>
          <w:tcPr>
            <w:tcW w:w="6820" w:type="dxa"/>
            <w:vAlign w:val="bottom"/>
          </w:tcPr>
          <w:p>
            <w:pPr>
              <w:ind w:left="220"/>
              <w:spacing w:after="0"/>
              <w:rPr>
                <w:sz w:val="20"/>
                <w:szCs w:val="20"/>
                <w:color w:val="auto"/>
              </w:rPr>
            </w:pPr>
            <w:r>
              <w:rPr>
                <w:rFonts w:ascii="Arial" w:cs="Arial" w:eastAsia="Arial" w:hAnsi="Arial"/>
                <w:sz w:val="18"/>
                <w:szCs w:val="18"/>
                <w:color w:val="auto"/>
              </w:rPr>
              <w:t>Non-Recourse</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12.15</w:t>
            </w:r>
          </w:p>
        </w:tc>
        <w:tc>
          <w:tcPr>
            <w:tcW w:w="6820" w:type="dxa"/>
            <w:vAlign w:val="bottom"/>
          </w:tcPr>
          <w:p>
            <w:pPr>
              <w:ind w:left="220"/>
              <w:spacing w:after="0"/>
              <w:rPr>
                <w:sz w:val="20"/>
                <w:szCs w:val="20"/>
                <w:color w:val="auto"/>
              </w:rPr>
            </w:pPr>
            <w:r>
              <w:rPr>
                <w:rFonts w:ascii="Arial" w:cs="Arial" w:eastAsia="Arial" w:hAnsi="Arial"/>
                <w:sz w:val="18"/>
                <w:szCs w:val="18"/>
                <w:color w:val="auto"/>
              </w:rPr>
              <w:t>Nonsurvival of Representations, Warranties and Covenants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A-78</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12.16</w:t>
            </w:r>
          </w:p>
        </w:tc>
        <w:tc>
          <w:tcPr>
            <w:tcW w:w="6820" w:type="dxa"/>
            <w:vAlign w:val="bottom"/>
          </w:tcPr>
          <w:p>
            <w:pPr>
              <w:ind w:left="220"/>
              <w:spacing w:after="0"/>
              <w:rPr>
                <w:sz w:val="20"/>
                <w:szCs w:val="20"/>
                <w:color w:val="auto"/>
              </w:rPr>
            </w:pPr>
            <w:r>
              <w:rPr>
                <w:rFonts w:ascii="Arial" w:cs="Arial" w:eastAsia="Arial" w:hAnsi="Arial"/>
                <w:sz w:val="18"/>
                <w:szCs w:val="18"/>
                <w:color w:val="auto"/>
              </w:rPr>
              <w:t>Acknowledgements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A-78</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12.17</w:t>
            </w:r>
          </w:p>
        </w:tc>
        <w:tc>
          <w:tcPr>
            <w:tcW w:w="6820" w:type="dxa"/>
            <w:vAlign w:val="bottom"/>
          </w:tcPr>
          <w:p>
            <w:pPr>
              <w:ind w:left="220"/>
              <w:spacing w:after="0"/>
              <w:rPr>
                <w:sz w:val="20"/>
                <w:szCs w:val="20"/>
                <w:color w:val="auto"/>
              </w:rPr>
            </w:pPr>
            <w:r>
              <w:rPr>
                <w:rFonts w:ascii="Arial" w:cs="Arial" w:eastAsia="Arial" w:hAnsi="Arial"/>
                <w:sz w:val="18"/>
                <w:szCs w:val="18"/>
                <w:color w:val="auto"/>
              </w:rPr>
              <w:t>Provisions Respecting Representation of the Company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A-79</w:t>
            </w:r>
          </w:p>
        </w:tc>
      </w:tr>
      <w:tr>
        <w:trPr>
          <w:trHeight w:val="391"/>
        </w:trPr>
        <w:tc>
          <w:tcPr>
            <w:tcW w:w="1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68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65"/>
        </w:trPr>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100" w:type="dxa"/>
            <w:vAlign w:val="bottom"/>
            <w:tcBorders>
              <w:top w:val="single" w:sz="8" w:color="auto"/>
            </w:tcBorders>
          </w:tcPr>
          <w:p>
            <w:pPr>
              <w:spacing w:after="0"/>
              <w:rPr>
                <w:sz w:val="24"/>
                <w:szCs w:val="24"/>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Acquiror Charter</w:t>
            </w:r>
          </w:p>
        </w:tc>
        <w:tc>
          <w:tcPr>
            <w:tcW w:w="2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B</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Acquiror Bylaws</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C</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Registration Rights Agreement</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D</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Sponsor Support Agreement</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E</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First Merger Certificate</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F</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Second Merger Certificate</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G</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FIRPTA Certificate</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H</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Incentive Equity Plan</w:t>
            </w:r>
          </w:p>
        </w:tc>
        <w:tc>
          <w:tcPr>
            <w:tcW w:w="210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I</w:t>
            </w:r>
          </w:p>
        </w:tc>
        <w:tc>
          <w:tcPr>
            <w:tcW w:w="100" w:type="dxa"/>
            <w:vAlign w:val="bottom"/>
          </w:tcPr>
          <w:p>
            <w:pPr>
              <w:spacing w:after="0"/>
              <w:rPr>
                <w:sz w:val="20"/>
                <w:szCs w:val="20"/>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Employee Stock Purchase Plan</w:t>
            </w:r>
          </w:p>
        </w:tc>
        <w:tc>
          <w:tcPr>
            <w:tcW w:w="21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060"/>
          </w:cols>
          <w:pgMar w:left="320" w:top="445" w:right="51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January 12, 2021, by and among Hudson Executive Investment Corp., a Delaware corporation (“</w:t>
      </w:r>
      <w:r>
        <w:rPr>
          <w:rFonts w:ascii="Arial" w:cs="Arial" w:eastAsia="Arial" w:hAnsi="Arial"/>
          <w:sz w:val="17"/>
          <w:szCs w:val="17"/>
          <w:u w:val="single" w:color="auto"/>
          <w:color w:val="auto"/>
        </w:rPr>
        <w:t>Acquiror</w:t>
      </w:r>
      <w:r>
        <w:rPr>
          <w:rFonts w:ascii="Arial" w:cs="Arial" w:eastAsia="Arial" w:hAnsi="Arial"/>
          <w:sz w:val="17"/>
          <w:szCs w:val="17"/>
          <w:color w:val="auto"/>
        </w:rPr>
        <w:t>”), Tailwind Merger Sub I, Inc., a Delaware corporation and direct, wholly owned subsidiary of Acquiror (“</w:t>
      </w:r>
      <w:r>
        <w:rPr>
          <w:rFonts w:ascii="Arial" w:cs="Arial" w:eastAsia="Arial" w:hAnsi="Arial"/>
          <w:sz w:val="17"/>
          <w:szCs w:val="17"/>
          <w:u w:val="single" w:color="auto"/>
          <w:color w:val="auto"/>
        </w:rPr>
        <w:t>First Merger Sub</w:t>
      </w:r>
      <w:r>
        <w:rPr>
          <w:rFonts w:ascii="Arial" w:cs="Arial" w:eastAsia="Arial" w:hAnsi="Arial"/>
          <w:sz w:val="17"/>
          <w:szCs w:val="17"/>
          <w:color w:val="auto"/>
        </w:rPr>
        <w:t>”), Tailwind Merger Sub II, LLC, a Delaware limited liability company and direct, wholly owned subsidiary of Acquiror (“</w:t>
      </w:r>
      <w:r>
        <w:rPr>
          <w:rFonts w:ascii="Arial" w:cs="Arial" w:eastAsia="Arial" w:hAnsi="Arial"/>
          <w:sz w:val="17"/>
          <w:szCs w:val="17"/>
          <w:u w:val="single" w:color="auto"/>
          <w:color w:val="auto"/>
        </w:rPr>
        <w:t>Second Merger Sub</w:t>
      </w:r>
      <w:r>
        <w:rPr>
          <w:rFonts w:ascii="Arial" w:cs="Arial" w:eastAsia="Arial" w:hAnsi="Arial"/>
          <w:sz w:val="17"/>
          <w:szCs w:val="17"/>
          <w:color w:val="auto"/>
        </w:rPr>
        <w:t>”) and Groop Internet Platform, Inc. (d/b/a “Talkspace”),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Acquiror, First Merger Sub, Second Merger Sub and the Company are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and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Capitalized terms used and not otherwise defined herein have the meanings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WHEREAS, Acquiror is a blank check company incorporated in Delaware and formed to acquire one or more operating businesses through a Business Combination;</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WHEREAS, on the terms and subject to the conditions of this Agreement and in accordance with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Limited Liability Company Act of the State of Delaware (“</w:t>
      </w:r>
      <w:r>
        <w:rPr>
          <w:rFonts w:ascii="Arial" w:cs="Arial" w:eastAsia="Arial" w:hAnsi="Arial"/>
          <w:sz w:val="17"/>
          <w:szCs w:val="17"/>
          <w:u w:val="single" w:color="auto"/>
          <w:color w:val="auto"/>
        </w:rPr>
        <w:t>DLLCA</w:t>
      </w:r>
      <w:r>
        <w:rPr>
          <w:rFonts w:ascii="Arial" w:cs="Arial" w:eastAsia="Arial" w:hAnsi="Arial"/>
          <w:sz w:val="17"/>
          <w:szCs w:val="17"/>
          <w:color w:val="auto"/>
        </w:rPr>
        <w:t>”) and other applicable Laws, the Parties intend to enter into a business combination transaction by which: (i) First Merger Sub will merge with and into the Company (the “</w:t>
      </w:r>
      <w:r>
        <w:rPr>
          <w:rFonts w:ascii="Arial" w:cs="Arial" w:eastAsia="Arial" w:hAnsi="Arial"/>
          <w:sz w:val="17"/>
          <w:szCs w:val="17"/>
          <w:u w:val="single" w:color="auto"/>
          <w:color w:val="auto"/>
        </w:rPr>
        <w:t>First Merger</w:t>
      </w:r>
      <w:r>
        <w:rPr>
          <w:rFonts w:ascii="Arial" w:cs="Arial" w:eastAsia="Arial" w:hAnsi="Arial"/>
          <w:sz w:val="17"/>
          <w:szCs w:val="17"/>
          <w:color w:val="auto"/>
        </w:rPr>
        <w:t>”), with the Company being the surviving corporation of the First Merger (the Company, in its capacity as the surviving corporation of the First Merger, is sometimes referred to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(ii) immediately following the First Merger and as part of the same overall transaction as the First Merger, the Surviving Corporation will merge with and into Second Merger Sub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u w:val="single" w:color="auto"/>
          <w:color w:val="auto"/>
        </w:rPr>
        <w:t>Mergers</w:t>
      </w:r>
      <w:r>
        <w:rPr>
          <w:rFonts w:ascii="Arial" w:cs="Arial" w:eastAsia="Arial" w:hAnsi="Arial"/>
          <w:sz w:val="17"/>
          <w:szCs w:val="17"/>
          <w:color w:val="auto"/>
        </w:rPr>
        <w:t>”), with Second Merger Sub being the surviving entity of the Second Merger (Second Merger Sub, in its capacity as the surviving entity of the Second Merger, is sometimes referred to as the “</w:t>
      </w:r>
      <w:r>
        <w:rPr>
          <w:rFonts w:ascii="Arial" w:cs="Arial" w:eastAsia="Arial" w:hAnsi="Arial"/>
          <w:sz w:val="17"/>
          <w:szCs w:val="17"/>
          <w:u w:val="single" w:color="auto"/>
          <w:color w:val="auto"/>
        </w:rPr>
        <w:t>Surviving Entity</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WHEREAS, as a condition and inducement to Acquiror’s willingness to enter into this Agreement, simultaneously with the execution and delivery of this Agreement, the Requisite Company Stockholders have each executed and delivered to Acquiror a Company Holders Support Agreement (as defined below) pursuant to which the Requisite Company Stockholders have agreed to, among other things, provide their written consent to (a) adopt and approve, upon the effectiveness of the Registration Statement, this Agreement and the other documents contemplated hereby and the transactions contemplated hereby and thereby, and (b) adopt and approve, in accordance with the terms and subject to the conditions of the Company’s Governing Documents, the Pre-Closing Restructuring Plan (as defined below) and effect the Pre-Closing Restructuring (as defined below);</w:t>
      </w:r>
    </w:p>
    <w:p>
      <w:pPr>
        <w:spacing w:after="0" w:line="16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WHEREAS, for U.S. federal income tax purposes (and for purposes of any applicable state or local Income Tax that follows the U.S. federal income tax treatment of the Mergers), each of the Parties intends that (i) the First Merger and the Second Merger, taken together, will constitute an integrated transaction that qualifies as a “reorganization” within the meaning of Section 368(a) of the Code and the Treasury Regulations thereunder to which Acquiror and the Company are parties under Section 368(b) of the Code, and (ii) this Agreement be, and hereby is, adopted as a “plan of reorganization” for the purposes of Section 368 of the Code and Treasury Regulations Section 1.368-2(g);</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WHEREAS, the board of directors of the Company has unanimously (i) determined that it is in the best interests of the Company and the stockholders of the Company, and declared it advisable, to enter into this Agreement providing for the Mergers, (ii) approved this Agreement and the Transactions, including the Mergers, on the terms and subject to the conditions of this Agreement, and (iii) adopted a resolution recommending that this Agreement and the Transactions, including the First Merger, be adopted by the stockholders of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WHEREAS, the board of directors of Acquiror has unanimously (i) determined that it is in the best interests of Acquiror and the Acquiror Stockholders, and declared it advisable, to enter into this Agreement providing for the Mergers, (ii) approved this Agreement and the Transactions, including the Mergers, on the terms and subject to the conditions of this Agreement, and (iii) adopted a resolution recommending that this Agreement and the Transactions, including the Mergers, be adopted by the Acquiror Stockholders (the “</w:t>
      </w:r>
      <w:r>
        <w:rPr>
          <w:rFonts w:ascii="Arial" w:cs="Arial" w:eastAsia="Arial" w:hAnsi="Arial"/>
          <w:sz w:val="16"/>
          <w:szCs w:val="16"/>
          <w:u w:val="single" w:color="auto"/>
          <w:color w:val="auto"/>
        </w:rPr>
        <w:t>Acquiror Board Recommendation</w:t>
      </w:r>
      <w:r>
        <w:rPr>
          <w:rFonts w:ascii="Arial" w:cs="Arial" w:eastAsia="Arial" w:hAnsi="Arial"/>
          <w:sz w:val="16"/>
          <w:szCs w:val="16"/>
          <w:color w:val="auto"/>
        </w:rPr>
        <w:t>”);</w:t>
      </w:r>
    </w:p>
    <w:p>
      <w:pPr>
        <w:spacing w:after="0" w:line="157" w:lineRule="exact"/>
        <w:rPr>
          <w:sz w:val="20"/>
          <w:szCs w:val="20"/>
          <w:color w:val="auto"/>
        </w:rPr>
      </w:pPr>
    </w:p>
    <w:p>
      <w:pPr>
        <w:ind w:left="120" w:right="660" w:firstLine="440"/>
        <w:spacing w:after="0" w:line="311" w:lineRule="auto"/>
        <w:rPr>
          <w:sz w:val="20"/>
          <w:szCs w:val="20"/>
          <w:color w:val="auto"/>
        </w:rPr>
      </w:pPr>
      <w:r>
        <w:rPr>
          <w:rFonts w:ascii="Arial" w:cs="Arial" w:eastAsia="Arial" w:hAnsi="Arial"/>
          <w:sz w:val="16"/>
          <w:szCs w:val="16"/>
          <w:color w:val="auto"/>
        </w:rPr>
        <w:t>WHEREAS, in furtherance of the Mergers and in accordance with the terms hereof, Acquiror shall provide an opportunity to Acquiror Stockholders to have their outstanding shares of Acquiror Common Stock redeemed on the terms and subject to the conditions set forth in this Agreement and Acquiror’s Organizational Documents in connection with obtaining the Acquiror Stockholder Approval (as defined below);</w:t>
      </w:r>
    </w:p>
    <w:p>
      <w:pPr>
        <w:spacing w:after="0" w:line="14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WHEREAS, prior to the First Effective Time and the closing of the PIPE Investment, Acquiror shall (i) subject to obtaining the Acquiror Stockholder Approval, amend and restate the certificate of incorporation of Acquiror 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Acquiror Charter</w:t>
      </w:r>
      <w:r>
        <w:rPr>
          <w:rFonts w:ascii="Arial" w:cs="Arial" w:eastAsia="Arial" w:hAnsi="Arial"/>
          <w:sz w:val="18"/>
          <w:szCs w:val="18"/>
          <w:color w:val="auto"/>
        </w:rPr>
        <w:t xml:space="preserve">”), pursuant to which all outstanding shares of Acquiror Class A Common Stock and Acquiror Class B Common Stock shall be converted into shares of Acquiror Common Stock, and (ii) amend and restate the bylaws of Acquiror to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Acquiror Bylaws</w:t>
      </w:r>
      <w:r>
        <w:rPr>
          <w:rFonts w:ascii="Arial" w:cs="Arial" w:eastAsia="Arial" w:hAnsi="Arial"/>
          <w:sz w:val="18"/>
          <w:szCs w:val="18"/>
          <w:color w:val="auto"/>
        </w:rPr>
        <w: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WHEREAS, at the Closing, the Sponsor, Acquiror, the Company, certain of the Pre-Closing Holders and certain other parties will enter into an Amended and Restated Registration Rights Agreement,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(as amended, restated, modified, supplemented or waived from time to time,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WHEREAS, as a condition and inducement to the Company’s willingness to enter into this Agreement, concurrently with the execution and delivery of this Agreement, the Sponsor, the Company and Acquiror have entered into the Sponsor Support Agreement, a copy of which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WHEREAS, as a condition and inducement to the Company’s willingness to enter into this Agreement, concurrently with the execution and delivery of this Agreement, the Sponsor and Acquiror have amended the HEC Forward Purchase Agreement, pursuant to which the Sponsor has agreed to subscribe for and purchase, and Acquiror has agreed to issue and sell to the Sponsor, up to 5,000,000 Acquiror Units in exchange for an aggregate purchase price of up to $50,000,000, on the terms and subject to the conditions set forth therein; and</w:t>
      </w:r>
    </w:p>
    <w:p>
      <w:pPr>
        <w:spacing w:after="0" w:line="17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WHEREAS, on or prior to the date hereof, Acquiror has obtained commitments from certain investors for a private placement of shares of Acquiror Common Stock (the “</w:t>
      </w:r>
      <w:r>
        <w:rPr>
          <w:rFonts w:ascii="Arial" w:cs="Arial" w:eastAsia="Arial" w:hAnsi="Arial"/>
          <w:sz w:val="17"/>
          <w:szCs w:val="17"/>
          <w:u w:val="single" w:color="auto"/>
          <w:color w:val="auto"/>
        </w:rPr>
        <w:t>PIPE Investment</w:t>
      </w:r>
      <w:r>
        <w:rPr>
          <w:rFonts w:ascii="Arial" w:cs="Arial" w:eastAsia="Arial" w:hAnsi="Arial"/>
          <w:sz w:val="17"/>
          <w:szCs w:val="17"/>
          <w:color w:val="auto"/>
        </w:rPr>
        <w:t>”) pursuant to the terms of one or more subscription agreements (each, a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 pursuant to which, among other things, such investors have agreed to subscribe for and purchase, and Acquiror has agreed to issue and sell to such investors, an aggregate number of shares of Acquiror Common Stock set forth in the Subscription Agreements in exchange for an aggregate purchase price of $300,000,000 on the Closing Date, on the terms and subject to the conditions set forth therein.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and intending to be legally bound, the Parties hereby agree as follows:</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320" w:top="459" w:right="55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Arrangements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Board Recommendation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Bylaws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Capital Stock</w:t>
      </w:r>
      <w:r>
        <w:rPr>
          <w:rFonts w:ascii="Arial" w:cs="Arial" w:eastAsia="Arial" w:hAnsi="Arial"/>
          <w:sz w:val="18"/>
          <w:szCs w:val="18"/>
          <w:color w:val="auto"/>
        </w:rPr>
        <w:t>” means the Acquiror Class A Common Stock and the Acquiror Class B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Charter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Class A Common Stock</w:t>
      </w:r>
      <w:r>
        <w:rPr>
          <w:rFonts w:ascii="Arial" w:cs="Arial" w:eastAsia="Arial" w:hAnsi="Arial"/>
          <w:sz w:val="18"/>
          <w:szCs w:val="18"/>
          <w:color w:val="auto"/>
        </w:rPr>
        <w:t>” means the Class A common stock, par value $0.0001 per share, of Acquiror.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Class B Common Stock</w:t>
      </w:r>
      <w:r>
        <w:rPr>
          <w:rFonts w:ascii="Arial" w:cs="Arial" w:eastAsia="Arial" w:hAnsi="Arial"/>
          <w:sz w:val="18"/>
          <w:szCs w:val="18"/>
          <w:color w:val="auto"/>
        </w:rPr>
        <w:t>” means the Class B common stock, par value $0.0001 per share, of Acquiror.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Closing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Common Stock</w:t>
      </w:r>
      <w:r>
        <w:rPr>
          <w:rFonts w:ascii="Arial" w:cs="Arial" w:eastAsia="Arial" w:hAnsi="Arial"/>
          <w:sz w:val="18"/>
          <w:szCs w:val="18"/>
          <w:color w:val="auto"/>
        </w:rPr>
        <w:t>” means the shares of common stock, par value $0.0001 per share, of the Acquiror after the filing of the Acquiror Charter.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Options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3.06(e)</w:t>
      </w:r>
      <w:r>
        <w:rPr>
          <w:rFonts w:ascii="Arial" w:cs="Arial" w:eastAsia="Arial" w:hAnsi="Arial"/>
          <w:sz w:val="18"/>
          <w:szCs w:val="18"/>
          <w:color w:val="auto"/>
        </w:rPr>
        <w:t>.</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Organizational Documents</w:t>
      </w:r>
      <w:r>
        <w:rPr>
          <w:rFonts w:ascii="Arial" w:cs="Arial" w:eastAsia="Arial" w:hAnsi="Arial"/>
          <w:sz w:val="18"/>
          <w:szCs w:val="18"/>
          <w:color w:val="auto"/>
        </w:rPr>
        <w:t>” means the Certificate of Incorporation and Acquiror’s bylaws, as amended, restated, modified or supplemented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Parties</w:t>
      </w:r>
      <w:r>
        <w:rPr>
          <w:rFonts w:ascii="Arial" w:cs="Arial" w:eastAsia="Arial" w:hAnsi="Arial"/>
          <w:sz w:val="18"/>
          <w:szCs w:val="18"/>
          <w:color w:val="auto"/>
        </w:rPr>
        <w:t>” means Acquiror, First Merger Sub and Second Merger Sub.</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Party Representations</w:t>
      </w:r>
      <w:r>
        <w:rPr>
          <w:rFonts w:ascii="Arial" w:cs="Arial" w:eastAsia="Arial" w:hAnsi="Arial"/>
          <w:sz w:val="18"/>
          <w:szCs w:val="18"/>
          <w:color w:val="auto"/>
        </w:rPr>
        <w:t xml:space="preserve">” means the representations and warranties of Acquiror, First Merger Sub and Second Merger Sub expressly and specifically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Agreement, as qualified by the Acquiror Disclosure Letter. For the avoidance of doubt, the Acquiror Party Representations are solely made by Acquiror, First Merger Sub and Second Merger Sub.</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Preferred Stock</w:t>
      </w:r>
      <w:r>
        <w:rPr>
          <w:rFonts w:ascii="Arial" w:cs="Arial" w:eastAsia="Arial" w:hAnsi="Arial"/>
          <w:sz w:val="18"/>
          <w:szCs w:val="18"/>
          <w:color w:val="auto"/>
        </w:rPr>
        <w:t>” means the preferred stock, par value $0.0001 per share, of Acquiror.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 Matters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 Redemption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Stockholders</w:t>
      </w:r>
      <w:r>
        <w:rPr>
          <w:rFonts w:ascii="Arial" w:cs="Arial" w:eastAsia="Arial" w:hAnsi="Arial"/>
          <w:sz w:val="18"/>
          <w:szCs w:val="18"/>
          <w:color w:val="auto"/>
        </w:rPr>
        <w:t>” means the holders of shares of Acquiror Capital Stock.</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Transaction Expenses</w:t>
      </w:r>
      <w:r>
        <w:rPr>
          <w:rFonts w:ascii="Arial" w:cs="Arial" w:eastAsia="Arial" w:hAnsi="Arial"/>
          <w:sz w:val="16"/>
          <w:szCs w:val="16"/>
          <w:color w:val="auto"/>
        </w:rPr>
        <w:t>” means all fees, costs and expenses of Acquiror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by Acquiror at or before Closing, and the consummation of</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320" w:top="459" w:right="57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Transactions, including the fees, costs, expenses and disbursements of counsel, accountants, advisors and consultants of Acquiror, any and all filing fees payable to the Antitrust Division of the United States Department of Justice or the United States Federal Trade Commission under the HSR Act or the antitrust or competition Law authorities of any other jurisdiction in connection with the Transactions (“</w:t>
      </w:r>
      <w:r>
        <w:rPr>
          <w:rFonts w:ascii="Arial" w:cs="Arial" w:eastAsia="Arial" w:hAnsi="Arial"/>
          <w:sz w:val="17"/>
          <w:szCs w:val="17"/>
          <w:u w:val="single" w:color="auto"/>
          <w:color w:val="auto"/>
        </w:rPr>
        <w:t>Antitrust Fees</w:t>
      </w:r>
      <w:r>
        <w:rPr>
          <w:rFonts w:ascii="Arial" w:cs="Arial" w:eastAsia="Arial" w:hAnsi="Arial"/>
          <w:sz w:val="17"/>
          <w:szCs w:val="17"/>
          <w:color w:val="auto"/>
        </w:rPr>
        <w:t xml:space="preserve">”), the cost of the D&amp;O Tail to be obtained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Transfer Taxes, in each case, whether paid or unpaid prior to the Closing.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Warrant</w:t>
      </w:r>
      <w:r>
        <w:rPr>
          <w:rFonts w:ascii="Arial" w:cs="Arial" w:eastAsia="Arial" w:hAnsi="Arial"/>
          <w:sz w:val="18"/>
          <w:szCs w:val="18"/>
          <w:color w:val="auto"/>
        </w:rPr>
        <w:t>” means a warrant entitling the holder to purchase one share of Acquiror Class A Common Stock per warrant.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Transaction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assessment, arbitration or legal, judicial or administrative proceeding (whether at law or in equity) or arbitration.</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Assumed Vested Company Option Election Consideration</w:t>
      </w:r>
      <w:r>
        <w:rPr>
          <w:rFonts w:ascii="Arial" w:cs="Arial" w:eastAsia="Arial" w:hAnsi="Arial"/>
          <w:sz w:val="16"/>
          <w:szCs w:val="16"/>
          <w:color w:val="auto"/>
        </w:rPr>
        <w:t xml:space="preserve">” means (A) with respect to an Eligible Cash-Out Vested Company Option, cash in an amount equal to (i) (a) the Per Share Merger Consideration multiplied by (b) such number of shares of Company Common Stock underlying the Eligible Cash-Out Vested Company Option, minus (ii) the aggregate exercise price applicable to each share of Company Common Stock underlying such Eligible Cash-Out Vested Company Option and (B) with respect to the remaining shares of Company Common Stock subject to such Vested Company Option, a Vested Acquiror Option, determined as set forth in </w:t>
      </w:r>
      <w:r>
        <w:rPr>
          <w:rFonts w:ascii="Arial" w:cs="Arial" w:eastAsia="Arial" w:hAnsi="Arial"/>
          <w:sz w:val="16"/>
          <w:szCs w:val="16"/>
          <w:u w:val="single" w:color="auto"/>
          <w:color w:val="auto"/>
        </w:rPr>
        <w:t>Section 3.06(d)</w:t>
      </w:r>
      <w:r>
        <w:rPr>
          <w:rFonts w:ascii="Arial" w:cs="Arial" w:eastAsia="Arial" w:hAnsi="Arial"/>
          <w:sz w:val="16"/>
          <w:szCs w:val="16"/>
          <w:color w:val="auto"/>
        </w:rPr>
        <w:t>; provided, that the Eligible Cash-Out Vested Company Option shall mean an amount, expressed as a percentage, equal the Adjusted Assumed Vested Company Option Election Percentage.</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Assumed Vested Company Option Election Percentage</w:t>
      </w:r>
      <w:r>
        <w:rPr>
          <w:rFonts w:ascii="Arial" w:cs="Arial" w:eastAsia="Arial" w:hAnsi="Arial"/>
          <w:sz w:val="18"/>
          <w:szCs w:val="18"/>
          <w:color w:val="auto"/>
        </w:rPr>
        <w:t>” means an amount, expressed as a percentage, (A)(I) the numerator of which is equal to the absolute value of the Available Excess Cash Amount, and (II) the denominator of which is equal to the sum of (a) the Closing Cash Consideration plus (b) the result of multiplying (i) the Closing Share Consideration by (ii) $10.00 divided by (B) a fraction, (I) the numerator of which is the sum of the total number of Stock Electing Shares and Assumed Electing Options and (II) the denominator of which is the Aggregate Fully Diluted Company Common Stock.</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Optionholder Cash Weighted Mixed Election Consideration</w:t>
      </w:r>
      <w:r>
        <w:rPr>
          <w:rFonts w:ascii="Arial" w:cs="Arial" w:eastAsia="Arial" w:hAnsi="Arial"/>
          <w:sz w:val="16"/>
          <w:szCs w:val="16"/>
          <w:color w:val="auto"/>
        </w:rPr>
        <w:t xml:space="preserve">” means (A) with respect to an Eligible Cash-Out Vested Company Option, cash in an amount equal to (i) (a) the Per Share Merger Consideration multiplied by (b) such number of shares of Company Common Stock underlying the Eligible Cash-Out Vested Company Option, minus (ii) the aggregate exercise price applicable to each share of Company Common Stock underlying such Eligible Cash-Out Vested Company Option and (B) with respect to the remaining shares of Company Common Stock subject to such Vested Company Option, a Vested Acquiror Option, determined as set forth in </w:t>
      </w:r>
      <w:r>
        <w:rPr>
          <w:rFonts w:ascii="Arial" w:cs="Arial" w:eastAsia="Arial" w:hAnsi="Arial"/>
          <w:sz w:val="16"/>
          <w:szCs w:val="16"/>
          <w:u w:val="single" w:color="auto"/>
          <w:color w:val="auto"/>
        </w:rPr>
        <w:t>Section 3.06(d)</w:t>
      </w:r>
      <w:r>
        <w:rPr>
          <w:rFonts w:ascii="Arial" w:cs="Arial" w:eastAsia="Arial" w:hAnsi="Arial"/>
          <w:sz w:val="16"/>
          <w:szCs w:val="16"/>
          <w:color w:val="auto"/>
        </w:rPr>
        <w:t>; provided, that the Eligible Cash-Out Vested Company Option shall mean an amount, expressed as a percentage, equal to the Adjusted Optionholder Cash Weighted Mixed Election Percentage.</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Optionholder Cash Weighted Mixed Election Percentage</w:t>
      </w:r>
      <w:r>
        <w:rPr>
          <w:rFonts w:ascii="Arial" w:cs="Arial" w:eastAsia="Arial" w:hAnsi="Arial"/>
          <w:sz w:val="18"/>
          <w:szCs w:val="18"/>
          <w:color w:val="auto"/>
        </w:rPr>
        <w:t>” means an amount, expressed as a percentage, (A)(I) the numerator of which is equal to the absolute value of the result of (a) (i) the Closing Cash Consideration minus (ii) the amount of cash elected to be paid in respect of all Standard Mixed Electing Shares and Standard Mixed Electing Options, and (II) the denominator of which is equal to the sum of (a) the Closing Cash Consideration plus (b) the result of multiplying (i) the Closing Share Consideration by (ii) $10.00 divided by (B) a fraction, (I) the numerator of which is the sum of the total number of Cash Weighted Mixed Electing Share and Cash Weighted Mixed Electing Options and (II) the denominator of which is the Aggregate Fully Diluted Company Common Stock.</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Stock Election Consideration</w:t>
      </w:r>
      <w:r>
        <w:rPr>
          <w:rFonts w:ascii="Arial" w:cs="Arial" w:eastAsia="Arial" w:hAnsi="Arial"/>
          <w:sz w:val="18"/>
          <w:szCs w:val="18"/>
          <w:color w:val="auto"/>
        </w:rPr>
        <w:t>” means (A) a number of shares of Acquiror Common Stock equal to (1) the Exchange Ratio multiplied by (2) the difference obtained by subtracting the Adjusted Stock Election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Percentage from one (1), and (B) cash in an amount equal to (1) the Per Share Merger Consideration multiplied by (2) the Adjusted Stock Election Percentage.</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Stock Election Percentage</w:t>
      </w:r>
      <w:r>
        <w:rPr>
          <w:rFonts w:ascii="Arial" w:cs="Arial" w:eastAsia="Arial" w:hAnsi="Arial"/>
          <w:sz w:val="16"/>
          <w:szCs w:val="16"/>
          <w:color w:val="auto"/>
        </w:rPr>
        <w:t>” means an amount, expressed as a percentage, (A) a fraction, (I) the numerator of which is equal to the absolute value of the Available Cash Excess Amount, and (II) the denominator of which is equal to the sum of (a) the Closing Cash Consideration plus</w:t>
      </w:r>
    </w:p>
    <w:p>
      <w:pPr>
        <w:ind w:left="120" w:right="320" w:hanging="4"/>
        <w:spacing w:after="0" w:line="255" w:lineRule="auto"/>
        <w:tabs>
          <w:tab w:leader="none" w:pos="37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result of multiplying (i) the Closing Share Consideration by (ii) $10.00 divided by (B) a fraction, (I) the numerator of which is the sum of the total number of Stock Electing Shares and Assumed Electing Options and (II) the denominator of which is the Aggregate Fully Diluted Company Common Stock.</w:t>
      </w:r>
    </w:p>
    <w:p>
      <w:pPr>
        <w:spacing w:after="0" w:line="190"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Stockholder Cash Weighted Mixed Election Consideration</w:t>
      </w:r>
      <w:r>
        <w:rPr>
          <w:rFonts w:ascii="Arial" w:cs="Arial" w:eastAsia="Arial" w:hAnsi="Arial"/>
          <w:sz w:val="16"/>
          <w:szCs w:val="16"/>
          <w:color w:val="auto"/>
        </w:rPr>
        <w:t>” means (A) a number of shares of Acquiror Common Stock equal to (1) the Exchange Ratio multiplied by (2) the difference obtained by subtracting the Adjusted Stockholder Cash Weighted Mixed Election Percentage from one</w:t>
      </w:r>
    </w:p>
    <w:p>
      <w:pPr>
        <w:ind w:left="120" w:right="520"/>
        <w:spacing w:after="0" w:line="260" w:lineRule="auto"/>
        <w:rPr>
          <w:sz w:val="20"/>
          <w:szCs w:val="20"/>
          <w:color w:val="auto"/>
        </w:rPr>
      </w:pPr>
      <w:r>
        <w:rPr>
          <w:rFonts w:ascii="Arial" w:cs="Arial" w:eastAsia="Arial" w:hAnsi="Arial"/>
          <w:sz w:val="18"/>
          <w:szCs w:val="18"/>
          <w:color w:val="auto"/>
        </w:rPr>
        <w:t>(1), and (B) cash in an amount equal to (1) the Per Share Merger Consideration multiplied by (2) the Adjusted Stockholder Cash Weighted Mixed Election Percentage.</w:t>
      </w:r>
    </w:p>
    <w:p>
      <w:pPr>
        <w:spacing w:after="0" w:line="18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Stockholder Cash Weighted Mixed Election Percentage</w:t>
      </w:r>
      <w:r>
        <w:rPr>
          <w:rFonts w:ascii="Arial" w:cs="Arial" w:eastAsia="Arial" w:hAnsi="Arial"/>
          <w:sz w:val="16"/>
          <w:szCs w:val="16"/>
          <w:color w:val="auto"/>
        </w:rPr>
        <w:t xml:space="preserve">” means an amount, expressed as a percentage, (A) a fraction, (I) the numerator of which is equal to the absolute value of the result of (a) (i) Closing Cash Consideration minus (ii) the amount of cash that would be elected to be paid in respect of all Standard Mixed Electing Shares and Standard Mixed Electing Options but for the adjustment set forth in </w:t>
      </w:r>
      <w:r>
        <w:rPr>
          <w:rFonts w:ascii="Arial" w:cs="Arial" w:eastAsia="Arial" w:hAnsi="Arial"/>
          <w:sz w:val="16"/>
          <w:szCs w:val="16"/>
          <w:u w:val="single" w:color="auto"/>
          <w:color w:val="auto"/>
        </w:rPr>
        <w:t>Section 3.02(b)</w:t>
      </w:r>
      <w:r>
        <w:rPr>
          <w:rFonts w:ascii="Arial" w:cs="Arial" w:eastAsia="Arial" w:hAnsi="Arial"/>
          <w:sz w:val="16"/>
          <w:szCs w:val="16"/>
          <w:color w:val="auto"/>
        </w:rPr>
        <w:t>, and (II) the denominator of which is equal to the sum of (a) the Closing Cash Consideration plus (b) the result of multiplying (i) the Closing Share Consideration by</w:t>
      </w:r>
    </w:p>
    <w:p>
      <w:pPr>
        <w:spacing w:after="0" w:line="1" w:lineRule="exact"/>
        <w:rPr>
          <w:sz w:val="20"/>
          <w:szCs w:val="20"/>
          <w:color w:val="auto"/>
        </w:rPr>
      </w:pPr>
    </w:p>
    <w:p>
      <w:pPr>
        <w:ind w:left="120" w:right="500" w:hanging="4"/>
        <w:spacing w:after="0" w:line="290" w:lineRule="auto"/>
        <w:tabs>
          <w:tab w:leader="none" w:pos="38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$10.00 divided by (B) a fraction, (I) the numerator of which is the sum of the total number of Cash Weighted Mixed Electing Shares and Cash Weighted Mixed Electing Options and (II) the denominator of which is the Aggregate Fully Diluted Company Common Stock.</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specified Person, any Person that, directly or indirectly, controls, is controlled by, or is under common control with, such specified Person, through one or more intermediaries or otherwise. The term “control” means the ownership of a majority of the voting securities of the applicable Person or the possession, direct or indirect, of the power to direct or cause the direction of the management and policies of the applicable Person, whether through ownership of voting securities, by Contract or otherwise, and the terms “controlled” and “controlling” have meanings correlative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or any of the Company’s Subsidiaries be considered an Affiliate of any portfolio company (other than the Company and its Subsidiaries) of any investment fund affiliated with any direct or indirect equityholder of the Company nor shall any portfolio company (other than the Company and its Subsidiaries) of any investment fund affiliated with any equityholder of the Company be considered to be an Affiliate of the Company or any of its Subsidiaries.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Fully Diluted Company Common Stock</w:t>
      </w:r>
      <w:r>
        <w:rPr>
          <w:rFonts w:ascii="Arial" w:cs="Arial" w:eastAsia="Arial" w:hAnsi="Arial"/>
          <w:sz w:val="16"/>
          <w:szCs w:val="16"/>
          <w:color w:val="auto"/>
        </w:rPr>
        <w:t>” means, without duplication, (a) the aggregate number of shares of Company Stock that are</w:t>
      </w:r>
    </w:p>
    <w:p>
      <w:pPr>
        <w:spacing w:after="0" w:line="46" w:lineRule="exact"/>
        <w:rPr>
          <w:sz w:val="20"/>
          <w:szCs w:val="20"/>
          <w:color w:val="auto"/>
        </w:rPr>
      </w:pPr>
    </w:p>
    <w:p>
      <w:pPr>
        <w:ind w:left="120" w:right="20" w:hanging="4"/>
        <w:spacing w:after="0" w:line="270" w:lineRule="auto"/>
        <w:tabs>
          <w:tab w:leader="none" w:pos="33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issued and outstanding immediately prior to the First Effective Time after giving effect to the Pre-Closing Restructuring or (ii) issuable upon, or subject to, the settlement of Company Options (whether or not then vested or exercisable), in each case, that are outstanding immediately prior to the First Effective Time, minus (b) the Company treasury shares, if any, outstanding immediately prior to the First Effective Time, minus (c) a number of shares equal to the aggregate exercise price of the Company Options described in clause (ii) above divided by the Per Share Merger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any Company Option with an exercise price equal to or greater than the Per Share Merger Consideration shall not be counted for purposes of determining the number of Aggregate Fully Diluted Company Common Shares.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4.02(b)</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applicable anti-bribery or anti-corruption Laws related to combating bribery, corruption and money laundering.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Fees</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Acquiror Transaction Expenses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Electing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3.06(b)(i)</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Vested Company Option Election</w:t>
      </w:r>
      <w:r>
        <w:rPr>
          <w:rFonts w:ascii="Arial" w:cs="Arial" w:eastAsia="Arial" w:hAnsi="Arial"/>
          <w:sz w:val="18"/>
          <w:szCs w:val="18"/>
          <w:color w:val="auto"/>
        </w:rPr>
        <w:t>” means, with respect to any holder of Vested Company Options, an election by such holder to receive the following, as it may be adjusted pursuant to Section 3.02(b) (the “</w:t>
      </w:r>
      <w:r>
        <w:rPr>
          <w:rFonts w:ascii="Arial" w:cs="Arial" w:eastAsia="Arial" w:hAnsi="Arial"/>
          <w:sz w:val="18"/>
          <w:szCs w:val="18"/>
          <w:u w:val="single" w:color="auto"/>
          <w:color w:val="auto"/>
        </w:rPr>
        <w:t>Assumed Vested Company Option Election Consideration</w:t>
      </w:r>
      <w:r>
        <w:rPr>
          <w:rFonts w:ascii="Arial" w:cs="Arial" w:eastAsia="Arial" w:hAnsi="Arial"/>
          <w:sz w:val="18"/>
          <w:szCs w:val="18"/>
          <w:color w:val="auto"/>
        </w:rPr>
        <w:t xml:space="preserve">”): a Vested Acquiror Option, determined as set forth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 Excess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3.02(b)(ii)</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Closing Acquiror Cash</w:t>
      </w:r>
      <w:r>
        <w:rPr>
          <w:rFonts w:ascii="Arial" w:cs="Arial" w:eastAsia="Arial" w:hAnsi="Arial"/>
          <w:sz w:val="16"/>
          <w:szCs w:val="16"/>
          <w:color w:val="auto"/>
        </w:rPr>
        <w:t xml:space="preserve">” means an amount equal to (i) all amounts in the Trust Account (after reduction for the aggregate amount of payments required to be made in connection with the Acquiror Stockholder Redemption),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cash that has been funded to and remains with Acquiror pursuant to the Subscription Agreements as of immediately prior to the Closing,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amount of cash that has been funded to and remains with Acquiror pursuant to the HEC Forward Purchase Agreement,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expenses of Acquiror and its Affiliates incurred prior to the Closing Date consistent with the disclosure set forth in the SEC Reports (other than the Acquiror Transaction Expenses).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ascribed to such term in the Certificate of Incorporation.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Election Amount</w:t>
      </w:r>
      <w:r>
        <w:rPr>
          <w:rFonts w:ascii="Arial" w:cs="Arial" w:eastAsia="Arial" w:hAnsi="Arial"/>
          <w:sz w:val="16"/>
          <w:szCs w:val="16"/>
          <w:color w:val="auto"/>
        </w:rPr>
        <w:t xml:space="preserve">” means (1) the aggregate amount of cash consideration elected by all holders of Standard Mixed Election Shares (before giving effect to any adjustment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plus (2) the aggregate amount of cash consideration elected by all holders of Cash Weighted Mixed Consideration Shares (before giving effect to any adjustment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plus (3) the aggregate amount of cash consideration elected by all holders of Standard Mixed Election Options (before giving effect to any adjustment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plus</w:t>
      </w:r>
    </w:p>
    <w:p>
      <w:pPr>
        <w:spacing w:after="0" w:line="1" w:lineRule="exact"/>
        <w:rPr>
          <w:sz w:val="20"/>
          <w:szCs w:val="20"/>
          <w:color w:val="auto"/>
        </w:rPr>
      </w:pPr>
    </w:p>
    <w:p>
      <w:pPr>
        <w:ind w:left="120" w:right="100" w:hanging="4"/>
        <w:spacing w:after="0" w:line="260" w:lineRule="auto"/>
        <w:tabs>
          <w:tab w:leader="none" w:pos="37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the aggregate amount of cash consideration elected by all holders of Cash Weighted Mixed Election Options (before giving effect to any adjustment pursuant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 Excess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Weighted Mixed Electing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3.06(b)(iii)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Weighted Mixed Electing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3.02(a)(iii)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Option Portion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COVID-19 Measures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Acquiror, dated June 8, 2020, as amended and in effect on the date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Cash Consideration</w:t>
      </w:r>
      <w:r>
        <w:rPr>
          <w:rFonts w:ascii="Arial" w:cs="Arial" w:eastAsia="Arial" w:hAnsi="Arial"/>
          <w:sz w:val="16"/>
          <w:szCs w:val="16"/>
          <w:color w:val="auto"/>
        </w:rPr>
        <w:t xml:space="preserve">” means an amount equal to (a) the Available Closing Acquiror Cash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$250,000,000.00,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Acquiror Transaction Expenses set forth on the Acquiror Closing Statement,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Company Transaction Expenses set forth on the Company Closing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Closing occurs when the Closing Cash Consideration as otherwise determined by this definition would result in Closing Share Consideration that is less than the Minimum Share Consideration, then the Closing Cash Consideration for all purposes under this Agreement will be decreased by the minimum extent necessary such that the Closing Share Consideration equals the Minimum Share Consideration.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means $1,400,000,000.00.</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Share Consideration</w:t>
      </w:r>
      <w:r>
        <w:rPr>
          <w:rFonts w:ascii="Arial" w:cs="Arial" w:eastAsia="Arial" w:hAnsi="Arial"/>
          <w:sz w:val="18"/>
          <w:szCs w:val="18"/>
          <w:color w:val="auto"/>
        </w:rPr>
        <w:t xml:space="preserve">” means the number of shares (rounded to the nearest whole share) of Acquiror Common Stock determined by dividing an amount equal to (a) (i) the Closing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Closing Cash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Sponsor Share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Acquiror Transaction Expenses set forth on the Acquiror Closing Statement,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Company Transaction Expenses set forth on the Company Closing Statement, by (b)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Closing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shares of common stock, par value $0.001 per share,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Holders Support Agreement</w:t>
      </w:r>
      <w:r>
        <w:rPr>
          <w:rFonts w:ascii="Arial" w:cs="Arial" w:eastAsia="Arial" w:hAnsi="Arial"/>
          <w:sz w:val="18"/>
          <w:szCs w:val="18"/>
          <w:color w:val="auto"/>
        </w:rPr>
        <w:t>” means that certain Support Agreement, dated as of the date hereof, by and among the Requisite Company Stockholders, Acquiror and the Company, as amended or modified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means that certain 2014 Stock Incentive Plan of Groop Internet Platform,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shares of Company Common Stock granted under the Company Incentive Plan.</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collectively, the shares of preferred stock, par value $0.001 per share, of the Company, of which shares have been designated as: (i) Series Seed Preferred Stock, (ii) Series Seed-1 Preferred Stock, (iii) Series Seed-2 Preferred Stock, (iv) Series A Preferred Stock, (v) Series B Preferred Stock, (vi) Series C Preferred Stock and (vii) Series D Preferred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Record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3.03(d)(ii)</w:t>
      </w: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xml:space="preserve">” means the representations and warranties of the Company expressly and specifically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as qualified by the Company Disclosure Letter. For the avoidance of doubt, the Company Representations are solely made by the Company.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the Company Common Stock and the Company Preferred Stock.</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means the approval of this Agreement and the Transactions, including the First Merger, and the Pre-Closing Restructuring Plan and the transactions contemplated thereby and the making of any filings, notices or information statements in connection with the foregoing, by (a) the affirmative vote or written consent of the holders of at least a majority of the voting power of the outstanding Company Common Stock and outstanding Company Preferred Stock, voting together as a single class and on an as-converted basis, and (b) the affirmative vote or written consent of the holders of at least a majority of the voting power of the outstanding Company Preferred Stock, voting as a single class, in each of case, in accordance with the terms and subject to the conditions of the Company’s Governing Documents and applicable Law.</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5.07(b)</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 means all accrued and unpaid fees, costs and expenses of the Company and its Subsidiaries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the fees, costs, expenses and disbursements of counsel, accountants, advisors and consultants of the Company and its Subsidiaries, the cost of any D&amp;O Tail, any bonuses payable by or at the direction of the Company in connection with the Closing that have not been accrued for by the Company as of the most recent accrual period ending immediately prior to the Closing and any retention bonuses and transaction bonuses paid or payable to employees, directors or independent contractors of the Company or its Subsidiaries by or at the direction of the Company in connection with the Closing (including the employer portion of any payroll or employment Taxes related thereto), and the employer portion of any payroll or employment Taxes related to or payable in connection with the payment of any cash amounts under this Agreement with respect to the Vested Company Options.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12.09</w:t>
      </w:r>
      <w:r>
        <w:rPr>
          <w:rFonts w:ascii="Arial" w:cs="Arial" w:eastAsia="Arial" w:hAnsi="Arial"/>
          <w:sz w:val="16"/>
          <w:szCs w:val="16"/>
          <w:color w:val="auto"/>
        </w:rPr>
        <w: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9.07(b)</w:t>
      </w:r>
      <w:r>
        <w:rPr>
          <w:rFonts w:ascii="Arial" w:cs="Arial" w:eastAsia="Arial" w:hAnsi="Arial"/>
          <w:sz w:val="18"/>
          <w:szCs w:val="18"/>
          <w:color w:val="auto"/>
        </w:rPr>
        <w:t>.</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legally binding contracts, agreements, subcontracts and leases and all material amendments, written modifications and written supplements thereto.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Counsel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evolutions thereof or any other epidemics, pandemics or disease outbreaks.</w:t>
      </w:r>
    </w:p>
    <w:p>
      <w:pPr>
        <w:spacing w:after="0" w:line="23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 Governmental Order, Action, directive, pronouncement, guidelines or recommendations by any Governmental Authority (including the Centers for Disease Control and Prevention and the World Health Organization) in connection with, related to or in response to COVID-19, including, but not limited to, the Coronavirus Aid, Relief, and Economic Security Act (the “</w:t>
      </w:r>
      <w:r>
        <w:rPr>
          <w:rFonts w:ascii="Arial" w:cs="Arial" w:eastAsia="Arial" w:hAnsi="Arial"/>
          <w:sz w:val="18"/>
          <w:szCs w:val="18"/>
          <w:u w:val="single" w:color="auto"/>
          <w:color w:val="auto"/>
        </w:rPr>
        <w:t>CARES Act</w:t>
      </w:r>
      <w:r>
        <w:rPr>
          <w:rFonts w:ascii="Arial" w:cs="Arial" w:eastAsia="Arial" w:hAnsi="Arial"/>
          <w:sz w:val="18"/>
          <w:szCs w:val="18"/>
          <w:color w:val="auto"/>
        </w:rPr>
        <w:t>”) and the Families First Coronavirus Response Act, or any changes thereto.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Tail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80"/>
          </w:cols>
          <w:pgMar w:left="320" w:top="459" w:right="49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as applicable, the Company Disclosure Letter or the Acquiror Disclosure Letter.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DLLCA</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Deadline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3.03(d)(ii)</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Cash-Out Vested Company Option</w:t>
      </w:r>
      <w:r>
        <w:rPr>
          <w:rFonts w:ascii="Arial" w:cs="Arial" w:eastAsia="Arial" w:hAnsi="Arial"/>
          <w:sz w:val="18"/>
          <w:szCs w:val="18"/>
          <w:color w:val="auto"/>
        </w:rPr>
        <w:t xml:space="preserve">” means (i) with respect to an Optionholder Cash Weighted Mixed Election, the Optionholder Cash Weighted Mixed Election Percentage of the shares of Company Common Stock subject to such Vested Company Option (rounded up to the nearest whole number), and (ii) with respect to an Optionholder Standard Mixed Election, the Optionholder Standard Mixed Election Percentage of the shares of Company Common Stock subject to such Vested Company Option (rounded up to the nearest whole number), in each case as it may be adjusted pursuant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Engaged Professional</w:t>
      </w:r>
      <w:r>
        <w:rPr>
          <w:rFonts w:ascii="Arial" w:cs="Arial" w:eastAsia="Arial" w:hAnsi="Arial"/>
          <w:sz w:val="18"/>
          <w:szCs w:val="18"/>
          <w:color w:val="auto"/>
        </w:rPr>
        <w:t>” means a psychiatrist, psychologist, therapist, mental health coach or other similar practitioner employed or under contract with the Company or any of its Subsidiaries.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Laws relating to pollution or protection of the environment, or the use, storage, emission, disposal or release of Hazardous Materials, each as in effect as of the date hereof.</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 share capital, capital stock, partnership, membership, joint venture or similar interest in such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any trade or business (whether or not incorporated) (i) under common control within the meaning of Section 4001(b)(1) of ERISA with the Company or any Subsidiary or (ii) which together with the Company or any Subsidiary is treated as a single employer under Section 414(t) of the Code.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ESPP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means a paying and exchange agent agreement, in form and substance reasonably acceptable to Acquiror and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the quotient obtained by </w:t>
      </w:r>
      <w:r>
        <w:rPr>
          <w:rFonts w:ascii="Arial" w:cs="Arial" w:eastAsia="Arial" w:hAnsi="Arial"/>
          <w:sz w:val="18"/>
          <w:szCs w:val="18"/>
          <w:i w:val="1"/>
          <w:iCs w:val="1"/>
          <w:color w:val="auto"/>
        </w:rPr>
        <w:t>dividing:</w:t>
      </w:r>
    </w:p>
    <w:p>
      <w:pPr>
        <w:spacing w:after="0" w:line="131" w:lineRule="exact"/>
        <w:rPr>
          <w:sz w:val="20"/>
          <w:szCs w:val="20"/>
          <w:color w:val="auto"/>
        </w:rPr>
      </w:pPr>
    </w:p>
    <w:p>
      <w:pPr>
        <w:ind w:left="1080" w:right="800" w:hanging="532"/>
        <w:spacing w:after="0" w:line="277"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a number of shares of Acquiror Common Stock equal to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(i) the sum of (A) the Closing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Sponsor Share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Acquiror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 xml:space="preserve">Transaction Expenses set forth on the Acquiror Closing Statement,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Company Transaction Expenses set forth on the Company Closing Statement </w:t>
      </w:r>
      <w:r>
        <w:rPr>
          <w:rFonts w:ascii="Arial" w:cs="Arial" w:eastAsia="Arial" w:hAnsi="Arial"/>
          <w:sz w:val="18"/>
          <w:szCs w:val="18"/>
          <w:i w:val="1"/>
          <w:iCs w:val="1"/>
          <w:color w:val="auto"/>
        </w:rPr>
        <w:t>by</w:t>
      </w:r>
      <w:r>
        <w:rPr>
          <w:rFonts w:ascii="Arial" w:cs="Arial" w:eastAsia="Arial" w:hAnsi="Arial"/>
          <w:sz w:val="18"/>
          <w:szCs w:val="18"/>
          <w:color w:val="auto"/>
        </w:rPr>
        <w:t xml:space="preserve"> (ii) $10.00; </w:t>
      </w:r>
      <w:r>
        <w:rPr>
          <w:rFonts w:ascii="Arial" w:cs="Arial" w:eastAsia="Arial" w:hAnsi="Arial"/>
          <w:sz w:val="18"/>
          <w:szCs w:val="18"/>
          <w:i w:val="1"/>
          <w:iCs w:val="1"/>
          <w:color w:val="auto"/>
        </w:rPr>
        <w:t>by</w:t>
      </w:r>
    </w:p>
    <w:p>
      <w:pPr>
        <w:spacing w:after="0" w:line="76" w:lineRule="exact"/>
        <w:rPr>
          <w:sz w:val="20"/>
          <w:szCs w:val="20"/>
          <w:color w:val="auto"/>
        </w:rPr>
      </w:pPr>
    </w:p>
    <w:p>
      <w:pPr>
        <w:jc w:val="both"/>
        <w:ind w:left="560" w:right="5960" w:hanging="12"/>
        <w:spacing w:after="0" w:line="563" w:lineRule="auto"/>
        <w:tabs>
          <w:tab w:leader="none" w:pos="109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Aggregate Fully Diluted Company Common Stock. “</w:t>
      </w:r>
      <w:r>
        <w:rPr>
          <w:rFonts w:ascii="Arial" w:cs="Arial" w:eastAsia="Arial" w:hAnsi="Arial"/>
          <w:sz w:val="16"/>
          <w:szCs w:val="16"/>
          <w:u w:val="single" w:color="auto"/>
          <w:color w:val="auto"/>
        </w:rPr>
        <w:t>Excluded Share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3.02(a)</w:t>
      </w:r>
      <w:r>
        <w:rPr>
          <w:rFonts w:ascii="Arial" w:cs="Arial" w:eastAsia="Arial" w:hAnsi="Arial"/>
          <w:sz w:val="16"/>
          <w:szCs w:val="16"/>
          <w:color w:val="auto"/>
        </w:rPr>
        <w:t>.</w:t>
      </w:r>
    </w:p>
    <w:p>
      <w:pPr>
        <w:spacing w:after="0" w:line="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means (a) the U.S. Export Administration Regulations and all other Laws adopted by Governmental Authorities of the United States and other countries relating to import and export controls and (b) the anti-boycott regulations administered by the U.S. Department of Commerce and the U.S. Department of the Treasury and all anti-boycott Laws adopted by Governmental Authorities of other countries relating to prohibition of unauthorized boycotts.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Certificate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Merger Sub</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3.03(d)(ii)</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Fraud</w:t>
      </w:r>
      <w:r>
        <w:rPr>
          <w:rFonts w:ascii="Arial" w:cs="Arial" w:eastAsia="Arial" w:hAnsi="Arial"/>
          <w:sz w:val="17"/>
          <w:szCs w:val="17"/>
          <w:color w:val="auto"/>
        </w:rPr>
        <w:t xml:space="preserve">” means actual and intentional fraud under Delaware common law with a specific intent to deceive brought against a Party based solely and exclusively with respect to the making of any representation or warranty by such Party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(as applicable).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in each case as amended, restated, modified or supplemented from time to time.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Closure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local or foreign government, governmental authority, regulatory or administrative agency, governmental commission, department, board, bureau, agency or instrumentality, court or tribunal.</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judgment, injunction, decree, writ, stipulation, determination or award, in each case, entered by or with any Governmental Authority.</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material, substance or waste that is listed, regulated, or otherwise defined as “hazardous,” “toxic,” or “radioactive”, or as a “pollutant” or “contaminant” or words of similar intent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meaning under applicable Environmental Laws as in effect as of the date hereof, including petroleum, petroleum by-products, asbestos or asbestos-containing material, polychlorinated biphenyls, flammable or explosive substances, or pesticides, in each case, which are regulated under Environmental Law and as to which liability may be imposed pursuant to Environmental Law.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Information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HEC</w:t>
      </w:r>
      <w:r>
        <w:rPr>
          <w:rFonts w:ascii="Arial" w:cs="Arial" w:eastAsia="Arial" w:hAnsi="Arial"/>
          <w:sz w:val="18"/>
          <w:szCs w:val="18"/>
          <w:color w:val="auto"/>
        </w:rPr>
        <w:t>” means HEC Master Fund LP, a Delaware limited partnership.</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HEC Forward Purchase Agreement</w:t>
      </w:r>
      <w:r>
        <w:rPr>
          <w:rFonts w:ascii="Arial" w:cs="Arial" w:eastAsia="Arial" w:hAnsi="Arial"/>
          <w:sz w:val="17"/>
          <w:szCs w:val="17"/>
          <w:color w:val="auto"/>
        </w:rPr>
        <w:t>” means the Forward Purchase Agreement, entered into as of June 8, 2020, by and between Acquiror and HEC, as amended as of the date hereof and as further amended, restated, modified or supplemented from time to time.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Equity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any Tax imposed upon or measured by net income or gain (however denominated).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as of any time, without duplication, (i) all indebtedness for borrowed money of such Person,</w:t>
      </w:r>
    </w:p>
    <w:p>
      <w:pPr>
        <w:spacing w:after="0" w:line="46" w:lineRule="exact"/>
        <w:rPr>
          <w:sz w:val="20"/>
          <w:szCs w:val="20"/>
          <w:color w:val="auto"/>
        </w:rPr>
      </w:pPr>
    </w:p>
    <w:p>
      <w:pPr>
        <w:ind w:left="120" w:right="140" w:hanging="4"/>
        <w:spacing w:after="0" w:line="288" w:lineRule="auto"/>
        <w:tabs>
          <w:tab w:leader="none" w:pos="38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indebtedness evidenced by any note, bond, debenture or other debt security, in each case, as of such time of such Person, (iii) any premiums, prepayment fees or other penalties, fees, costs or expenses associated with payment of any indebtedness of such Person, in each case to the extent payable as a result of the consummation of the Transactions, (iv) any payroll or employment Taxes the payment of which has been deferred by such Person pursuant to Section 2302 of the CARES Act; and (v) all indebtedness of the type referred to in clauses (i) - (iv) of this definition of any other Person, guaranteed directly or indirectly, jointly or severally. Notwithstanding anything to the contrary contained herein, “Indebtedness” of any Person shall not include any item that would otherwise constitute “Indebtedness” of such Person that is an obligation between such Person and any wholly owned Subsidiary of such Person or between any two or more wholly owned Subsidiaries of such Person.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 Affiliates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8.02(c)</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or Document Request</w:t>
      </w:r>
      <w:r>
        <w:rPr>
          <w:rFonts w:ascii="Arial" w:cs="Arial" w:eastAsia="Arial" w:hAnsi="Arial"/>
          <w:sz w:val="18"/>
          <w:szCs w:val="18"/>
          <w:color w:val="auto"/>
        </w:rPr>
        <w:t>” means any request or demand for the production, delivery or disclosure of documents or other evidence, or any request or demand for the production of witnesses for interviews or depositions or other oral or written testimony, by any Regulatory Consent Authority relating to the Transactions or by any third party challenging the Transactions, including any so called “second request” for additional information or documentary material or any civil investigative demand made or issued by any Regulatory Consent Authority or any subpoena, interrogatory or deposition.</w:t>
      </w:r>
    </w:p>
    <w:p>
      <w:pPr>
        <w:spacing w:after="0" w:line="188"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worldwide rights in and to (a) patents, published, or unpublished patent applications (and any patents that issue as a result of those patent applications), inventions (whether or not patentable or whether or not reduced to practice), invention disclosures, and industrial designs, together with all parents, (b) copyrights and rights in works of authorship and copyrightable subject matter, together with any moral rights related thereto, including all rights of authorship, use, publication, reproduction, distribution, and performance, transformation and ownership, together with all other interests accruing by reason of international copyright conventions, (c) trade secrets, know-how and confidential information,</w:t>
      </w:r>
    </w:p>
    <w:p>
      <w:pPr>
        <w:spacing w:after="0" w:line="2" w:lineRule="exact"/>
        <w:rPr>
          <w:sz w:val="20"/>
          <w:szCs w:val="20"/>
          <w:color w:val="auto"/>
        </w:rPr>
      </w:pPr>
    </w:p>
    <w:p>
      <w:pPr>
        <w:ind w:left="120" w:right="560" w:hanging="4"/>
        <w:spacing w:after="0" w:line="260" w:lineRule="auto"/>
        <w:tabs>
          <w:tab w:leader="none" w:pos="3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trademarks, trade names, logos, service marks, trade dress, business names (including any fictitious or “dba” names), Internet domain names, slogans, symbols, and other similar designations of source or origin together with the goodwill of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business symbolized by or associated with any of the foregoing, (e) Software, (f) technical data, and databases, compilations and collections of technical data, (g) any registrations or applications for registration for any of the foregoing, including any provisional, divisions, continuations, continuations-in-part, renewals, reissuances, revisions, re-examinations and extensions (as applicable).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“Intended Income Tax Treatment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Systems</w:t>
      </w:r>
      <w:r>
        <w:rPr>
          <w:rFonts w:ascii="Arial" w:cs="Arial" w:eastAsia="Arial" w:hAnsi="Arial"/>
          <w:sz w:val="18"/>
          <w:szCs w:val="18"/>
          <w:color w:val="auto"/>
        </w:rPr>
        <w:t>” means any information technology and computer systems, servers, networks, databases, websites, computer hardware and equipment used to process, store, generate, analyze, maintain and operate data or information that are owned by, licensed or leased to or otherwise under the control of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Executives</w:t>
      </w:r>
      <w:r>
        <w:rPr>
          <w:rFonts w:ascii="Arial" w:cs="Arial" w:eastAsia="Arial" w:hAnsi="Arial"/>
          <w:sz w:val="18"/>
          <w:szCs w:val="18"/>
          <w:color w:val="auto"/>
        </w:rPr>
        <w:t xml:space="preserve">” means the individuals set forth on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regulation or Governmental Order, in each case, of any Governmental Authority.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5.19(b)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5.19(b)</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means a letter of transmittal in customary form and containing such provisions as Acquiror and the Company reasonably agree prior to the First Effective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5.20(b)</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encumbrance, easement, license, option, right of first refusal, security interest or other lien of any kind.</w:t>
      </w:r>
    </w:p>
    <w:p>
      <w:pPr>
        <w:spacing w:after="0" w:line="170"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with respect to the Company and its Subsidiaries, any effect, occurrence, development, fact, condition or change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(a) has had, or would reasonably be expected to have, individually or in the aggregate, a material adverse effect on the business, results of operations or financial condition of the Company and its Subsidiaries, taken as a whole or (b) prevents the Company from consummating the Mergers;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would any of the following, alone or in combination, be deemed to constitute, or be taken into account in determining whether there has been or will be, a “Material Adverse Effect”: (i) any change in applicable Laws or GAAP or any interpretation thereof,</w:t>
      </w:r>
    </w:p>
    <w:p>
      <w:pPr>
        <w:spacing w:after="0" w:line="2" w:lineRule="exact"/>
        <w:rPr>
          <w:sz w:val="20"/>
          <w:szCs w:val="20"/>
          <w:color w:val="auto"/>
        </w:rPr>
      </w:pPr>
    </w:p>
    <w:p>
      <w:pPr>
        <w:ind w:left="120" w:right="20" w:hanging="4"/>
        <w:spacing w:after="0" w:line="287" w:lineRule="auto"/>
        <w:tabs>
          <w:tab w:leader="none" w:pos="38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any change in interest rates or economic, political, business, financial, commodity, currency or market conditions generally, (iii) the announcement or the execution of this Agreement, the pendency or consummation of the Mergers or the performance of this Agreement, including the impact thereof on relationships, contractual or otherwise, with customers, suppliers, landlords, licensors, distributors, partners, providers and employees, (iv) any Effect generally affecting any of the industries or markets in which the Company or its Subsidiaries operate or the economy as a whole, (v) the compliance with the terms of this Agreement or the taking of any action required or contemplated by this Agreement or with the prior written consent of Acquiror or at the request of the Acquiror, First Merger Sub or Second Merger Sub, (vi) any earthquake, hurricane, epidemic, pandemic, tsunami, tornado, flood, mudslide, wild fire or other natural disaster, act of God or other force majeure event, (vii) any national or international political or social conditions in countries in which, or in the proximate geographic region of which, the Company operates, including the engagement by the United States or such other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87" w:lineRule="auto"/>
        <w:rPr>
          <w:sz w:val="20"/>
          <w:szCs w:val="20"/>
          <w:color w:val="auto"/>
        </w:rPr>
      </w:pPr>
      <w:r>
        <w:rPr>
          <w:rFonts w:ascii="Arial" w:cs="Arial" w:eastAsia="Arial" w:hAnsi="Arial"/>
          <w:sz w:val="16"/>
          <w:szCs w:val="16"/>
          <w:color w:val="auto"/>
        </w:rPr>
        <w:t>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w:t>
      </w:r>
    </w:p>
    <w:p>
      <w:pPr>
        <w:spacing w:after="0" w:line="2" w:lineRule="exact"/>
        <w:rPr>
          <w:sz w:val="20"/>
          <w:szCs w:val="20"/>
          <w:color w:val="auto"/>
        </w:rPr>
      </w:pPr>
    </w:p>
    <w:p>
      <w:pPr>
        <w:ind w:left="120" w:hanging="4"/>
        <w:spacing w:after="0" w:line="268" w:lineRule="auto"/>
        <w:tabs>
          <w:tab w:leader="none" w:pos="52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any failure of the Company and its Subsidiaries, taken as a whole, to meet any projections, forecasts or budgets;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 (viii) shall not prevent a determination that any Effect not otherwise excluded from this definition of Material Adverse Effect underlying such failure to meet projections or forecasts has resulted in, or would reasonably be expected to result in, a Material Adverse Effect, (ix) COVID-19 or any COVID-19 Measures, or the Company’s or any of its Subsidiaries’ compliance therewith, (x) any cyberattack on or involving the Company or any of its Subsidiaries, (xi) any matters set forth on the Company Disclosure Letter, and (xii) any Effect to the extent actually known by those individuals set forth on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the Acquiror Disclosure Letter on or prior to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clauses (i), (ii), (vi) and (vii), such changes may be taken into account to the extent (but only to the extent) that such changes have had a disproportionate and adverse impact on the Company and its Subsidiaries, taken as a whole, as compared to other similarly situated competitors or comparable entities operating in the industries and markets in which the Company and its Subsidiaries operate.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B2B Customers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Share Consideration</w:t>
      </w:r>
      <w:r>
        <w:rPr>
          <w:rFonts w:ascii="Arial" w:cs="Arial" w:eastAsia="Arial" w:hAnsi="Arial"/>
          <w:sz w:val="16"/>
          <w:szCs w:val="16"/>
          <w:color w:val="auto"/>
        </w:rPr>
        <w:t xml:space="preserve">” means, solely to the extent the Company elects application hereof, the number of shares (rounded up to the nearest whole share) of Acquiror Common Stock that represents the minimum number of shares of Acquiror Common Stock that is required to ensure that the Mergers qualify for the Intended Income Tax Treatment (with such number of shares to be reasonably determined by tax counsel to the Company, taking into account reasonable expectations regarding the value of the Acquiror Common Stock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be eligible to elect the application hereof only if the Company has a good faith and reasonable belief that the volume-weighted average price of the Acquiror Common Stock on the Closing Date will be less than $10.00 per share. The Company will provide written notice to Acquiror no later than the second (2nd) Business Day prior to the Closing Date if it elects to apply the Minimum Share Consideration as used in this Agreement, which written notice shall include the Company’s calculation of the number of shares of Acquiror Common Stock described herein.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 Cash Weighted Mixed Election</w:t>
      </w:r>
      <w:r>
        <w:rPr>
          <w:rFonts w:ascii="Arial" w:cs="Arial" w:eastAsia="Arial" w:hAnsi="Arial"/>
          <w:sz w:val="16"/>
          <w:szCs w:val="16"/>
          <w:color w:val="auto"/>
        </w:rPr>
        <w:t xml:space="preserve">” means, with respect to a Vested Company Option, an election by the holder of such Vested Company Option to receive the following, as it may be adjusted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Optionholder Cash Weighted Mixed Election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(A) with respect to the Eligible Cash-Out Vested Company Option, cash in an amount equal to (i) (a) the Per Share Merger Consideration multiplied by (b) such number of shares of Company Common Stock underlying the Eligible Cash-Out Vested Company Option, minus</w:t>
      </w:r>
    </w:p>
    <w:p>
      <w:pPr>
        <w:spacing w:after="0" w:line="1" w:lineRule="exact"/>
        <w:rPr>
          <w:sz w:val="20"/>
          <w:szCs w:val="20"/>
          <w:color w:val="auto"/>
        </w:rPr>
      </w:pPr>
    </w:p>
    <w:p>
      <w:pPr>
        <w:ind w:left="380" w:hanging="264"/>
        <w:spacing w:after="0"/>
        <w:tabs>
          <w:tab w:leader="none" w:pos="3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aggregate exercise price applicable to each share of Company Common Stock underlying such Eligible Cash-Out Vested Company Option and</w:t>
      </w:r>
    </w:p>
    <w:p>
      <w:pPr>
        <w:spacing w:after="0" w:line="32" w:lineRule="exact"/>
        <w:rPr>
          <w:rFonts w:ascii="Arial" w:cs="Arial" w:eastAsia="Arial" w:hAnsi="Arial"/>
          <w:sz w:val="16"/>
          <w:szCs w:val="16"/>
          <w:color w:val="auto"/>
        </w:rPr>
      </w:pPr>
    </w:p>
    <w:p>
      <w:pPr>
        <w:ind w:left="120" w:right="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(B) with respect to the remaining shares of Company Common Stock subject to such Vested Company Option, a Vested Acquiror Option, determined as set forth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80"/>
          </w:cols>
          <w:pgMar w:left="320" w:top="459" w:right="49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 Cash Weighted Mixed Election Percentage</w:t>
      </w:r>
      <w:r>
        <w:rPr>
          <w:rFonts w:ascii="Arial" w:cs="Arial" w:eastAsia="Arial" w:hAnsi="Arial"/>
          <w:sz w:val="16"/>
          <w:szCs w:val="16"/>
          <w:color w:val="auto"/>
        </w:rPr>
        <w:t xml:space="preserve">” means, with respect to any holder of Vested Company Options that has properly made and not revoked or lost an Optionholder Cash Weighted Mixed Election in accordance with </w:t>
      </w:r>
      <w:r>
        <w:rPr>
          <w:rFonts w:ascii="Arial" w:cs="Arial" w:eastAsia="Arial" w:hAnsi="Arial"/>
          <w:sz w:val="16"/>
          <w:szCs w:val="16"/>
          <w:u w:val="single" w:color="auto"/>
          <w:color w:val="auto"/>
        </w:rPr>
        <w:t>Section 3.03</w:t>
      </w:r>
      <w:r>
        <w:rPr>
          <w:rFonts w:ascii="Arial" w:cs="Arial" w:eastAsia="Arial" w:hAnsi="Arial"/>
          <w:sz w:val="16"/>
          <w:szCs w:val="16"/>
          <w:color w:val="auto"/>
        </w:rPr>
        <w:t>, a percentage equal to fifty percent (50%).</w:t>
      </w:r>
    </w:p>
    <w:p>
      <w:pPr>
        <w:spacing w:after="0" w:line="124"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 Standard Mixed Election</w:t>
      </w:r>
      <w:r>
        <w:rPr>
          <w:rFonts w:ascii="Arial" w:cs="Arial" w:eastAsia="Arial" w:hAnsi="Arial"/>
          <w:sz w:val="16"/>
          <w:szCs w:val="16"/>
          <w:color w:val="auto"/>
        </w:rPr>
        <w:t xml:space="preserve">” means, with respect to a Vested Company Option, an election by the holder of such Vested Company Option to receive the following, as it may be adjusted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Optionholder Standard Mixed Election Consideration</w:t>
      </w:r>
      <w:r>
        <w:rPr>
          <w:rFonts w:ascii="Arial" w:cs="Arial" w:eastAsia="Arial" w:hAnsi="Arial"/>
          <w:sz w:val="16"/>
          <w:szCs w:val="16"/>
          <w:color w:val="auto"/>
        </w:rPr>
        <w:t>”): (A) with respect to the Eligible Cash-Out Vested Company Option, cash in an amount equal to (i) (a) the Per Share Merger Consideration multiplied by</w:t>
      </w:r>
    </w:p>
    <w:p>
      <w:pPr>
        <w:spacing w:after="0" w:line="2" w:lineRule="exact"/>
        <w:rPr>
          <w:sz w:val="20"/>
          <w:szCs w:val="20"/>
          <w:color w:val="auto"/>
        </w:rPr>
      </w:pPr>
    </w:p>
    <w:p>
      <w:pPr>
        <w:ind w:left="120" w:right="300" w:hanging="4"/>
        <w:spacing w:after="0" w:line="253" w:lineRule="auto"/>
        <w:tabs>
          <w:tab w:leader="none" w:pos="37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such number of shares of Company Common Stock underlying the Eligible Cash-Out Vested Company Option, minus (ii) the aggregate exercise price applicable to each share of Company Common Stock underlying such Eligible Cash-Out Vested Company Option and (B) with respect to the remaining shares of Company Common Stock subject to such Vested Company Option, a Vested Acquiror Option, determined as set forth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193"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 Standard Mixed Election Percentage</w:t>
      </w:r>
      <w:r>
        <w:rPr>
          <w:rFonts w:ascii="Arial" w:cs="Arial" w:eastAsia="Arial" w:hAnsi="Arial"/>
          <w:sz w:val="18"/>
          <w:szCs w:val="18"/>
          <w:color w:val="auto"/>
        </w:rPr>
        <w:t xml:space="preserve">” means, with respect to any holder of Vested Company Options that has properly made and not revoked or lost an Optionholder Standard Mixed Election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 an amount, expressed as a percentage, (I) the numerator of which is the Closing Cash Consideration and (II) the denominator of which is equal to the sum of (a) the Closing Cash Consideration plus (b) the result of multiplying (i) the Closing Share Consideration by (ii)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that is owned by the Company or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PEO</w:t>
      </w:r>
      <w:r>
        <w:rPr>
          <w:rFonts w:ascii="Arial" w:cs="Arial" w:eastAsia="Arial" w:hAnsi="Arial"/>
          <w:sz w:val="18"/>
          <w:szCs w:val="18"/>
          <w:color w:val="auto"/>
        </w:rPr>
        <w:t>” means any professional employer organization, including, without limitation, TriNet HR Corporation.</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PEO Sponsored Plan</w:t>
      </w:r>
      <w:r>
        <w:rPr>
          <w:rFonts w:ascii="Arial" w:cs="Arial" w:eastAsia="Arial" w:hAnsi="Arial"/>
          <w:sz w:val="18"/>
          <w:szCs w:val="18"/>
          <w:color w:val="auto"/>
        </w:rPr>
        <w:t>” means each Company Benefit Plan sponsored, contributed to or required to be contributed to by a PEO for the benefit of any current or former employee, officer, director or individual consultant of the Company or its Subsidiaries.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means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by (ii) $10.00.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(i) statutory or common law Liens of mechanics, materialmen, warehousemen, landlords, carriers, repairmen, construction contractors and other similar Liens that arise in the ordinary course of business, that relate to amounts not yet delinquent or that are being contested in good faith through appropriate Actions for which appropriate reserves have been established in accordance with GAAP, (ii) Liens arising under original purchase price conditional sales contracts and equipment leases with third parties entered into in the ordinary course of business,</w:t>
      </w:r>
    </w:p>
    <w:p>
      <w:pPr>
        <w:spacing w:after="0" w:line="1" w:lineRule="exact"/>
        <w:rPr>
          <w:sz w:val="20"/>
          <w:szCs w:val="20"/>
          <w:color w:val="auto"/>
        </w:rPr>
      </w:pPr>
    </w:p>
    <w:p>
      <w:pPr>
        <w:ind w:left="120" w:hanging="4"/>
        <w:spacing w:after="0" w:line="281" w:lineRule="auto"/>
        <w:tabs>
          <w:tab w:leader="none" w:pos="43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Liens for Taxes not yet due and payable or which are being contested in good faith through appropriate Actions for which appropriate reserves have been established in accordance with GAAP, (iv) Liens, encumbrances and restrictions on real property (including easements, covenants, rights of way and similar restrictions of record) or zoning, building, entitlement and other land use and environmental regulations that (A) are matters of record,</w:t>
      </w:r>
    </w:p>
    <w:p>
      <w:pPr>
        <w:spacing w:after="0" w:line="1" w:lineRule="exact"/>
        <w:rPr>
          <w:rFonts w:ascii="Arial" w:cs="Arial" w:eastAsia="Arial" w:hAnsi="Arial"/>
          <w:sz w:val="16"/>
          <w:szCs w:val="16"/>
          <w:color w:val="auto"/>
        </w:rPr>
      </w:pPr>
    </w:p>
    <w:p>
      <w:pPr>
        <w:ind w:left="120" w:right="20"/>
        <w:spacing w:after="0" w:line="253" w:lineRule="auto"/>
        <w:rPr>
          <w:rFonts w:ascii="Arial" w:cs="Arial" w:eastAsia="Arial" w:hAnsi="Arial"/>
          <w:sz w:val="16"/>
          <w:szCs w:val="16"/>
          <w:color w:val="auto"/>
        </w:rPr>
      </w:pPr>
      <w:r>
        <w:rPr>
          <w:rFonts w:ascii="Arial" w:cs="Arial" w:eastAsia="Arial" w:hAnsi="Arial"/>
          <w:sz w:val="18"/>
          <w:szCs w:val="18"/>
          <w:color w:val="auto"/>
        </w:rPr>
        <w:t>(B) would be disclosed by a current, accurate survey or physical inspection of such real property, or (C) do not materially interfere with the present uses of such real property, (v) with respect to any Leased Real Property (A) the interests and rights of the respective lessors with respect thereto, including any statutory landlord liens and any Lien thereon, (B) any Lien permitted under a Lease, and (C) any Liens encumbering the underlying fee title of the real property of which the Leased Real Property is a part, (vi) Liens that that do not, individually or in the aggregate, materially and adversely affect, or materially</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80"/>
          </w:cols>
          <w:pgMar w:left="320" w:top="459" w:right="49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disrupt, the ordinary course operation of the businesses of the Company and its Subsidiaries, taken as a whole, (vii) non-exclusive licenses of Intellectual Property entered into in the ordinary course of business, (viii) Liens securing any Indebtedness of the Company and its Subsidiaries, (ix) any right, interest, Lien or title of a licensor, sublicensor, licensee, sublicensee, lessor or sublessor under any license, lease or other similar agreement or other property being leased or licensed including licenses of Intellectual Property and (x) Liens described on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the Company Disclosure Letter.</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in addition to the definition for any similar term (</w:t>
      </w:r>
      <w:r>
        <w:rPr>
          <w:rFonts w:ascii="Arial" w:cs="Arial" w:eastAsia="Arial" w:hAnsi="Arial"/>
          <w:sz w:val="16"/>
          <w:szCs w:val="16"/>
          <w:i w:val="1"/>
          <w:iCs w:val="1"/>
          <w:color w:val="auto"/>
        </w:rPr>
        <w:t>e.g.</w:t>
      </w:r>
      <w:r>
        <w:rPr>
          <w:rFonts w:ascii="Arial" w:cs="Arial" w:eastAsia="Arial" w:hAnsi="Arial"/>
          <w:sz w:val="16"/>
          <w:szCs w:val="16"/>
          <w:color w:val="auto"/>
        </w:rPr>
        <w:t>, “personal data” or “personally identifiable information”) provided by applicable Law, any information that identifies, could be used to identify, or is otherwise associated with an individual person.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w:t>
      </w:r>
      <w:r>
        <w:rPr>
          <w:rFonts w:ascii="Arial" w:cs="Arial" w:eastAsia="Arial" w:hAnsi="Arial"/>
          <w:sz w:val="18"/>
          <w:szCs w:val="18"/>
          <w:color w:val="auto"/>
        </w:rPr>
        <w:t>” means an investor party to a Subscription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Policies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Holders</w:t>
      </w:r>
      <w:r>
        <w:rPr>
          <w:rFonts w:ascii="Arial" w:cs="Arial" w:eastAsia="Arial" w:hAnsi="Arial"/>
          <w:sz w:val="17"/>
          <w:szCs w:val="17"/>
          <w:color w:val="auto"/>
        </w:rPr>
        <w:t>” means all Persons who hold one or more shares of Company Stock immediately prior to the First Effective Time.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Restructuring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applicable Laws relating to the receipt, collection, compilation, use, storage, processing, sharing, security, disclosure or transfer of Personal Information, and all applicable Laws relating to breach notification in connection with Personal Information. “Privacy Laws” expressly excludes the Healthcare Information Laws.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Privileged 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Consent Authorities</w:t>
      </w:r>
      <w:r>
        <w:rPr>
          <w:rFonts w:ascii="Arial" w:cs="Arial" w:eastAsia="Arial" w:hAnsi="Arial"/>
          <w:sz w:val="18"/>
          <w:szCs w:val="18"/>
          <w:color w:val="auto"/>
        </w:rPr>
        <w:t>” means the Antitrust Division of the United States Department of Justice or the United States Federal Trade Commission, as applicable.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as to any Person, any of the officers, directors, managers, employees, counsel, accountants, financial advisors, and consultants of such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Stockholders</w:t>
      </w:r>
      <w:r>
        <w:rPr>
          <w:rFonts w:ascii="Arial" w:cs="Arial" w:eastAsia="Arial" w:hAnsi="Arial"/>
          <w:sz w:val="18"/>
          <w:szCs w:val="18"/>
          <w:color w:val="auto"/>
        </w:rPr>
        <w:t xml:space="preserve">” means those stockholders listed on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means any Law related to economic sanctions imposed, administered or enforced by the Office of Foreign Assets Control of the U.S. Department of the Treasury, the U.S. Department of State, the European Union or any of its Member States, the United Nations, or Her Majesty’s Treasury of the United Kingdom.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Certificate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Merger Sub</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Laws</w:t>
      </w:r>
      <w:r>
        <w:rPr>
          <w:rFonts w:ascii="Arial" w:cs="Arial" w:eastAsia="Arial" w:hAnsi="Arial"/>
          <w:sz w:val="17"/>
          <w:szCs w:val="17"/>
          <w:color w:val="auto"/>
        </w:rPr>
        <w:t>” means the securities Laws of any state, federal or foreign entity and the rules and regulations promulgated thereunder.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Group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any and all computer programs, including any and all software implementation of algorithms, models and methodologies, whether in source code, object code, human readable form or other form.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Meeting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HEC Sponsor LLC, a Delaware limited liability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Share Amount</w:t>
      </w:r>
      <w:r>
        <w:rPr>
          <w:rFonts w:ascii="Arial" w:cs="Arial" w:eastAsia="Arial" w:hAnsi="Arial"/>
          <w:sz w:val="18"/>
          <w:szCs w:val="18"/>
          <w:color w:val="auto"/>
        </w:rPr>
        <w:t>” means $72,000,000.00.</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means that certain Letter Agreement, dated as of the date hereof, by and among the Sponsor, the Company, Acquiror and the other parties signatory thereto, as amended, restated, modified or supplemented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Mixed Electing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3.06(b)(ii)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Mixed Electing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3.02(a)(ii)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Electing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3.02(a)(i)</w:t>
      </w: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Election</w:t>
      </w:r>
      <w:r>
        <w:rPr>
          <w:rFonts w:ascii="Arial" w:cs="Arial" w:eastAsia="Arial" w:hAnsi="Arial"/>
          <w:sz w:val="16"/>
          <w:szCs w:val="16"/>
          <w:color w:val="auto"/>
        </w:rPr>
        <w:t>” means, with respect to any Pre-Closing Holder, an election by such holder to receive the following, as it may be adjusted pursuant to Section 3.02(b) (the “</w:t>
      </w:r>
      <w:r>
        <w:rPr>
          <w:rFonts w:ascii="Arial" w:cs="Arial" w:eastAsia="Arial" w:hAnsi="Arial"/>
          <w:sz w:val="16"/>
          <w:szCs w:val="16"/>
          <w:u w:val="single" w:color="auto"/>
          <w:color w:val="auto"/>
        </w:rPr>
        <w:t>Stock Election Consideration</w:t>
      </w:r>
      <w:r>
        <w:rPr>
          <w:rFonts w:ascii="Arial" w:cs="Arial" w:eastAsia="Arial" w:hAnsi="Arial"/>
          <w:sz w:val="16"/>
          <w:szCs w:val="16"/>
          <w:color w:val="auto"/>
        </w:rPr>
        <w:t>”): a number of shares of Acquiror Common Stock equal to the Exchange Ratio.</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Cash Weighted Mixed Election</w:t>
      </w:r>
      <w:r>
        <w:rPr>
          <w:rFonts w:ascii="Arial" w:cs="Arial" w:eastAsia="Arial" w:hAnsi="Arial"/>
          <w:sz w:val="18"/>
          <w:szCs w:val="18"/>
          <w:color w:val="auto"/>
        </w:rPr>
        <w:t>” means, with respect to any Pre-Closing Holder, an election by such holder to receive the following, as it may be adjusted pursuant to Section 3.02(b) (the “</w:t>
      </w:r>
      <w:r>
        <w:rPr>
          <w:rFonts w:ascii="Arial" w:cs="Arial" w:eastAsia="Arial" w:hAnsi="Arial"/>
          <w:sz w:val="18"/>
          <w:szCs w:val="18"/>
          <w:u w:val="single" w:color="auto"/>
          <w:color w:val="auto"/>
        </w:rPr>
        <w:t>Stockholder Cash Weighted Mixed Election Consideration</w:t>
      </w:r>
      <w:r>
        <w:rPr>
          <w:rFonts w:ascii="Arial" w:cs="Arial" w:eastAsia="Arial" w:hAnsi="Arial"/>
          <w:sz w:val="18"/>
          <w:szCs w:val="18"/>
          <w:color w:val="auto"/>
        </w:rPr>
        <w:t>”): (A) a number of shares of Acquiror Common Stock equal to (1) the Exchange Ratio multiplied by (2) the difference obtained by subtracting the Stockholder Cash Weighted Mixed Election Percentage from one (1), and (B) cash in an amount equal to (1) the Per Share Merger Consideration multiplied by (2) the Stockholder Cash Weighted Mixed Election Percentage.</w:t>
      </w:r>
    </w:p>
    <w:p>
      <w:pPr>
        <w:spacing w:after="0" w:line="188"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Cash Weighted Mixed Election Percentage</w:t>
      </w:r>
      <w:r>
        <w:rPr>
          <w:rFonts w:ascii="Arial" w:cs="Arial" w:eastAsia="Arial" w:hAnsi="Arial"/>
          <w:sz w:val="17"/>
          <w:szCs w:val="17"/>
          <w:color w:val="auto"/>
        </w:rPr>
        <w:t xml:space="preserve">” means, with respect to any Pre-Closing Holder that has properly made and not revoked or lost a Stockholder Cash Weighted Mixed Election in accordance with </w:t>
      </w:r>
      <w:r>
        <w:rPr>
          <w:rFonts w:ascii="Arial" w:cs="Arial" w:eastAsia="Arial" w:hAnsi="Arial"/>
          <w:sz w:val="17"/>
          <w:szCs w:val="17"/>
          <w:u w:val="single" w:color="auto"/>
          <w:color w:val="auto"/>
        </w:rPr>
        <w:t>Section 3.03</w:t>
      </w:r>
      <w:r>
        <w:rPr>
          <w:rFonts w:ascii="Arial" w:cs="Arial" w:eastAsia="Arial" w:hAnsi="Arial"/>
          <w:sz w:val="17"/>
          <w:szCs w:val="17"/>
          <w:color w:val="auto"/>
        </w:rPr>
        <w:t>, a percentage equal to fifty percent (50%).</w:t>
      </w:r>
    </w:p>
    <w:p>
      <w:pPr>
        <w:spacing w:after="0" w:line="14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Standard Mixed Election</w:t>
      </w:r>
      <w:r>
        <w:rPr>
          <w:rFonts w:ascii="Arial" w:cs="Arial" w:eastAsia="Arial" w:hAnsi="Arial"/>
          <w:sz w:val="18"/>
          <w:szCs w:val="18"/>
          <w:color w:val="auto"/>
        </w:rPr>
        <w:t>” means, with respect to any Pre-Closing Holder, an election by such holder to receive the following, as it may be adjusted pursuant to Section 3.02(b) (the “</w:t>
      </w:r>
      <w:r>
        <w:rPr>
          <w:rFonts w:ascii="Arial" w:cs="Arial" w:eastAsia="Arial" w:hAnsi="Arial"/>
          <w:sz w:val="18"/>
          <w:szCs w:val="18"/>
          <w:u w:val="single" w:color="auto"/>
          <w:color w:val="auto"/>
        </w:rPr>
        <w:t>Stockholder Standard Mixed Election Consideration</w:t>
      </w:r>
      <w:r>
        <w:rPr>
          <w:rFonts w:ascii="Arial" w:cs="Arial" w:eastAsia="Arial" w:hAnsi="Arial"/>
          <w:sz w:val="18"/>
          <w:szCs w:val="18"/>
          <w:color w:val="auto"/>
        </w:rPr>
        <w:t>”): (A) a number of shares of Acquiror Common Stock equal to (1) the Exchange Ratio multiplied by (2) the difference obtained by subtracting the Stockholder Standard Mixed Election Percentage from one (1), and (B) cash in an amount equal to (1) the Per Share Merger Consideration, multiplied by (2) the Stockholder Standard Mixed Election Percentage.</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Standard Mixed Election Percentage</w:t>
      </w:r>
      <w:r>
        <w:rPr>
          <w:rFonts w:ascii="Arial" w:cs="Arial" w:eastAsia="Arial" w:hAnsi="Arial"/>
          <w:sz w:val="18"/>
          <w:szCs w:val="18"/>
          <w:color w:val="auto"/>
        </w:rPr>
        <w:t>” means, with respect to any Pre-Closing Holder that has properly made and not revoked or lost a Stockholder Standard Mixed Election in accordance with Section 3.03, equal to an amount, expressed as a percentage, (I) the numerator of which is the Closing Cash Consideration and (II) the denominator of which is equal to the sum of (a) the Closing Cash Consideration plus (b) the result of multiplying (i) the Closing Share Consideration by (ii) $10.00.</w:t>
      </w:r>
    </w:p>
    <w:p>
      <w:pPr>
        <w:spacing w:after="0" w:line="187"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any corporation or other organization (including a limited liability company or a partnership),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Surrender Documentation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Provisions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federal, state, provincial, territorial, local, foreign or other net income, alternative or add-on minimum, franchise, gross income, adjusted gross income or gross receipts, employment related (including employee withholding or employer payroll), ad valorem, transfer, franchise, license, excise, severance, stamp, occupation, premium, personal property, real property, capital stock, profits, disability, registration, value added, estimated, customs duties, sales or use, or other tax or like assessment or charge in the nature of a tax, together with any interest, penalty, addition to tax or additional amount imposed with respect thereto by a Governmental Authority, whether as a primary obligor or as a secondary obligor as a result of being a transferee or successor of another Person or member of an affiliated, consolidated, unitary, combined or other group, or pursuant to Law.</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80"/>
          </w:cols>
          <w:pgMar w:left="320" w:top="459" w:right="49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statement, refund, claim, declaration, information return, statement, estimate or other document filed or required to be filed with a Governmental Authority in respect of Taxes, including any schedule or attachment thereto and including any amendments thereof.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Acquiror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Company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Pre-Closing Holder Consideration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Registration Rights Agreement, the Company Holders Support Agreement, the Sponsor Support Agreement, the Subscription Agreements, the HEC Forward Purchase Agreement, the Exchange Agent Agreement, each Letter of Transmittal, the Acquiror Charter, the Acquiror Bylaws, and all the other agreements, documents, instruments and certificates entered into in connection herewith and/or therewith and any and all exhibits and schedules thereto.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this Agreement, including the Mergers.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Acquiror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3.06(e)</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a Company Option, or portion thereof, to the extent such Company Option (or applicable portion thereof) is outstanding and not vested as of immediately prior to the First Effective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Acquiror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Company Option</w:t>
      </w:r>
      <w:r>
        <w:rPr>
          <w:rFonts w:ascii="Arial" w:cs="Arial" w:eastAsia="Arial" w:hAnsi="Arial"/>
          <w:sz w:val="16"/>
          <w:szCs w:val="16"/>
          <w:color w:val="auto"/>
        </w:rPr>
        <w:t>” means a Company Option, or portion thereof, to the extent such Company Option (or applicable portion thereof) is vested and outstanding as of immediately prior to the First Effective Time (after taking into consideration any accelerated vesting that is required to occur as a result of the Transactions pursuant to the terms of the applicable award agreement that has not otherwise been waived by the holder thereof).</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Waived 280G Benefits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certain Warrant Agreement, dated June 8, 2020, by and between Acquiror and Continental Stock Transfer &amp; Trust Company, as warrant agent.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77" w:lineRule="auto"/>
        <w:tabs>
          <w:tab w:leader="none" w:pos="122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(i) words of any gender include each other gender, (ii) words using the singular or plural number also include the plural or singular number,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00"/>
          </w:cols>
          <w:pgMar w:left="320" w:top="459" w:right="47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respectively, (iii) the terms “hereof,” “herein,” “hereby,” “hereto” and derivative or similar words refer to this entire Agreement, (iv) the terms “Article”, “Section”, “Disclosure Letter”, “Exhibit” and “Annex” refer to the specified Article, Section, Disclosure Letter, Exhibit or Annex of or to this Agreement unless otherwise specified, (v) the word “including” shall mean “including without limitation,” (vi) the word “or” shall be disjunctive but not exclusive, (vii) the phrase “to the extent” means the degree to which a thing extends (rather than if), and (viii) references to “$” or dollar shall be references to United States dollars.</w:t>
      </w:r>
    </w:p>
    <w:p>
      <w:pPr>
        <w:spacing w:after="0" w:line="80" w:lineRule="exact"/>
        <w:rPr>
          <w:sz w:val="20"/>
          <w:szCs w:val="20"/>
          <w:color w:val="auto"/>
        </w:rPr>
      </w:pPr>
    </w:p>
    <w:p>
      <w:pPr>
        <w:ind w:left="560" w:right="220" w:firstLine="419"/>
        <w:spacing w:after="0" w:line="263" w:lineRule="auto"/>
        <w:tabs>
          <w:tab w:leader="none" w:pos="123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When used herein, “ordinary course of business” means an action taken, or omitted to be taken, in the ordinary and usual course of the Company’s and its Subsidiaries’ business, consistent with past practice (including, for the avoidance of doubt, recent past practice in light of COVID-19).</w:t>
      </w:r>
    </w:p>
    <w:p>
      <w:pPr>
        <w:spacing w:after="0" w:line="75" w:lineRule="exact"/>
        <w:rPr>
          <w:rFonts w:ascii="Arial" w:cs="Arial" w:eastAsia="Arial" w:hAnsi="Arial"/>
          <w:sz w:val="18"/>
          <w:szCs w:val="18"/>
          <w:color w:val="auto"/>
        </w:rPr>
      </w:pPr>
    </w:p>
    <w:p>
      <w:pPr>
        <w:ind w:left="560" w:right="260" w:firstLine="419"/>
        <w:spacing w:after="0" w:line="277" w:lineRule="auto"/>
        <w:tabs>
          <w:tab w:leader="none" w:pos="122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references to agreements and other documents shall be deemed to include all subsequent amendments and other modifications thereto.</w:t>
      </w:r>
    </w:p>
    <w:p>
      <w:pPr>
        <w:spacing w:after="0" w:line="62" w:lineRule="exact"/>
        <w:rPr>
          <w:rFonts w:ascii="Arial" w:cs="Arial" w:eastAsia="Arial" w:hAnsi="Arial"/>
          <w:sz w:val="18"/>
          <w:szCs w:val="18"/>
          <w:color w:val="auto"/>
        </w:rPr>
      </w:pPr>
    </w:p>
    <w:p>
      <w:pPr>
        <w:ind w:left="560" w:right="160" w:firstLine="419"/>
        <w:spacing w:after="0" w:line="263" w:lineRule="auto"/>
        <w:tabs>
          <w:tab w:leader="none" w:pos="123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75" w:lineRule="exact"/>
        <w:rPr>
          <w:rFonts w:ascii="Arial" w:cs="Arial" w:eastAsia="Arial" w:hAnsi="Arial"/>
          <w:sz w:val="18"/>
          <w:szCs w:val="18"/>
          <w:color w:val="auto"/>
        </w:rPr>
      </w:pPr>
    </w:p>
    <w:p>
      <w:pPr>
        <w:ind w:left="560" w:right="100" w:firstLine="419"/>
        <w:spacing w:after="0" w:line="277" w:lineRule="auto"/>
        <w:tabs>
          <w:tab w:leader="none" w:pos="122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and no rule of strict construction shall be applied against any Party.</w:t>
      </w:r>
    </w:p>
    <w:p>
      <w:pPr>
        <w:spacing w:after="0" w:line="62" w:lineRule="exact"/>
        <w:rPr>
          <w:rFonts w:ascii="Arial" w:cs="Arial" w:eastAsia="Arial" w:hAnsi="Arial"/>
          <w:sz w:val="18"/>
          <w:szCs w:val="18"/>
          <w:color w:val="auto"/>
        </w:rPr>
      </w:pPr>
    </w:p>
    <w:p>
      <w:pPr>
        <w:ind w:left="560" w:right="60" w:firstLine="419"/>
        <w:spacing w:after="0" w:line="263" w:lineRule="auto"/>
        <w:tabs>
          <w:tab w:leader="none" w:pos="120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GAAP.</w:t>
      </w:r>
    </w:p>
    <w:p>
      <w:pPr>
        <w:spacing w:after="0" w:line="117" w:lineRule="exact"/>
        <w:rPr>
          <w:rFonts w:ascii="Arial" w:cs="Arial" w:eastAsia="Arial" w:hAnsi="Arial"/>
          <w:sz w:val="18"/>
          <w:szCs w:val="18"/>
          <w:color w:val="auto"/>
        </w:rPr>
      </w:pPr>
    </w:p>
    <w:p>
      <w:pPr>
        <w:ind w:left="560" w:right="160" w:firstLine="419"/>
        <w:spacing w:after="0" w:line="257" w:lineRule="auto"/>
        <w:tabs>
          <w:tab w:leader="none" w:pos="123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phrases “provided to,” “furnished to,” “made available” and phrases of similar import when used herein, unless the context otherwise requires, means that a copy of the information or material referred to has been provided no later than 9:00 a.m. on the day that is immediately prior to the date of this Agreement to the Party to which such information or material is to be provided or furnished (i) in the virtual “data room” set up by the Company in connection with this Agreement or (ii) by delivery to such Party or its legal counsel via electronic mail or hard copy form.</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As used herein, the phrase “to the knowledge” shall mean the actual knowledge of, in the case of the Company, the individuals identified on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Company Disclosure Letter, none of whom shall have any personal liability or obligations regarding such knowledge, and, in the case of any or all of the Acquiror Parties, the individuals identified on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Acquiror Disclosure Letter, none of whom shall have any personal liability or obligations regarding such knowledge.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Equitable Adjustments</w:t>
      </w:r>
      <w:r>
        <w:rPr>
          <w:rFonts w:ascii="Arial" w:cs="Arial" w:eastAsia="Arial" w:hAnsi="Arial"/>
          <w:sz w:val="17"/>
          <w:szCs w:val="17"/>
          <w:color w:val="auto"/>
        </w:rPr>
        <w:t xml:space="preserve">. If, between the date of this Agreement and the Closing, the outstanding shares of Company Common Stock, shares of Company Preferred Stock or shares of Acquiror Capital Stock shall have been changed into a different number of shares or a different class, by reason of any stock dividend, subdivision, reclassification, reorganization, recapitalization, split, combination or exchange of shares, or any similar event shall have occurred, or if there shall have been any breach by Acquiror with respect to its shares of Acquiror Capital Stock or rights to acquire Acquiror Capital Stock, then any number, value (including dollar value) or amount contained herein which is based upon the number of shares of Company Common Stock, shares of Company Preferred Stock or shares of Acquiror Capital Stock, as applicable, will be appropriately adjusted to provide to the holders of Company Common Stock, the holders of Company Preferred Stock or the holders of Acquiror Capital Stock, as applicable, the same economic effect as contemplated by this Agreement prior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shall not be construed to permit Acquiror, the Company, First Merger Sub or Second Merger Sub to take any action with respect to their respective securities that is prohibited by the terms and conditions of this Agreement and/or any other Transaction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40"/>
          </w:cols>
          <w:pgMar w:left="320" w:top="459" w:right="43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Mergers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5" w:lineRule="auto"/>
        <w:tabs>
          <w:tab w:leader="none" w:pos="122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At the First Effective Time, on the terms and subject to the conditions set forth herein and in accordance with the applicable provisions of the DGCL, First Merger Sub and the Company shall consummate the First Merger, pursuant to which First Merger Sub shall be merged with and into the Company, following which the separate corporate existence of First Merger Sub shall cease and the Company shall continue as the Surviving Corporation after the First Merger and as a direct, wholly owned subsidiary of Acquiror (provided that references to the Company for periods after the First Effective Time until the Second Effective Time shall include the Surviving Corporation).</w:t>
      </w:r>
    </w:p>
    <w:p>
      <w:pPr>
        <w:spacing w:after="0" w:line="68" w:lineRule="exact"/>
        <w:rPr>
          <w:rFonts w:ascii="Arial" w:cs="Arial" w:eastAsia="Arial" w:hAnsi="Arial"/>
          <w:sz w:val="17"/>
          <w:szCs w:val="17"/>
          <w:color w:val="auto"/>
        </w:rPr>
      </w:pPr>
    </w:p>
    <w:p>
      <w:pPr>
        <w:ind w:left="560" w:right="180" w:firstLine="419"/>
        <w:spacing w:after="0" w:line="257" w:lineRule="auto"/>
        <w:tabs>
          <w:tab w:leader="none" w:pos="123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At the Second Effective Time, on the terms and subject to the conditions set forth herein and in accordance with the applicable provisions of the DGCL and the DLLCA, the Surviving Corporation shall be merged with and into Second Merger Sub, following which the separate corporate existence of the Surviving Corporation shall cease and Second Merger Sub shall continue as the Surviving Entity after the Second Merger and as a direct, wholly owned subsidiary of Acquiror (provided that references to the Company or the Surviving Corporation for periods after the Second Effective Time shall include the Surviving Entity).</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Effective Times</w:t>
      </w:r>
      <w:r>
        <w:rPr>
          <w:rFonts w:ascii="Arial" w:cs="Arial" w:eastAsia="Arial" w:hAnsi="Arial"/>
          <w:sz w:val="17"/>
          <w:szCs w:val="17"/>
          <w:color w:val="auto"/>
        </w:rPr>
        <w:t xml:space="preserve">. On the terms and subject to the conditions set forth herein, on the Closing Date, the Company and First Merger Sub shall cause the First Merger to be consummated by filing the certificate of merger in substantially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the Secretary of State of the State of Delaware in accordance with the applicable provisions of the DGCL (the time of such filing, or such later time as may be agreed in writing by the Company and Acquiror and specified in the First Certificate of Merger, being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As soon as practicable following the First Effective Time and in any case on the same day as the First Effective Time, the Surviving Corporation and Second Merger Sub shall cause the Second Merger to be consummated by filing the certificate of merger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Second Certificate of Merger</w:t>
      </w:r>
      <w:r>
        <w:rPr>
          <w:rFonts w:ascii="Arial" w:cs="Arial" w:eastAsia="Arial" w:hAnsi="Arial"/>
          <w:sz w:val="17"/>
          <w:szCs w:val="17"/>
          <w:color w:val="auto"/>
        </w:rPr>
        <w:t>”) with the Secretary of State of the State of Delaware, in accordance with the applicable provisions of the DGCL and DLLCA (the time of such filing, or such later time as may be agreed in writing by the Company and Acquiror and specified in the Second Certificate of Merger, being the “</w:t>
      </w:r>
      <w:r>
        <w:rPr>
          <w:rFonts w:ascii="Arial" w:cs="Arial" w:eastAsia="Arial" w:hAnsi="Arial"/>
          <w:sz w:val="17"/>
          <w:szCs w:val="17"/>
          <w:u w:val="single" w:color="auto"/>
          <w:color w:val="auto"/>
        </w:rPr>
        <w:t>Second Effective Time</w:t>
      </w:r>
      <w:r>
        <w:rPr>
          <w:rFonts w:ascii="Arial" w:cs="Arial" w:eastAsia="Arial" w:hAnsi="Arial"/>
          <w:sz w:val="17"/>
          <w:szCs w:val="17"/>
          <w:color w:val="auto"/>
        </w:rPr>
        <w:t>”). Concurrently with the Second Effective Time, Acquiror shall pay or cause to be paid by wire transfer of immediately available funds, (i) all Acquiror Transaction Expenses as set forth on the Acquiror Closing Statement; and (ii) all Company Transaction Expenses as set forth on the Company Closing Statement.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 of the Mergers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3" w:lineRule="auto"/>
        <w:tabs>
          <w:tab w:leader="none" w:pos="122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At the First Effective Time, the effect of the First Merger shall be as provided in this Agreement, the First Certificate of Merger and the applicable provisions of the DGCL. Without limiting the generality of the foregoing, and subject thereto, at the First Effective Time, all the property, rights, privileges, agreements, powers and franchises, debts, liabilities, duties and obligations of First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First Merger Sub and the Company set forth in this Agreement to be performed after the First Effective Time.</w:t>
      </w:r>
    </w:p>
    <w:p>
      <w:pPr>
        <w:spacing w:after="0" w:line="69" w:lineRule="exact"/>
        <w:rPr>
          <w:rFonts w:ascii="Arial" w:cs="Arial" w:eastAsia="Arial" w:hAnsi="Arial"/>
          <w:sz w:val="17"/>
          <w:szCs w:val="17"/>
          <w:color w:val="auto"/>
        </w:rPr>
      </w:pPr>
    </w:p>
    <w:p>
      <w:pPr>
        <w:ind w:left="560" w:right="120" w:firstLine="419"/>
        <w:spacing w:after="0" w:line="257" w:lineRule="auto"/>
        <w:tabs>
          <w:tab w:leader="none" w:pos="123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At the Second Effective Time, the effect of the Second Merger shall be as provided in this Agreement, the Second Certificate of Merger and the applicable provisions of the DGCL and the DLLCA. Without limiting the generality of the foregoing, and subject thereto, at the Second Effective Time, all the property, rights, privileges, agreements, powers and franchises, debts, liabilities, duties and obligations of Second Merger Sub and the Surviving Corporation shall become the property, rights, privileges, agreements, powers and franchises, debts, liabilities, duties and obligations of the Surviving Entity, which shall include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the assumption by the Surviving Entity of any and all agreements, covenants, duties and obligations of Second Merger Sub and the Surviving Corporation set forth in this Agreement to be performed after the Second Effective Time.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at the First Effective Time, the Governing Documents of the Surviving Corporation shall be amended to read the same as the Governing Documents of First Merger Sub as in effect immediately prior to the First Effective Time, except that the name of the Surviving Corporation shall be “Groop Internet Platform, Inc.” Subject to </w:t>
      </w:r>
      <w:r>
        <w:rPr>
          <w:rFonts w:ascii="Arial" w:cs="Arial" w:eastAsia="Arial" w:hAnsi="Arial"/>
          <w:sz w:val="18"/>
          <w:szCs w:val="18"/>
          <w:u w:val="single" w:color="auto"/>
          <w:color w:val="auto"/>
        </w:rPr>
        <w:t>Section 8.02</w:t>
      </w:r>
      <w:r>
        <w:rPr>
          <w:rFonts w:ascii="Arial" w:cs="Arial" w:eastAsia="Arial" w:hAnsi="Arial"/>
          <w:sz w:val="18"/>
          <w:szCs w:val="18"/>
          <w:color w:val="auto"/>
        </w:rPr>
        <w:t>, at the Second Effective Time, the certificate of formation and operating agreement of Second Merger Sub shall be the certificate of formation and operating agreement of the Surviving Entity until thereafter amended in accordance with its terms and as provided by applicable Law, except that the name of the Surviving Entity shall be “Talkspace, LLC”.</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Directors/Managers and Officers of the Surviving Corporation and the Surviving Entity</w:t>
      </w:r>
      <w:r>
        <w:rPr>
          <w:rFonts w:ascii="Arial" w:cs="Arial" w:eastAsia="Arial" w:hAnsi="Arial"/>
          <w:sz w:val="18"/>
          <w:szCs w:val="18"/>
          <w:color w:val="auto"/>
        </w:rPr>
        <w:t>. Immediately after the First Effective Time, the board of directors and officers of the Surviving Corporation shall be as the Company may determine. Immediately after the Second Effective Time, the board of managers and officers of the Surviving Entity shall be as the Company may determine (it being understood that such managers and officers will be employees of the Company and its Subsidiaries).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TOTAL PRE-CLOSING HOLDER CONSIDERATION; CONVERSION OF SECURITIES;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MERGER CONSIDERATION</w:t>
      </w:r>
    </w:p>
    <w:p>
      <w:pPr>
        <w:spacing w:after="0" w:line="21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Total Pre-Closing Holder Consideration</w:t>
      </w:r>
      <w:r>
        <w:rPr>
          <w:rFonts w:ascii="Arial" w:cs="Arial" w:eastAsia="Arial" w:hAnsi="Arial"/>
          <w:sz w:val="18"/>
          <w:szCs w:val="18"/>
          <w:color w:val="auto"/>
        </w:rPr>
        <w:t>. The aggregate consideration to be paid to the Pre-Closing Holders in respect of shares of Company Stock held immediately prior to the First Merger shall consist of (i) the Closing Cash Consideration, less the aggregate cash amount payable in respect of Vested Company Options and (ii) the Closing Share Consideration, less the aggregate number of shares of Acquiror Common Stock underlying Vested Acquiror Options and Unvested Acquiror Options on a net exercise basis, in each case as set forth herein (collectively,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Pre-Closing Holder Consideration</w:t>
      </w:r>
      <w:r>
        <w:rPr>
          <w:rFonts w:ascii="Arial" w:cs="Arial" w:eastAsia="Arial" w:hAnsi="Arial"/>
          <w:sz w:val="18"/>
          <w:szCs w:val="18"/>
          <w:color w:val="auto"/>
        </w:rPr>
        <w:t>”).</w:t>
      </w:r>
    </w:p>
    <w:p>
      <w:pPr>
        <w:spacing w:after="0" w:line="188"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Effect of First Merger on Company Stock</w:t>
      </w:r>
      <w:r>
        <w:rPr>
          <w:rFonts w:ascii="Arial" w:cs="Arial" w:eastAsia="Arial" w:hAnsi="Arial"/>
          <w:sz w:val="16"/>
          <w:szCs w:val="16"/>
          <w:color w:val="auto"/>
        </w:rPr>
        <w:t>. On the terms and subject to the conditions set forth herein, at the First Effective Time, by virtue of the First Merger and without any further action on the part of any Party or the holders of any securities of Acquiror, the following shall occur:</w:t>
      </w:r>
    </w:p>
    <w:p>
      <w:pPr>
        <w:spacing w:after="0" w:line="16" w:lineRule="exact"/>
        <w:rPr>
          <w:sz w:val="20"/>
          <w:szCs w:val="20"/>
          <w:color w:val="auto"/>
        </w:rPr>
      </w:pPr>
    </w:p>
    <w:p>
      <w:pPr>
        <w:ind w:left="560" w:firstLine="419"/>
        <w:spacing w:after="0" w:line="255" w:lineRule="auto"/>
        <w:tabs>
          <w:tab w:leader="none" w:pos="122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Each share of Company Stock issued and outstanding immediately prior to the First Effective Time (other than, for the avoidance of doubt, any shares of Company Stock (i) that are subject to Company Options, which shall be subject to </w:t>
      </w:r>
      <w:r>
        <w:rPr>
          <w:rFonts w:ascii="Arial" w:cs="Arial" w:eastAsia="Arial" w:hAnsi="Arial"/>
          <w:sz w:val="18"/>
          <w:szCs w:val="18"/>
          <w:u w:val="single" w:color="auto"/>
          <w:color w:val="auto"/>
        </w:rPr>
        <w:t>Section 3.06</w:t>
      </w:r>
      <w:r>
        <w:rPr>
          <w:rFonts w:ascii="Arial" w:cs="Arial" w:eastAsia="Arial" w:hAnsi="Arial"/>
          <w:sz w:val="18"/>
          <w:szCs w:val="18"/>
          <w:color w:val="auto"/>
        </w:rPr>
        <w:t>, (ii) held in the Company’s treasury or owned by Acquiror, First Merger Sub, Second Merger Sub or the Company immediately prior to the First Effective Time and (iii) held by stockholders of the Company who have perfected and not withdrawn a demand for appraisal rights pursuant to the applicable provisions of the DGCL (clauses (i), (ii) and (iii), collectively, the “</w:t>
      </w:r>
      <w:r>
        <w:rPr>
          <w:rFonts w:ascii="Arial" w:cs="Arial" w:eastAsia="Arial" w:hAnsi="Arial"/>
          <w:sz w:val="18"/>
          <w:szCs w:val="18"/>
          <w:u w:val="single" w:color="auto"/>
          <w:color w:val="auto"/>
        </w:rPr>
        <w:t>Excluded Shares</w:t>
      </w:r>
      <w:r>
        <w:rPr>
          <w:rFonts w:ascii="Arial" w:cs="Arial" w:eastAsia="Arial" w:hAnsi="Arial"/>
          <w:sz w:val="18"/>
          <w:szCs w:val="18"/>
          <w:color w:val="auto"/>
        </w:rPr>
        <w:t xml:space="preserve">”)) will be cancelled and automatically deemed for all purposes to represent the right to receive, subject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100" w:right="180" w:firstLine="408"/>
        <w:spacing w:after="0" w:line="277" w:lineRule="auto"/>
        <w:tabs>
          <w:tab w:leader="none" w:pos="171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 xml:space="preserve">in the case of a share of Company Stock with respect to which a Stock Election has been properly made and not revoked or lost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Stock Electing Share</w:t>
      </w:r>
      <w:r>
        <w:rPr>
          <w:rFonts w:ascii="Arial" w:cs="Arial" w:eastAsia="Arial" w:hAnsi="Arial"/>
          <w:sz w:val="18"/>
          <w:szCs w:val="18"/>
          <w:color w:val="auto"/>
        </w:rPr>
        <w:t>”), the Stock Election Consideration;</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76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in the case of a share of Company Stock with respect to which a Stockholder Standard Mixed Election has been properly made and not revoked or lost pursuant to Section 3.03 or with respect to which no election has been made (each, a “</w:t>
      </w:r>
      <w:r>
        <w:rPr>
          <w:rFonts w:ascii="Arial" w:cs="Arial" w:eastAsia="Arial" w:hAnsi="Arial"/>
          <w:sz w:val="18"/>
          <w:szCs w:val="18"/>
          <w:u w:val="single" w:color="auto"/>
          <w:color w:val="auto"/>
        </w:rPr>
        <w:t>Standard Mixed Electing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color w:val="auto"/>
        </w:rPr>
        <w:t>”), the Stockholder Standard Mixed Election Consideration; and</w:t>
      </w:r>
    </w:p>
    <w:p>
      <w:pPr>
        <w:spacing w:after="0" w:line="75" w:lineRule="exact"/>
        <w:rPr>
          <w:rFonts w:ascii="Arial" w:cs="Arial" w:eastAsia="Arial" w:hAnsi="Arial"/>
          <w:sz w:val="18"/>
          <w:szCs w:val="18"/>
          <w:color w:val="auto"/>
        </w:rPr>
      </w:pPr>
    </w:p>
    <w:p>
      <w:pPr>
        <w:jc w:val="both"/>
        <w:ind w:left="1100" w:right="120" w:firstLine="408"/>
        <w:spacing w:after="0" w:line="263" w:lineRule="auto"/>
        <w:tabs>
          <w:tab w:leader="none" w:pos="181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in the case of a share of Company Stock with respect to which a Stockholder Cash Weighted Mixed Election has been properly made and not revoked or lost pursuant to Section 3.03 (each, a “</w:t>
      </w:r>
      <w:r>
        <w:rPr>
          <w:rFonts w:ascii="Arial" w:cs="Arial" w:eastAsia="Arial" w:hAnsi="Arial"/>
          <w:sz w:val="18"/>
          <w:szCs w:val="18"/>
          <w:u w:val="single" w:color="auto"/>
          <w:color w:val="auto"/>
        </w:rPr>
        <w:t>Cash Weighted Mixed Electing Share</w:t>
      </w:r>
      <w:r>
        <w:rPr>
          <w:rFonts w:ascii="Arial" w:cs="Arial" w:eastAsia="Arial" w:hAnsi="Arial"/>
          <w:sz w:val="18"/>
          <w:szCs w:val="18"/>
          <w:color w:val="auto"/>
        </w:rPr>
        <w:t>”), the Stockholder Cash Weighted Mixed Election Consideration.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80"/>
          </w:cols>
          <w:pgMar w:left="320" w:top="459" w:right="49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firstLine="419"/>
        <w:spacing w:after="0" w:line="263" w:lineRule="auto"/>
        <w:tabs>
          <w:tab w:leader="none" w:pos="123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in this Agreement, the Stock Election Consideration and the Cash Weighted Mixed Election Consideration, together with the Assumed Vested Company Option Election Consideration and the Optionholder Cash Weighted Mixed Election Consideration, shall be subject to adjustment pursuant to this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00" w:right="360" w:firstLine="408"/>
        <w:spacing w:after="0" w:line="277" w:lineRule="auto"/>
        <w:tabs>
          <w:tab w:leader="none" w:pos="171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If the Cash Election Amount exceeds the Closing Cash Consideration (the amount of such excess, the “</w:t>
      </w:r>
      <w:r>
        <w:rPr>
          <w:rFonts w:ascii="Arial" w:cs="Arial" w:eastAsia="Arial" w:hAnsi="Arial"/>
          <w:sz w:val="18"/>
          <w:szCs w:val="18"/>
          <w:u w:val="single" w:color="auto"/>
          <w:color w:val="auto"/>
        </w:rPr>
        <w:t>Cash Election Excess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62" w:lineRule="exact"/>
        <w:rPr>
          <w:rFonts w:ascii="Arial" w:cs="Arial" w:eastAsia="Arial" w:hAnsi="Arial"/>
          <w:sz w:val="18"/>
          <w:szCs w:val="18"/>
          <w:color w:val="auto"/>
        </w:rPr>
      </w:pPr>
    </w:p>
    <w:p>
      <w:pPr>
        <w:ind w:left="1540" w:right="500" w:firstLine="391"/>
        <w:spacing w:after="0" w:line="277" w:lineRule="auto"/>
        <w:tabs>
          <w:tab w:leader="none" w:pos="2218"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all Cash Weighted Mixed Electing Shares shall be converted into the right to receive the Adjusted Stockholder Cash Weighted Mixed Election Consideration; and</w:t>
      </w:r>
    </w:p>
    <w:p>
      <w:pPr>
        <w:spacing w:after="0" w:line="62" w:lineRule="exact"/>
        <w:rPr>
          <w:rFonts w:ascii="Arial" w:cs="Arial" w:eastAsia="Arial" w:hAnsi="Arial"/>
          <w:sz w:val="18"/>
          <w:szCs w:val="18"/>
          <w:color w:val="auto"/>
        </w:rPr>
      </w:pPr>
    </w:p>
    <w:p>
      <w:pPr>
        <w:ind w:left="1540" w:right="560" w:firstLine="391"/>
        <w:spacing w:after="0" w:line="277" w:lineRule="auto"/>
        <w:tabs>
          <w:tab w:leader="none" w:pos="2208"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all Cash Weighted Mixed Electing Options shall receive the Adjusted Optionholder Cash Weighted Mixed Election Consideration.</w:t>
      </w:r>
    </w:p>
    <w:p>
      <w:pPr>
        <w:spacing w:after="0" w:line="62" w:lineRule="exact"/>
        <w:rPr>
          <w:rFonts w:ascii="Arial" w:cs="Arial" w:eastAsia="Arial" w:hAnsi="Arial"/>
          <w:sz w:val="18"/>
          <w:szCs w:val="18"/>
          <w:color w:val="auto"/>
        </w:rPr>
      </w:pPr>
    </w:p>
    <w:p>
      <w:pPr>
        <w:ind w:left="1100" w:right="240" w:firstLine="408"/>
        <w:spacing w:after="0" w:line="277" w:lineRule="auto"/>
        <w:tabs>
          <w:tab w:leader="none" w:pos="176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If the Closing Cash Consideration exceeds the Cash Election Amount (the amount of such excess, the “</w:t>
      </w:r>
      <w:r>
        <w:rPr>
          <w:rFonts w:ascii="Arial" w:cs="Arial" w:eastAsia="Arial" w:hAnsi="Arial"/>
          <w:sz w:val="18"/>
          <w:szCs w:val="18"/>
          <w:u w:val="single" w:color="auto"/>
          <w:color w:val="auto"/>
        </w:rPr>
        <w:t>Available Cash Excess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62" w:lineRule="exact"/>
        <w:rPr>
          <w:rFonts w:ascii="Arial" w:cs="Arial" w:eastAsia="Arial" w:hAnsi="Arial"/>
          <w:sz w:val="18"/>
          <w:szCs w:val="18"/>
          <w:color w:val="auto"/>
        </w:rPr>
      </w:pPr>
    </w:p>
    <w:p>
      <w:pPr>
        <w:ind w:left="2220" w:hanging="289"/>
        <w:spacing w:after="0"/>
        <w:tabs>
          <w:tab w:leader="none" w:pos="222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all Stock Electing Shares shall be converted into the right to receive the Adjusted Stock Election Consideration; and</w:t>
      </w:r>
    </w:p>
    <w:p>
      <w:pPr>
        <w:spacing w:after="0" w:line="128" w:lineRule="exact"/>
        <w:rPr>
          <w:rFonts w:ascii="Arial" w:cs="Arial" w:eastAsia="Arial" w:hAnsi="Arial"/>
          <w:sz w:val="17"/>
          <w:szCs w:val="17"/>
          <w:color w:val="auto"/>
        </w:rPr>
      </w:pPr>
    </w:p>
    <w:p>
      <w:pPr>
        <w:ind w:left="2220" w:hanging="289"/>
        <w:spacing w:after="0"/>
        <w:tabs>
          <w:tab w:leader="none" w:pos="2220" w:val="left"/>
        </w:tabs>
        <w:numPr>
          <w:ilvl w:val="2"/>
          <w:numId w:val="323"/>
        </w:numPr>
        <w:rPr>
          <w:rFonts w:ascii="Arial" w:cs="Arial" w:eastAsia="Arial" w:hAnsi="Arial"/>
          <w:sz w:val="17"/>
          <w:szCs w:val="17"/>
          <w:color w:val="auto"/>
        </w:rPr>
      </w:pPr>
      <w:r>
        <w:rPr>
          <w:rFonts w:ascii="Arial" w:cs="Arial" w:eastAsia="Arial" w:hAnsi="Arial"/>
          <w:sz w:val="17"/>
          <w:szCs w:val="17"/>
          <w:color w:val="auto"/>
        </w:rPr>
        <w:t>all Assumed Electing Options shall receive the Adjusted Assumed Vested Company Option Election Consideration.</w:t>
      </w:r>
    </w:p>
    <w:p>
      <w:pPr>
        <w:spacing w:after="0" w:line="128" w:lineRule="exact"/>
        <w:rPr>
          <w:rFonts w:ascii="Arial" w:cs="Arial" w:eastAsia="Arial" w:hAnsi="Arial"/>
          <w:sz w:val="17"/>
          <w:szCs w:val="17"/>
          <w:color w:val="auto"/>
        </w:rPr>
      </w:pPr>
    </w:p>
    <w:p>
      <w:pPr>
        <w:ind w:left="1820" w:hanging="312"/>
        <w:spacing w:after="0"/>
        <w:tabs>
          <w:tab w:leader="none" w:pos="182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If the Closing Cash Consideration equals the Cash Election Amount, then there shall be no adjustment pursuant to this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Section 3.02(b).</w:t>
      </w:r>
    </w:p>
    <w:p>
      <w:pPr>
        <w:spacing w:after="0" w:line="103" w:lineRule="exact"/>
        <w:rPr>
          <w:sz w:val="20"/>
          <w:szCs w:val="20"/>
          <w:color w:val="auto"/>
        </w:rPr>
      </w:pPr>
    </w:p>
    <w:p>
      <w:pPr>
        <w:ind w:left="1820" w:hanging="312"/>
        <w:spacing w:after="0"/>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 all Dissenting Shares shall be deemed to be Standard Mixed Electing Shares.</w:t>
      </w:r>
    </w:p>
    <w:p>
      <w:pPr>
        <w:spacing w:after="0" w:line="117" w:lineRule="exact"/>
        <w:rPr>
          <w:rFonts w:ascii="Arial" w:cs="Arial" w:eastAsia="Arial" w:hAnsi="Arial"/>
          <w:sz w:val="18"/>
          <w:szCs w:val="18"/>
          <w:color w:val="auto"/>
        </w:rPr>
      </w:pPr>
    </w:p>
    <w:p>
      <w:pPr>
        <w:ind w:left="560" w:right="80" w:firstLine="419"/>
        <w:spacing w:after="0" w:line="255" w:lineRule="auto"/>
        <w:tabs>
          <w:tab w:leader="none" w:pos="122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From and after the First Effective Time, each of the Pre-Closing Holders shall cease to have any other rights in and to the Company, the Surviving Corporation or the Surviving Entity, and each Certificate relating to the ownership of shares of Company Stock (other than Excluded Shares) shall thereafter represent only the right to receive the applicable portion of the Total Pre-Closing Holder Consideration as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subject to adjustment in accordance with </w:t>
      </w:r>
      <w:r>
        <w:rPr>
          <w:rFonts w:ascii="Arial" w:cs="Arial" w:eastAsia="Arial" w:hAnsi="Arial"/>
          <w:sz w:val="18"/>
          <w:szCs w:val="18"/>
          <w:u w:val="single" w:color="auto"/>
          <w:color w:val="auto"/>
        </w:rPr>
        <w:t>Section 3.02(b)</w:t>
      </w:r>
      <w:r>
        <w:rPr>
          <w:rFonts w:ascii="Arial" w:cs="Arial" w:eastAsia="Arial" w:hAnsi="Arial"/>
          <w:sz w:val="18"/>
          <w:szCs w:val="18"/>
          <w:color w:val="auto"/>
        </w:rPr>
        <w:t>, in accordance with and subject to the terms and conditions of this Agreement. At the First Effective Time, the stock transfer books of the Company shall be closed, and no transfer of the Company Stock shall be made thereafter.</w:t>
      </w:r>
    </w:p>
    <w:p>
      <w:pPr>
        <w:spacing w:after="0" w:line="84"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fraction of a share of Acquiror Common Stock will be issued by virtue of the First Merger, and any such fractional share (after aggregating all fractional shares of Acquiror Common Stock that otherwise would be received by a Pre-Closing Holder) shall be rounded down to the nearest whole share.</w:t>
      </w:r>
    </w:p>
    <w:p>
      <w:pPr>
        <w:spacing w:after="0" w:line="75" w:lineRule="exact"/>
        <w:rPr>
          <w:rFonts w:ascii="Arial" w:cs="Arial" w:eastAsia="Arial" w:hAnsi="Arial"/>
          <w:sz w:val="18"/>
          <w:szCs w:val="18"/>
          <w:color w:val="auto"/>
        </w:rPr>
      </w:pPr>
    </w:p>
    <w:p>
      <w:pPr>
        <w:ind w:left="560" w:right="20" w:firstLine="419"/>
        <w:spacing w:after="0" w:line="275" w:lineRule="auto"/>
        <w:tabs>
          <w:tab w:leader="none" w:pos="122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Each issued and outstanding share of common stock of First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First Effective Time, all certificates representing the common stock of First Merger Sub (if any) shall be deemed for all purposes to represent the number of shares of common stock of the Surviving Corporation into which they were converted in accordance with the immediately preceding sentence.</w:t>
      </w:r>
    </w:p>
    <w:p>
      <w:pPr>
        <w:spacing w:after="0" w:line="68" w:lineRule="exact"/>
        <w:rPr>
          <w:rFonts w:ascii="Arial" w:cs="Arial" w:eastAsia="Arial" w:hAnsi="Arial"/>
          <w:sz w:val="17"/>
          <w:szCs w:val="17"/>
          <w:color w:val="auto"/>
        </w:rPr>
      </w:pPr>
    </w:p>
    <w:p>
      <w:pPr>
        <w:ind w:left="560" w:right="420" w:firstLine="419"/>
        <w:spacing w:after="0" w:line="342" w:lineRule="auto"/>
        <w:tabs>
          <w:tab w:leader="none" w:pos="120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Each share of Company Stock held in the Company’s treasury or owned by Acquiror, First Merger Sub, Second Merger Sub or the Company immediately prior to the First Effective Time shall be cancelled and no consideration shall be paid or payable with respect thereto.</w:t>
      </w:r>
    </w:p>
    <w:p>
      <w:pPr>
        <w:spacing w:after="0" w:line="15" w:lineRule="exact"/>
        <w:rPr>
          <w:rFonts w:ascii="Arial" w:cs="Arial" w:eastAsia="Arial" w:hAnsi="Arial"/>
          <w:sz w:val="16"/>
          <w:szCs w:val="16"/>
          <w:color w:val="auto"/>
        </w:rPr>
      </w:pPr>
    </w:p>
    <w:p>
      <w:pPr>
        <w:ind w:left="560" w:right="220" w:firstLine="419"/>
        <w:spacing w:after="0" w:line="311" w:lineRule="auto"/>
        <w:tabs>
          <w:tab w:leader="none" w:pos="123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The Company acknowledges and agrees that (i) the Total Pre-Closing Holder Consideration is being allocated among the Pre-Closing Holders pursuant to the Allocation Schedule to be delivered to Acquiror in connection with the Company Closing Statement pursuant to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and such allocation (i) will be in accordance with the Governing Documents of the Company (taking into account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80"/>
          </w:cols>
          <w:pgMar w:left="320" w:top="459" w:right="49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 xml:space="preserve">Pre-Closing Restructuring); (ii) will set forth (A) the number and class of Equity Securities owned by each Pre-Closing Holder and (B) the portion of the Total Pre-Closing Holder Consideration allocated to each Pre-Closing Holder (divided into the portion of the Closing Cash Consideration and Closing Share Consideration (as a percentage) payable to such Pre-Closing Holder) after giving effect to such Pre-Closing Holder’s Election in accordance with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as adjusted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(iii) notwithstanding anything in this Agreement to the contrary, in no event shall the consideration payable in connection with the Transactions in respect of all outstanding shares of Company Stock, Vested Company Options and Unvested Company Options exceed (A) an amount in cash equal to the Closing Cash Consideration and (B) a number of shares of Acquiror Common Stock (including shares of Acquiror Common Stock underlying Vested Acquiror Options and Unvested Acquiror Options on a net exercise basis) equal to the Closing Share Consideration (the “</w:t>
      </w:r>
      <w:r>
        <w:rPr>
          <w:rFonts w:ascii="Arial" w:cs="Arial" w:eastAsia="Arial" w:hAnsi="Arial"/>
          <w:sz w:val="16"/>
          <w:szCs w:val="16"/>
          <w:u w:val="single" w:color="auto"/>
          <w:color w:val="auto"/>
        </w:rPr>
        <w:t>Maximum Consideration</w:t>
      </w:r>
      <w:r>
        <w:rPr>
          <w:rFonts w:ascii="Arial" w:cs="Arial" w:eastAsia="Arial" w:hAnsi="Arial"/>
          <w:sz w:val="16"/>
          <w:szCs w:val="16"/>
          <w:color w:val="auto"/>
        </w:rPr>
        <w:t xml:space="preserve">”); and (iv) to the extent the Allocation Schedule provided by the Company provides for aggregate consideration in excess of the Maximum Consideration, the Parties shall work together in good faith to correct such errors prior to the Closing. Notwithstanding anything in this Agreement to the contrary, upon delivery, payment and issuance of the Total Pre-Closing Holder Consideration on the Closing Date in accordance with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and completion of the transactions contemplated with respect to Company Options in </w:t>
      </w:r>
      <w:r>
        <w:rPr>
          <w:rFonts w:ascii="Arial" w:cs="Arial" w:eastAsia="Arial" w:hAnsi="Arial"/>
          <w:sz w:val="16"/>
          <w:szCs w:val="16"/>
          <w:u w:val="single" w:color="auto"/>
          <w:color w:val="auto"/>
        </w:rPr>
        <w:t>Section 3.06</w:t>
      </w:r>
      <w:r>
        <w:rPr>
          <w:rFonts w:ascii="Arial" w:cs="Arial" w:eastAsia="Arial" w:hAnsi="Arial"/>
          <w:sz w:val="16"/>
          <w:szCs w:val="16"/>
          <w:color w:val="auto"/>
        </w:rPr>
        <w:t>, Acquiror and its respective Affiliates shall be deemed to have satisfied all obligations outstanding as of the Closing Date with respect to the payment of the Total Pre-Closing Holder Consideration, and none of them shall have (i) any further obligations to any Pre-Closing Holder with respect to the payment of any consideration under this Agreement (including with respect to the Total Pre-Closing Holder Consideration), or (ii) any liability with respect to the allocation of the consideration under this Agreement, and the Company hereby irrevocably waives and releases Acquiror and its Affiliates (including, on and after the Closing, the Surviving Entity and its Affiliates) from all claims arising from or related to the allocation of the Total Pre-Closing Holder Consideration among each Pre-Closing Holder as set forth in the Allocation Schedule.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9" w:lineRule="auto"/>
        <w:tabs>
          <w:tab w:leader="none" w:pos="1227" w:val="left"/>
        </w:tabs>
        <w:numPr>
          <w:ilvl w:val="1"/>
          <w:numId w:val="326"/>
        </w:numPr>
        <w:rPr>
          <w:rFonts w:ascii="Arial" w:cs="Arial" w:eastAsia="Arial" w:hAnsi="Arial"/>
          <w:sz w:val="18"/>
          <w:szCs w:val="18"/>
          <w:color w:val="auto"/>
        </w:rPr>
      </w:pPr>
      <w:r>
        <w:rPr>
          <w:rFonts w:ascii="Arial" w:cs="Arial" w:eastAsia="Arial" w:hAnsi="Arial"/>
          <w:sz w:val="18"/>
          <w:szCs w:val="18"/>
          <w:u w:val="single" w:color="auto"/>
          <w:color w:val="auto"/>
        </w:rPr>
        <w:t>Deposit with Exchange Agent</w:t>
      </w:r>
      <w:r>
        <w:rPr>
          <w:rFonts w:ascii="Arial" w:cs="Arial" w:eastAsia="Arial" w:hAnsi="Arial"/>
          <w:sz w:val="18"/>
          <w:szCs w:val="18"/>
          <w:color w:val="auto"/>
        </w:rPr>
        <w:t>. Prior to the First Effective Time, Acquiror shall appoint a commercial bank or trust company reasonably acceptable to the Company to act as paying and exchange agent hereunder (the “</w:t>
      </w:r>
      <w:r>
        <w:rPr>
          <w:rFonts w:ascii="Arial" w:cs="Arial" w:eastAsia="Arial" w:hAnsi="Arial"/>
          <w:sz w:val="18"/>
          <w:szCs w:val="18"/>
          <w:u w:val="single" w:color="auto"/>
          <w:color w:val="auto"/>
        </w:rPr>
        <w:t>Exchange Agent</w:t>
      </w:r>
      <w:r>
        <w:rPr>
          <w:rFonts w:ascii="Arial" w:cs="Arial" w:eastAsia="Arial" w:hAnsi="Arial"/>
          <w:sz w:val="18"/>
          <w:szCs w:val="18"/>
          <w:color w:val="auto"/>
        </w:rPr>
        <w:t>”). Immediately prior to the First Effective Time, Acquiror shall deposit with the Exchange Agent (i) the number of shares of Acquiror Common Stock equal to the Closing Share Consideration and (ii) the Closing Cash Consideration.</w:t>
      </w:r>
    </w:p>
    <w:p>
      <w:pPr>
        <w:spacing w:after="0" w:line="78" w:lineRule="exact"/>
        <w:rPr>
          <w:rFonts w:ascii="Arial" w:cs="Arial" w:eastAsia="Arial" w:hAnsi="Arial"/>
          <w:sz w:val="18"/>
          <w:szCs w:val="18"/>
          <w:color w:val="auto"/>
        </w:rPr>
      </w:pPr>
    </w:p>
    <w:p>
      <w:pPr>
        <w:ind w:left="560" w:right="140" w:firstLine="419"/>
        <w:spacing w:after="0" w:line="291" w:lineRule="auto"/>
        <w:tabs>
          <w:tab w:leader="none" w:pos="1238"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Letter of Transmittal; Surrender of Certificates</w:t>
      </w:r>
      <w:r>
        <w:rPr>
          <w:rFonts w:ascii="Arial" w:cs="Arial" w:eastAsia="Arial" w:hAnsi="Arial"/>
          <w:sz w:val="16"/>
          <w:szCs w:val="16"/>
          <w:color w:val="auto"/>
        </w:rPr>
        <w:t>. Promptly after the First Effective Time (and in any event within five (5) Business Days thereafter), the Exchange Agent shall mail to each Pre-Closing Holder (other than holders of Excluded Shares): (i) a Letter of Transmittal; and</w:t>
      </w:r>
    </w:p>
    <w:p>
      <w:pPr>
        <w:ind w:left="560" w:hanging="4"/>
        <w:spacing w:after="0" w:line="281" w:lineRule="auto"/>
        <w:tabs>
          <w:tab w:leader="none" w:pos="82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instructions for surrendering the outstanding certificate or certificates for Company Stock (collectively, the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(or affidavits of loss in lieu of the Certificates as provided in </w:t>
      </w:r>
      <w:r>
        <w:rPr>
          <w:rFonts w:ascii="Arial" w:cs="Arial" w:eastAsia="Arial" w:hAnsi="Arial"/>
          <w:sz w:val="16"/>
          <w:szCs w:val="16"/>
          <w:u w:val="single" w:color="auto"/>
          <w:color w:val="auto"/>
        </w:rPr>
        <w:t>Section 3.03(c)</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Pre-Closing Holder that has delivered its Surrender Documentation with respect to such Pre-Closing Holder’s Certificates to the Exchange Agent at least two (2)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3.03(c)</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Total Pre-Closing Holder Consideration in accordance with the Allocation Schedule, with: (A) any cash portion of the Total Pre-Closing Holder Consideration being delivered via wire transfer of immediately available funds in accordance with instructions provided by such Pre-Closing Holder in the Letter of Transmittal; and (B) the equity portion of the Total Pre-Closing Holder Consideration being delivered via book-entry issuance, in each case, subject to any Tax withholdings as provided in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Pre-Closing Holder’s Certificates at least two</w:t>
      </w:r>
    </w:p>
    <w:p>
      <w:pPr>
        <w:spacing w:after="0" w:line="6" w:lineRule="exact"/>
        <w:rPr>
          <w:rFonts w:ascii="Arial" w:cs="Arial" w:eastAsia="Arial" w:hAnsi="Arial"/>
          <w:sz w:val="16"/>
          <w:szCs w:val="16"/>
          <w:color w:val="auto"/>
        </w:rPr>
      </w:pPr>
    </w:p>
    <w:p>
      <w:pPr>
        <w:ind w:left="560" w:right="60"/>
        <w:spacing w:after="0" w:line="260" w:lineRule="auto"/>
        <w:rPr>
          <w:rFonts w:ascii="Arial" w:cs="Arial" w:eastAsia="Arial" w:hAnsi="Arial"/>
          <w:sz w:val="16"/>
          <w:szCs w:val="16"/>
          <w:color w:val="auto"/>
        </w:rPr>
      </w:pPr>
      <w:r>
        <w:rPr>
          <w:rFonts w:ascii="Arial" w:cs="Arial" w:eastAsia="Arial" w:hAnsi="Arial"/>
          <w:sz w:val="18"/>
          <w:szCs w:val="18"/>
          <w:color w:val="auto"/>
        </w:rPr>
        <w:t>(2) Business Days prior to the Closing Date, the Exchange Agent shall deliver to the holder of such Certificate in exchange therefor such holder’s portion of the Total Pre-Closing Holder Consideration covered by such Surrender Documentation in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accordance with clauses (A) and (B) of this sentence on the Closing Date. The Certificate so surrendered shall forthwith be cancelled. No interest will be paid or accrued on any amount payable upon due surrender of the Certificates. In the event of a transfer of ownership of shares of Company Stock that is not registered in the transfer records of the Company, the applicable portion of the Total Pre-Closing Holder Consideration to be delivered upon due surrender of the Certificate may be issued to such transferee if the Certificate formerly representing such shares of Company Stock is presented to the Exchange Agent, accompanied by all documents required to evidence and effect such transfer and to evidence that any applicable stock Transfer Taxes have been paid or are not applicable.</w:t>
      </w:r>
    </w:p>
    <w:p>
      <w:pPr>
        <w:spacing w:after="0" w:line="70" w:lineRule="exact"/>
        <w:rPr>
          <w:sz w:val="20"/>
          <w:szCs w:val="20"/>
          <w:color w:val="auto"/>
        </w:rPr>
      </w:pPr>
    </w:p>
    <w:p>
      <w:pPr>
        <w:ind w:left="560" w:firstLine="419"/>
        <w:spacing w:after="0" w:line="255" w:lineRule="auto"/>
        <w:tabs>
          <w:tab w:leader="none" w:pos="1227"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In the event any Certificate shall have been lost, stolen or destroyed: (i) upon the making of an affidavit of that fact by the Person claiming such Certificate to be lost, stolen or destroyed; and (ii) if required by Acquiror, the posting by such Person of a bond in customary amount and upon such terms as may reasonably be required by Acquiror as indemnity against any claim that may be made against it, the Surviving Corporation or the Surviving Entity with respect to such Certificate, the Exchange Agent will issue the portion of the Total Pre-Closing Holder Consideration attributable to such Certificate (after giving effect to any required Tax withholdings as provided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560" w:right="20" w:firstLine="419"/>
        <w:spacing w:after="0" w:line="271" w:lineRule="auto"/>
        <w:tabs>
          <w:tab w:leader="none" w:pos="1238"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Elections</w:t>
      </w:r>
      <w:r>
        <w:rPr>
          <w:rFonts w:ascii="Arial" w:cs="Arial" w:eastAsia="Arial" w:hAnsi="Arial"/>
          <w:sz w:val="17"/>
          <w:szCs w:val="17"/>
          <w:color w:val="auto"/>
        </w:rPr>
        <w:t>. Each holder on record of shares of Company Stock (not including the Excluded Shares) and Vested Company Options (each, a “</w:t>
      </w:r>
      <w:r>
        <w:rPr>
          <w:rFonts w:ascii="Arial" w:cs="Arial" w:eastAsia="Arial" w:hAnsi="Arial"/>
          <w:sz w:val="17"/>
          <w:szCs w:val="17"/>
          <w:u w:val="single" w:color="auto"/>
          <w:color w:val="auto"/>
        </w:rPr>
        <w:t>Holder</w:t>
      </w:r>
      <w:r>
        <w:rPr>
          <w:rFonts w:ascii="Arial" w:cs="Arial" w:eastAsia="Arial" w:hAnsi="Arial"/>
          <w:sz w:val="17"/>
          <w:szCs w:val="17"/>
          <w:color w:val="auto"/>
        </w:rPr>
        <w:t xml:space="preserve">”) shall have the right, subject to the limitations set forth in this Article III, to submit an Election in accordance with this </w:t>
      </w:r>
      <w:r>
        <w:rPr>
          <w:rFonts w:ascii="Arial" w:cs="Arial" w:eastAsia="Arial" w:hAnsi="Arial"/>
          <w:sz w:val="17"/>
          <w:szCs w:val="17"/>
          <w:u w:val="single" w:color="auto"/>
          <w:color w:val="auto"/>
        </w:rPr>
        <w:t>Section 3.03(d)</w:t>
      </w:r>
      <w:r>
        <w:rPr>
          <w:rFonts w:ascii="Arial" w:cs="Arial" w:eastAsia="Arial" w:hAnsi="Arial"/>
          <w:sz w:val="17"/>
          <w:szCs w:val="17"/>
          <w:color w:val="auto"/>
        </w:rPr>
        <w:t xml:space="preserve"> on or prior to the Election Deadline. The Company shall not waive the Election Deadline unless such Election Deadline is waived with respect to all Holders, the new election deadline is disclosed by the Company to all Holders on a date agreed to by Acquiror, and Acquiror has otherwise given its prior written consent (not to be unreasonably withheld, conditioned or delayed) to such waiver. “</w:t>
      </w:r>
      <w:r>
        <w:rPr>
          <w:rFonts w:ascii="Arial" w:cs="Arial" w:eastAsia="Arial" w:hAnsi="Arial"/>
          <w:sz w:val="17"/>
          <w:szCs w:val="17"/>
          <w:u w:val="single" w:color="auto"/>
          <w:color w:val="auto"/>
        </w:rPr>
        <w:t>Election Deadline</w:t>
      </w:r>
      <w:r>
        <w:rPr>
          <w:rFonts w:ascii="Arial" w:cs="Arial" w:eastAsia="Arial" w:hAnsi="Arial"/>
          <w:sz w:val="17"/>
          <w:szCs w:val="17"/>
          <w:color w:val="auto"/>
        </w:rPr>
        <w:t>” means 5:00 p.m. (New York time) on the date which the parties shall agree is as near as practicable to five (5) Business Days preceding the Closing Date. The parties shall cooperate to inform each Holder of the selected date of the Election Deadline not more than fifteen (15) Business Days before, and at least five (5) Business Days prior to, the Election Deadline.</w:t>
      </w:r>
    </w:p>
    <w:p>
      <w:pPr>
        <w:spacing w:after="0" w:line="70" w:lineRule="exact"/>
        <w:rPr>
          <w:rFonts w:ascii="Arial" w:cs="Arial" w:eastAsia="Arial" w:hAnsi="Arial"/>
          <w:sz w:val="17"/>
          <w:szCs w:val="17"/>
          <w:color w:val="auto"/>
        </w:rPr>
      </w:pPr>
    </w:p>
    <w:p>
      <w:pPr>
        <w:ind w:left="1100" w:right="40" w:firstLine="408"/>
        <w:spacing w:after="0" w:line="269" w:lineRule="auto"/>
        <w:tabs>
          <w:tab w:leader="none" w:pos="1716" w:val="left"/>
        </w:tabs>
        <w:numPr>
          <w:ilvl w:val="1"/>
          <w:numId w:val="328"/>
        </w:numPr>
        <w:rPr>
          <w:rFonts w:ascii="Arial" w:cs="Arial" w:eastAsia="Arial" w:hAnsi="Arial"/>
          <w:sz w:val="17"/>
          <w:szCs w:val="17"/>
          <w:color w:val="auto"/>
        </w:rPr>
      </w:pPr>
      <w:r>
        <w:rPr>
          <w:rFonts w:ascii="Arial" w:cs="Arial" w:eastAsia="Arial" w:hAnsi="Arial"/>
          <w:sz w:val="17"/>
          <w:szCs w:val="17"/>
          <w:color w:val="auto"/>
        </w:rPr>
        <w:t xml:space="preserve">Each Holder may specify in a request made in accordance with the provisions of this </w:t>
      </w:r>
      <w:r>
        <w:rPr>
          <w:rFonts w:ascii="Arial" w:cs="Arial" w:eastAsia="Arial" w:hAnsi="Arial"/>
          <w:sz w:val="17"/>
          <w:szCs w:val="17"/>
          <w:u w:val="single" w:color="auto"/>
          <w:color w:val="auto"/>
        </w:rPr>
        <w:t>Section 3.03(d)(i)</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Election</w:t>
      </w:r>
      <w:r>
        <w:rPr>
          <w:rFonts w:ascii="Arial" w:cs="Arial" w:eastAsia="Arial" w:hAnsi="Arial"/>
          <w:sz w:val="17"/>
          <w:szCs w:val="17"/>
          <w:color w:val="auto"/>
        </w:rPr>
        <w:t>”) whether such Holder desires to make a (i) Stockholder Standard Mixed Election, (ii) Stockholder Cash Weighted Mixed Election or (iii) Stock Election, in each case with respect to all shares of Company Stock held by such Holder, and/or an (i) Optionholder Standard Mixed Election, (ii) Optionholder Cash Weighted Mixed Election or (iii) Assumed Vested Company Option Election, in each case with respect to all Vested Company Options held by such Holder. An Election made by any Holder shall apply to all shares of Company Stock and Vested Company Options, as applicable, held by such Holder. If any Holder attempts to apply an Election to only a portion of such Holder’s shares of Company Stock or Vested Company Options, as applicable, or any Holder attempts to apply multiple Elections to such Holder’s shares of Company Stock or multiple Elections to such Holder’s Vested Company Options, as applicable, then all of such Holder’s shares of Company Stock or Vested Company Options, as applicable, shall be automatically treated as if such Holder made a Stockholder Standard Mixed Election or an Optionholder Standard Mixed Election, as applicable.</w:t>
      </w:r>
    </w:p>
    <w:p>
      <w:pPr>
        <w:spacing w:after="0" w:line="77" w:lineRule="exact"/>
        <w:rPr>
          <w:rFonts w:ascii="Arial" w:cs="Arial" w:eastAsia="Arial" w:hAnsi="Arial"/>
          <w:sz w:val="17"/>
          <w:szCs w:val="17"/>
          <w:color w:val="auto"/>
        </w:rPr>
      </w:pPr>
    </w:p>
    <w:p>
      <w:pPr>
        <w:ind w:left="1100" w:right="60" w:firstLine="408"/>
        <w:spacing w:after="0" w:line="254" w:lineRule="auto"/>
        <w:tabs>
          <w:tab w:leader="none" w:pos="176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Acquiror shall prepare a form of election that is reasonably acceptable to the Company (the “</w:t>
      </w:r>
      <w:r>
        <w:rPr>
          <w:rFonts w:ascii="Arial" w:cs="Arial" w:eastAsia="Arial" w:hAnsi="Arial"/>
          <w:sz w:val="18"/>
          <w:szCs w:val="18"/>
          <w:u w:val="single" w:color="auto"/>
          <w:color w:val="auto"/>
        </w:rPr>
        <w:t>Form of Election</w:t>
      </w:r>
      <w:r>
        <w:rPr>
          <w:rFonts w:ascii="Arial" w:cs="Arial" w:eastAsia="Arial" w:hAnsi="Arial"/>
          <w:sz w:val="18"/>
          <w:szCs w:val="18"/>
          <w:color w:val="auto"/>
        </w:rPr>
        <w:t xml:space="preserve">”), which shall include the transmittal materials contemplated by </w:t>
      </w:r>
      <w:r>
        <w:rPr>
          <w:rFonts w:ascii="Arial" w:cs="Arial" w:eastAsia="Arial" w:hAnsi="Arial"/>
          <w:sz w:val="18"/>
          <w:szCs w:val="18"/>
          <w:u w:val="single" w:color="auto"/>
          <w:color w:val="auto"/>
        </w:rPr>
        <w:t>Section 3.03(b)</w:t>
      </w:r>
      <w:r>
        <w:rPr>
          <w:rFonts w:ascii="Arial" w:cs="Arial" w:eastAsia="Arial" w:hAnsi="Arial"/>
          <w:sz w:val="18"/>
          <w:szCs w:val="18"/>
          <w:color w:val="auto"/>
        </w:rPr>
        <w:t>, and Acquiror shall mail, or shall cause the Exchange Agent to mail and deliver, together with the Form of Election to Holders as of the record date established by the Board of Directors of the Company (the “</w:t>
      </w:r>
      <w:r>
        <w:rPr>
          <w:rFonts w:ascii="Arial" w:cs="Arial" w:eastAsia="Arial" w:hAnsi="Arial"/>
          <w:sz w:val="18"/>
          <w:szCs w:val="18"/>
          <w:u w:val="single" w:color="auto"/>
          <w:color w:val="auto"/>
        </w:rPr>
        <w:t>Company Record Date</w:t>
      </w:r>
      <w:r>
        <w:rPr>
          <w:rFonts w:ascii="Arial" w:cs="Arial" w:eastAsia="Arial" w:hAnsi="Arial"/>
          <w:sz w:val="18"/>
          <w:szCs w:val="18"/>
          <w:color w:val="auto"/>
        </w:rPr>
        <w:t>”), not less than 10 Business Days prior to the anticipated Election Deadline (the period between such mailing and the Election Deadline, the “</w:t>
      </w:r>
      <w:r>
        <w:rPr>
          <w:rFonts w:ascii="Arial" w:cs="Arial" w:eastAsia="Arial" w:hAnsi="Arial"/>
          <w:sz w:val="18"/>
          <w:szCs w:val="18"/>
          <w:u w:val="single" w:color="auto"/>
          <w:color w:val="auto"/>
        </w:rPr>
        <w:t>Election Period</w:t>
      </w:r>
      <w:r>
        <w:rPr>
          <w:rFonts w:ascii="Arial" w:cs="Arial" w:eastAsia="Arial" w:hAnsi="Arial"/>
          <w:sz w:val="18"/>
          <w:szCs w:val="18"/>
          <w:color w:val="auto"/>
        </w:rPr>
        <w:t>”). Acquiror shall use reasonable best efforts to make available one or more Forms of Election as may reasonably be requested from time to time by all persons who become Holders during the period following the Company Record Date and prior to the Election Deadline.</w:t>
      </w:r>
    </w:p>
    <w:p>
      <w:pPr>
        <w:spacing w:after="0" w:line="86" w:lineRule="exact"/>
        <w:rPr>
          <w:rFonts w:ascii="Arial" w:cs="Arial" w:eastAsia="Arial" w:hAnsi="Arial"/>
          <w:sz w:val="18"/>
          <w:szCs w:val="18"/>
          <w:color w:val="auto"/>
        </w:rPr>
      </w:pPr>
    </w:p>
    <w:p>
      <w:pPr>
        <w:ind w:left="1100" w:right="320" w:firstLine="408"/>
        <w:spacing w:after="0" w:line="277" w:lineRule="auto"/>
        <w:tabs>
          <w:tab w:leader="none" w:pos="181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Election shall have been made properly only if the Exchange Agent shall have received, by the Election Deadline, (A) a Form of Election properly completed and signed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 xml:space="preserve">instructions therein, and (B) the properly completed and executed documents required to be delivered by such Holder pursuant to the other provisions of this </w:t>
      </w:r>
      <w:r>
        <w:rPr>
          <w:rFonts w:ascii="Arial" w:cs="Arial" w:eastAsia="Arial" w:hAnsi="Arial"/>
          <w:sz w:val="18"/>
          <w:szCs w:val="18"/>
          <w:u w:val="single" w:color="auto"/>
          <w:color w:val="auto"/>
        </w:rPr>
        <w:t>Section 3.03</w:t>
      </w:r>
      <w:r>
        <w:rPr>
          <w:rFonts w:ascii="Arial" w:cs="Arial" w:eastAsia="Arial" w:hAnsi="Arial"/>
          <w:sz w:val="18"/>
          <w:szCs w:val="18"/>
          <w:color w:val="auto"/>
        </w:rPr>
        <w:t>. Any Holder that does not make a valid Election by the Election Deadline (including as a result of the Exchange Agent not receiving an Election by the Election Deadline) shall be deemed to have made a Stockholder Standard Mixed Election or an Optionholder Standard Mixed Election, as applicable.</w:t>
      </w:r>
    </w:p>
    <w:p>
      <w:pPr>
        <w:spacing w:after="0" w:line="79" w:lineRule="exact"/>
        <w:rPr>
          <w:sz w:val="20"/>
          <w:szCs w:val="20"/>
          <w:color w:val="auto"/>
        </w:rPr>
      </w:pPr>
    </w:p>
    <w:p>
      <w:pPr>
        <w:ind w:left="1100" w:firstLine="408"/>
        <w:spacing w:after="0" w:line="286" w:lineRule="auto"/>
        <w:tabs>
          <w:tab w:leader="none" w:pos="180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Any Holder may, at any time during the Election Period, revoke or revise his, her or its Election by written notice to the Exchange Agent prior to the Election Deadline, together with a properly completed and signed revised Form of Election. Any subsequent transfer of such Holder’s shares of Company Stock or expiration or other termination of such Holder’s Vested Company Options after such Holder has made an Election shall automatically revoke such Election (and any such subsequent transferee may make a new Election pursuant to and if permitted by the terms of this </w:t>
      </w:r>
      <w:r>
        <w:rPr>
          <w:rFonts w:ascii="Arial" w:cs="Arial" w:eastAsia="Arial" w:hAnsi="Arial"/>
          <w:sz w:val="16"/>
          <w:szCs w:val="16"/>
          <w:u w:val="single" w:color="auto"/>
          <w:color w:val="auto"/>
        </w:rPr>
        <w:t>Section 3.03(d))</w:t>
      </w:r>
      <w:r>
        <w:rPr>
          <w:rFonts w:ascii="Arial" w:cs="Arial" w:eastAsia="Arial" w:hAnsi="Arial"/>
          <w:sz w:val="16"/>
          <w:szCs w:val="16"/>
          <w:color w:val="auto"/>
        </w:rPr>
        <w:t>. Notwithstanding anything to the contrary in this Agreement, all Elections shall be automatically deemed revoked upon receipt by the Exchange Agent of written notification from the Company or Acquiror that this Agreement has been terminated in accordance with Article XI. The Exchange Agent shall have reasonable discretion to determine if any Election is not properly made, changed or revoked with respect to any shares of Company Stock or Vested Company Options (none of the Company, Acquiror, Merger Sub or the Exchange Agent being under any duty to notify any Holder of any applicable defect). In the event the Exchange Agent makes a reasonable determination that an Election was not properly made (including as a result of the Exchange Agent not receiving an Election by the Election Deadline), such Election shall be deemed to be ineffective, and the shares of Company Existing Common Stock or Vested Company Options covered by such Election shall, for purposes hereof, be deemed to be Standard Mixed Electing Shares or Standard Mixed Electing Options, as applicable.</w:t>
      </w:r>
    </w:p>
    <w:p>
      <w:pPr>
        <w:spacing w:after="0" w:line="17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Promptly following the date that is one year after the First Effective Time, Acquiror shall instruct the Exchange Agent to deliver to Acquiror all cash, certificates and other documents in its possession relating to the Transactions, and the Exchange Agent’s duties shall terminate. Thereafter, each Pre-Closing Holder who has not surrendered a Certificate and/or delivered a Letter of Transmittal may surrender such Certificate or deliver such Letter of Transmittal to Acquiror and (subject to applicable abandoned property, escheat and similar Laws) receive in consideration therefor, and Acquiror shall promptly pay, the portion of the Total Pre-Closing Holder Consideration deliverable in respect thereof as determined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Allocation Schedule without any interest thereon. None of any Acquiror Party, the Company, Surviving Corporation, the Surviving Entity or the Exchange Agent shall be liable to any Person in respect of any Total Pre-Closing Holder Consideration delivered to a public official pursuant to and in accordance with any applicable abandoned property, escheat or similar Laws. If any Certificate shall not have been surrendered immediately prior to such date on which any amounts payable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Allocation Schedule would otherwise escheat to or become the property of any Governmental Authority, any such amounts shall, to the extent permitted by applicable Law, become the property of the Surviving Entity, free and clear of all claims or interest of any Person previously entitled thereto.</w:t>
      </w:r>
    </w:p>
    <w:p>
      <w:pPr>
        <w:spacing w:after="0" w:line="17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Effect of Second Merger</w:t>
      </w:r>
      <w:r>
        <w:rPr>
          <w:rFonts w:ascii="Arial" w:cs="Arial" w:eastAsia="Arial" w:hAnsi="Arial"/>
          <w:sz w:val="17"/>
          <w:szCs w:val="17"/>
          <w:color w:val="auto"/>
        </w:rPr>
        <w:t>. On the terms and subject to the conditions set forth herein, at the Second Effective Time, by virtue of the Second Merger and without any action on the part of any Party or the holders of any securities of Acquiror or the Surviving Corporation: (a) each share of common stock of the Surviving Corporation issued and outstanding immediately prior to the Second Effective Time shall be cancelled and shall cease to exist without any conversion thereof or payment therefor; and (b) the limited liability company interests of Second Merger Sub outstanding immediately prior to the Second Effective Time shall be converted into and become the limited liability company interests of the Surviving Entity, which shall constitute one hundred percent (100%) of the outstanding equity of the Surviving Entity. From and after the Second Effective Time, the limited liability company interests of the Second Merger Sub shall be deemed for all purposes to represent the number of membership interests into which they were converted in accordance with the immediately preceding sentence.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40"/>
          </w:cols>
          <w:pgMar w:left="32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Treatment of Company Options</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59" w:lineRule="auto"/>
        <w:tabs>
          <w:tab w:leader="none" w:pos="122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Company shall take all actions necessary, including using reasonable efforts to obtain any requisite consents of the holders of the Company Options, to provide that, as of immediately prior to the First Effective Time, (i) each Vested Company Option shall be cancelled in part in respect of a cash payment as provided in </w:t>
      </w:r>
      <w:r>
        <w:rPr>
          <w:rFonts w:ascii="Arial" w:cs="Arial" w:eastAsia="Arial" w:hAnsi="Arial"/>
          <w:sz w:val="18"/>
          <w:szCs w:val="18"/>
          <w:u w:val="single" w:color="auto"/>
          <w:color w:val="auto"/>
        </w:rPr>
        <w:t>Section 3.06(b)</w:t>
      </w:r>
      <w:r>
        <w:rPr>
          <w:rFonts w:ascii="Arial" w:cs="Arial" w:eastAsia="Arial" w:hAnsi="Arial"/>
          <w:sz w:val="18"/>
          <w:szCs w:val="18"/>
          <w:color w:val="auto"/>
        </w:rPr>
        <w:t xml:space="preserve"> and shall be converted in part as provided in </w:t>
      </w:r>
      <w:r>
        <w:rPr>
          <w:rFonts w:ascii="Arial" w:cs="Arial" w:eastAsia="Arial" w:hAnsi="Arial"/>
          <w:sz w:val="18"/>
          <w:szCs w:val="18"/>
          <w:u w:val="single" w:color="auto"/>
          <w:color w:val="auto"/>
        </w:rPr>
        <w:t>Section 3.06(c)</w:t>
      </w:r>
      <w:r>
        <w:rPr>
          <w:rFonts w:ascii="Arial" w:cs="Arial" w:eastAsia="Arial" w:hAnsi="Arial"/>
          <w:sz w:val="18"/>
          <w:szCs w:val="18"/>
          <w:color w:val="auto"/>
        </w:rPr>
        <w:t xml:space="preserve"> and (ii) each Unvested Company Option shall be converted as provided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80" w:firstLine="419"/>
        <w:spacing w:after="0" w:line="277" w:lineRule="auto"/>
        <w:tabs>
          <w:tab w:leader="none" w:pos="123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Each Vested Company Option issued and outstanding immediately prior to the First Effective Time will be automatically deemed for all purposes to represent the right to receive, subject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71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the case of a Vested Company Option with respect to which an Assumed Vested Company Option Election has been properly made and not revoked or lost pursuant to Section 3.03 (each, an “</w:t>
      </w:r>
      <w:r>
        <w:rPr>
          <w:rFonts w:ascii="Arial" w:cs="Arial" w:eastAsia="Arial" w:hAnsi="Arial"/>
          <w:sz w:val="18"/>
          <w:szCs w:val="18"/>
          <w:u w:val="single" w:color="auto"/>
          <w:color w:val="auto"/>
        </w:rPr>
        <w:t>Assumed Electing Option</w:t>
      </w:r>
      <w:r>
        <w:rPr>
          <w:rFonts w:ascii="Arial" w:cs="Arial" w:eastAsia="Arial" w:hAnsi="Arial"/>
          <w:sz w:val="18"/>
          <w:szCs w:val="18"/>
          <w:color w:val="auto"/>
        </w:rPr>
        <w:t>”), the Assumed Vested Company Option Election Consideration;</w:t>
      </w:r>
    </w:p>
    <w:p>
      <w:pPr>
        <w:spacing w:after="0" w:line="75" w:lineRule="exact"/>
        <w:rPr>
          <w:rFonts w:ascii="Arial" w:cs="Arial" w:eastAsia="Arial" w:hAnsi="Arial"/>
          <w:sz w:val="18"/>
          <w:szCs w:val="18"/>
          <w:color w:val="auto"/>
        </w:rPr>
      </w:pPr>
    </w:p>
    <w:p>
      <w:pPr>
        <w:ind w:left="1100" w:right="20" w:firstLine="408"/>
        <w:spacing w:after="0" w:line="263" w:lineRule="auto"/>
        <w:tabs>
          <w:tab w:leader="none" w:pos="176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in the case of a Vested Company Option with respect to which an Optionholder Standard Mixed Election has been properly made and not revoked or lost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with respect to which no election has been made (each, a “</w:t>
      </w:r>
      <w:r>
        <w:rPr>
          <w:rFonts w:ascii="Arial" w:cs="Arial" w:eastAsia="Arial" w:hAnsi="Arial"/>
          <w:sz w:val="18"/>
          <w:szCs w:val="18"/>
          <w:u w:val="single" w:color="auto"/>
          <w:color w:val="auto"/>
        </w:rPr>
        <w:t>Standard Mixed Electing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the Optionholder Standard Mixed Election Consideration;</w:t>
      </w:r>
    </w:p>
    <w:p>
      <w:pPr>
        <w:spacing w:after="0" w:line="75" w:lineRule="exact"/>
        <w:rPr>
          <w:rFonts w:ascii="Arial" w:cs="Arial" w:eastAsia="Arial" w:hAnsi="Arial"/>
          <w:sz w:val="18"/>
          <w:szCs w:val="18"/>
          <w:color w:val="auto"/>
        </w:rPr>
      </w:pPr>
    </w:p>
    <w:p>
      <w:pPr>
        <w:ind w:left="1100" w:right="60" w:firstLine="408"/>
        <w:spacing w:after="0" w:line="263" w:lineRule="auto"/>
        <w:tabs>
          <w:tab w:leader="none" w:pos="181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in the case of a Vested Company Option with respect to which an Optionholder Cash Weighted Mixed Election has been properly made and not revoked or lost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Cash Weighted Mixed Electing Option</w:t>
      </w:r>
      <w:r>
        <w:rPr>
          <w:rFonts w:ascii="Arial" w:cs="Arial" w:eastAsia="Arial" w:hAnsi="Arial"/>
          <w:sz w:val="18"/>
          <w:szCs w:val="18"/>
          <w:color w:val="auto"/>
        </w:rPr>
        <w:t>”), the Optionholder Cash Weighted Mixed Election Consideration; and</w:t>
      </w:r>
    </w:p>
    <w:p>
      <w:pPr>
        <w:spacing w:after="0" w:line="75" w:lineRule="exact"/>
        <w:rPr>
          <w:rFonts w:ascii="Arial" w:cs="Arial" w:eastAsia="Arial" w:hAnsi="Arial"/>
          <w:sz w:val="18"/>
          <w:szCs w:val="18"/>
          <w:color w:val="auto"/>
        </w:rPr>
      </w:pPr>
    </w:p>
    <w:p>
      <w:pPr>
        <w:ind w:left="1100" w:right="60" w:firstLine="408"/>
        <w:spacing w:after="0" w:line="290" w:lineRule="auto"/>
        <w:tabs>
          <w:tab w:leader="none" w:pos="180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 xml:space="preserve">notwithstanding the foregoing, (A) with respect to the holders of Company Options set forth on </w:t>
      </w:r>
      <w:r>
        <w:rPr>
          <w:rFonts w:ascii="Arial" w:cs="Arial" w:eastAsia="Arial" w:hAnsi="Arial"/>
          <w:sz w:val="16"/>
          <w:szCs w:val="16"/>
          <w:u w:val="single" w:color="auto"/>
          <w:color w:val="auto"/>
        </w:rPr>
        <w:t>Section 3.06(b)(iv)</w:t>
      </w:r>
      <w:r>
        <w:rPr>
          <w:rFonts w:ascii="Arial" w:cs="Arial" w:eastAsia="Arial" w:hAnsi="Arial"/>
          <w:sz w:val="16"/>
          <w:szCs w:val="16"/>
          <w:color w:val="auto"/>
        </w:rPr>
        <w:t xml:space="preserve"> of the Company Disclosure Letter, the Optionholder Cash Weighted Mixed Election Percentage with respect to each Vested Company Option held by each such holder shall be as set forth therein; provided, that in no event shall the foregoing adjustment result in the aggregate cash amount payable to Pre-Closing Holders and holders of Vested Company Options exceeding the Closing Cash Consideration, and (B) the Adjusted Stockholder Cash Weighted Mixed Election Percentage with respect to each Cash Weighted Mixed Electing Share shall be adjusted to such an amount so as to preserve the intended Optionholder Cash Weighted Mixed Election Percentage with respect to the Vested Company Options held by the individuals set forth on </w:t>
      </w:r>
      <w:r>
        <w:rPr>
          <w:rFonts w:ascii="Arial" w:cs="Arial" w:eastAsia="Arial" w:hAnsi="Arial"/>
          <w:sz w:val="16"/>
          <w:szCs w:val="16"/>
          <w:u w:val="single" w:color="auto"/>
          <w:color w:val="auto"/>
        </w:rPr>
        <w:t>Section 3.06(b)(iv)</w:t>
      </w:r>
      <w:r>
        <w:rPr>
          <w:rFonts w:ascii="Arial" w:cs="Arial" w:eastAsia="Arial" w:hAnsi="Arial"/>
          <w:sz w:val="16"/>
          <w:szCs w:val="16"/>
          <w:color w:val="auto"/>
        </w:rPr>
        <w:t xml:space="preserve"> of the Company Disclosure Letter, as compared to the Optionholder Cash Weighted Mixed Election Percentage for all Cash Weighted Mixed Electing Options.</w:t>
      </w:r>
    </w:p>
    <w:p>
      <w:pPr>
        <w:spacing w:after="0" w:line="57" w:lineRule="exact"/>
        <w:rPr>
          <w:rFonts w:ascii="Arial" w:cs="Arial" w:eastAsia="Arial" w:hAnsi="Arial"/>
          <w:sz w:val="16"/>
          <w:szCs w:val="16"/>
          <w:color w:val="auto"/>
        </w:rPr>
      </w:pPr>
    </w:p>
    <w:p>
      <w:pPr>
        <w:ind w:left="560" w:firstLine="419"/>
        <w:spacing w:after="0" w:line="272" w:lineRule="auto"/>
        <w:tabs>
          <w:tab w:leader="none" w:pos="1228"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With respect to each Eligible Cash-Out Vested Company Option outstanding as of immediately prior to the First Effective Time that is entitled to receive a cash payment as set forth in </w:t>
      </w:r>
      <w:r>
        <w:rPr>
          <w:rFonts w:ascii="Arial" w:cs="Arial" w:eastAsia="Arial" w:hAnsi="Arial"/>
          <w:sz w:val="17"/>
          <w:szCs w:val="17"/>
          <w:u w:val="single" w:color="auto"/>
          <w:color w:val="auto"/>
        </w:rPr>
        <w:t>Section 3.06(b)</w:t>
      </w:r>
      <w:r>
        <w:rPr>
          <w:rFonts w:ascii="Arial" w:cs="Arial" w:eastAsia="Arial" w:hAnsi="Arial"/>
          <w:sz w:val="17"/>
          <w:szCs w:val="17"/>
          <w:color w:val="auto"/>
        </w:rPr>
        <w:t>, such portion of the Vested Company Option shall be automatically canceled (such cancelled portion, the “</w:t>
      </w:r>
      <w:r>
        <w:rPr>
          <w:rFonts w:ascii="Arial" w:cs="Arial" w:eastAsia="Arial" w:hAnsi="Arial"/>
          <w:sz w:val="17"/>
          <w:szCs w:val="17"/>
          <w:u w:val="single" w:color="auto"/>
          <w:color w:val="auto"/>
        </w:rPr>
        <w:t>Cancelled Option Portion</w:t>
      </w:r>
      <w:r>
        <w:rPr>
          <w:rFonts w:ascii="Arial" w:cs="Arial" w:eastAsia="Arial" w:hAnsi="Arial"/>
          <w:sz w:val="17"/>
          <w:szCs w:val="17"/>
          <w:color w:val="auto"/>
        </w:rPr>
        <w:t xml:space="preserve">”) in exchange for such cash payment, and Acquiror shall, within five Business Days after the First Effective Time, cause the Company’s (or the Surviving Corporation’s) payroll provider, on behalf of the Company, to deliver to each holder of a Vested Company Option the amount of cash such holder has the right to receive pursuant to </w:t>
      </w:r>
      <w:r>
        <w:rPr>
          <w:rFonts w:ascii="Arial" w:cs="Arial" w:eastAsia="Arial" w:hAnsi="Arial"/>
          <w:sz w:val="17"/>
          <w:szCs w:val="17"/>
          <w:u w:val="single" w:color="auto"/>
          <w:color w:val="auto"/>
        </w:rPr>
        <w:t>Section 3.06(b)</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to the contrary, the cash amount payable in respect of each Vested Company Option pursuant to </w:t>
      </w:r>
      <w:r>
        <w:rPr>
          <w:rFonts w:ascii="Arial" w:cs="Arial" w:eastAsia="Arial" w:hAnsi="Arial"/>
          <w:sz w:val="17"/>
          <w:szCs w:val="17"/>
          <w:u w:val="single" w:color="auto"/>
          <w:color w:val="auto"/>
        </w:rPr>
        <w:t>Section 3.06(b)</w:t>
      </w:r>
      <w:r>
        <w:rPr>
          <w:rFonts w:ascii="Arial" w:cs="Arial" w:eastAsia="Arial" w:hAnsi="Arial"/>
          <w:sz w:val="17"/>
          <w:szCs w:val="17"/>
          <w:color w:val="auto"/>
        </w:rPr>
        <w:t xml:space="preserve"> shall be determined in a manner consistent with the requirements of Section 409A of the Code.</w:t>
      </w:r>
    </w:p>
    <w:p>
      <w:pPr>
        <w:spacing w:after="0" w:line="69" w:lineRule="exact"/>
        <w:rPr>
          <w:rFonts w:ascii="Arial" w:cs="Arial" w:eastAsia="Arial" w:hAnsi="Arial"/>
          <w:sz w:val="17"/>
          <w:szCs w:val="17"/>
          <w:color w:val="auto"/>
        </w:rPr>
      </w:pPr>
    </w:p>
    <w:p>
      <w:pPr>
        <w:ind w:left="560" w:right="160" w:firstLine="419"/>
        <w:spacing w:after="0" w:line="293" w:lineRule="auto"/>
        <w:tabs>
          <w:tab w:leader="none" w:pos="123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As of immediately prior to the First Effective Time, by virtue of the First Merger and without any action on the part of the holders thereof, a portion of each Vested Company Option that is then outstanding shall be assumed and converted into an option to purchase shares of Acquiror Common Stock, as described in this </w:t>
      </w:r>
      <w:r>
        <w:rPr>
          <w:rFonts w:ascii="Arial" w:cs="Arial" w:eastAsia="Arial" w:hAnsi="Arial"/>
          <w:sz w:val="16"/>
          <w:szCs w:val="16"/>
          <w:u w:val="single" w:color="auto"/>
          <w:color w:val="auto"/>
        </w:rPr>
        <w:t>Section 3.06(d)</w:t>
      </w:r>
      <w:r>
        <w:rPr>
          <w:rFonts w:ascii="Arial" w:cs="Arial" w:eastAsia="Arial" w:hAnsi="Arial"/>
          <w:sz w:val="16"/>
          <w:szCs w:val="16"/>
          <w:color w:val="auto"/>
        </w:rPr>
        <w:t xml:space="preserve"> (such assumed portion, the “</w:t>
      </w:r>
      <w:r>
        <w:rPr>
          <w:rFonts w:ascii="Arial" w:cs="Arial" w:eastAsia="Arial" w:hAnsi="Arial"/>
          <w:sz w:val="16"/>
          <w:szCs w:val="16"/>
          <w:u w:val="single" w:color="auto"/>
          <w:color w:val="auto"/>
        </w:rPr>
        <w:t>Vested Acquiror Option</w:t>
      </w:r>
      <w:r>
        <w:rPr>
          <w:rFonts w:ascii="Arial" w:cs="Arial" w:eastAsia="Arial" w:hAnsi="Arial"/>
          <w:sz w:val="16"/>
          <w:szCs w:val="16"/>
          <w:color w:val="auto"/>
        </w:rPr>
        <w:t>”). The number of shares of Company Common Stock subject to such portion of the Vested Acquiror Option shall equal (i) the total number of shares of Company Common Stock subject to such Vested Company Option minus (ii) the number of shares (if any) of Company Common Stock subject to the Cancelled Option Portion of such Vested Company Option. Each such Vested Acquiror Option as so assumed and converted shall continue to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 xml:space="preserve">have, and shall be subject to, the same terms and conditions as applied to the Vested Company Option immediately prior to the First Effective Time (but taking into account any changes thereto by reason of this </w:t>
      </w:r>
      <w:r>
        <w:rPr>
          <w:rFonts w:ascii="Arial" w:cs="Arial" w:eastAsia="Arial" w:hAnsi="Arial"/>
          <w:sz w:val="17"/>
          <w:szCs w:val="17"/>
          <w:u w:val="single" w:color="auto"/>
          <w:color w:val="auto"/>
        </w:rPr>
        <w:t>Section 3.06(d)</w:t>
      </w:r>
      <w:r>
        <w:rPr>
          <w:rFonts w:ascii="Arial" w:cs="Arial" w:eastAsia="Arial" w:hAnsi="Arial"/>
          <w:sz w:val="17"/>
          <w:szCs w:val="17"/>
          <w:color w:val="auto"/>
        </w:rPr>
        <w:t xml:space="preserve">). As of immediately prior to the First Effective Time, each such Vested Acquiror Option as so assumed and converted shall be an option to acquire that number of whole shares of Acquiror Common Stock (rounded down to the nearest whole share) equal to the product of (i) the number of shares of Company Common Stock subject to such Vested Company Option and (ii) the Exchange Ratio, at an exercise price per share of Acquiror Common Stock (rounded up to the nearest whole cent) equal to the quotient obtained by dividing (x) the exercise price per share of Company Common Stock of such Vested Company Option by (y) the Exchange Ratio. Notwithstanding anything in this </w:t>
      </w:r>
      <w:r>
        <w:rPr>
          <w:rFonts w:ascii="Arial" w:cs="Arial" w:eastAsia="Arial" w:hAnsi="Arial"/>
          <w:sz w:val="17"/>
          <w:szCs w:val="17"/>
          <w:u w:val="single" w:color="auto"/>
          <w:color w:val="auto"/>
        </w:rPr>
        <w:t>Section 3.06(d)</w:t>
      </w:r>
      <w:r>
        <w:rPr>
          <w:rFonts w:ascii="Arial" w:cs="Arial" w:eastAsia="Arial" w:hAnsi="Arial"/>
          <w:sz w:val="17"/>
          <w:szCs w:val="17"/>
          <w:color w:val="auto"/>
        </w:rPr>
        <w:t xml:space="preserve"> to the contrary, the exercise price and the number of shares of Acquiror Common Stock subject to the Vested Acquiror Option shall be determined in a manner consistent with the requirements of Section 409A of the Code, and, in the case of Vested Company Option that is intended to qualify as incentive stock options within the meaning of Section 422 of the Code, consistent with the requirements of Section 424 of the Code.</w:t>
      </w:r>
    </w:p>
    <w:p>
      <w:pPr>
        <w:spacing w:after="0" w:line="77" w:lineRule="exact"/>
        <w:rPr>
          <w:sz w:val="20"/>
          <w:szCs w:val="20"/>
          <w:color w:val="auto"/>
        </w:rPr>
      </w:pPr>
    </w:p>
    <w:p>
      <w:pPr>
        <w:ind w:left="560" w:right="60" w:firstLine="419"/>
        <w:spacing w:after="0" w:line="268" w:lineRule="auto"/>
        <w:tabs>
          <w:tab w:leader="none" w:pos="1228"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As of immediately prior to the First Effective Time, by virtue of the First Merger and without any action on the part of the holders thereof, each Unvested Company Option that is then outstanding shall be assumed and converted into an option to purchase shares of Acquiror Common Stock (each, an “</w:t>
      </w:r>
      <w:r>
        <w:rPr>
          <w:rFonts w:ascii="Arial" w:cs="Arial" w:eastAsia="Arial" w:hAnsi="Arial"/>
          <w:sz w:val="17"/>
          <w:szCs w:val="17"/>
          <w:u w:val="single" w:color="auto"/>
          <w:color w:val="auto"/>
        </w:rPr>
        <w:t>Unvested Acquiror Option</w:t>
      </w:r>
      <w:r>
        <w:rPr>
          <w:rFonts w:ascii="Arial" w:cs="Arial" w:eastAsia="Arial" w:hAnsi="Arial"/>
          <w:sz w:val="17"/>
          <w:szCs w:val="17"/>
          <w:color w:val="auto"/>
        </w:rPr>
        <w:t>” and, collectively and together with the Vested Acquiror Options, the “</w:t>
      </w:r>
      <w:r>
        <w:rPr>
          <w:rFonts w:ascii="Arial" w:cs="Arial" w:eastAsia="Arial" w:hAnsi="Arial"/>
          <w:sz w:val="17"/>
          <w:szCs w:val="17"/>
          <w:u w:val="single" w:color="auto"/>
          <w:color w:val="auto"/>
        </w:rPr>
        <w:t>Acquiror Options</w:t>
      </w:r>
      <w:r>
        <w:rPr>
          <w:rFonts w:ascii="Arial" w:cs="Arial" w:eastAsia="Arial" w:hAnsi="Arial"/>
          <w:sz w:val="17"/>
          <w:szCs w:val="17"/>
          <w:color w:val="auto"/>
        </w:rPr>
        <w:t xml:space="preserve">”). Each such Unvested Acquiror Option as so assumed and converted shall continue to have, and shall be subject to, the same terms and conditions as applied to the Unvested Company Option immediately prior to the First Effective Time (but taking into account any changes thereto by reason of this </w:t>
      </w:r>
      <w:r>
        <w:rPr>
          <w:rFonts w:ascii="Arial" w:cs="Arial" w:eastAsia="Arial" w:hAnsi="Arial"/>
          <w:sz w:val="17"/>
          <w:szCs w:val="17"/>
          <w:u w:val="single" w:color="auto"/>
          <w:color w:val="auto"/>
        </w:rPr>
        <w:t>Section 3.06(e)</w:t>
      </w:r>
      <w:r>
        <w:rPr>
          <w:rFonts w:ascii="Arial" w:cs="Arial" w:eastAsia="Arial" w:hAnsi="Arial"/>
          <w:sz w:val="17"/>
          <w:szCs w:val="17"/>
          <w:color w:val="auto"/>
        </w:rPr>
        <w:t xml:space="preserve">). As of immediately prior to the First Effective Time, each such Unvested Acquiror Option as so assumed and converted shall be an option to acquire that number of whole shares of Acquiror Common Stock (rounded down to the nearest whole share) equal to the product of (i) the number of shares of Company Common Stock subject to such Unvested Company Option and (ii) the Exchange Ratio, at an exercise price per share of Acquiror Common Stock (rounded up to the nearest whole cent) equal to the quotient obtained by dividing (x) the exercise price per share of Company Common Stock of such Unvested Company Option by (y) the Exchange Ratio. Notwithstanding anything in this </w:t>
      </w:r>
      <w:r>
        <w:rPr>
          <w:rFonts w:ascii="Arial" w:cs="Arial" w:eastAsia="Arial" w:hAnsi="Arial"/>
          <w:sz w:val="17"/>
          <w:szCs w:val="17"/>
          <w:u w:val="single" w:color="auto"/>
          <w:color w:val="auto"/>
        </w:rPr>
        <w:t>Section 3.06(e)</w:t>
      </w:r>
      <w:r>
        <w:rPr>
          <w:rFonts w:ascii="Arial" w:cs="Arial" w:eastAsia="Arial" w:hAnsi="Arial"/>
          <w:sz w:val="17"/>
          <w:szCs w:val="17"/>
          <w:color w:val="auto"/>
        </w:rPr>
        <w:t xml:space="preserve"> to the contrary, the exercise price and the number of shares of Acquiror Common Stock subject to the Acquiror Options shall be determined in a manner consistent with the requirements of Section 409A of the Code, and, in the case of Unvested Company Options that is intended to qualify as incentive stock options within the meaning of Section 422 of the Code, consistent with the requirements of Section 424 of the Code.</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Withholding Rights</w:t>
      </w:r>
      <w:r>
        <w:rPr>
          <w:rFonts w:ascii="Arial" w:cs="Arial" w:eastAsia="Arial" w:hAnsi="Arial"/>
          <w:sz w:val="16"/>
          <w:szCs w:val="16"/>
          <w:color w:val="auto"/>
        </w:rPr>
        <w:t xml:space="preserve">. Notwithstanding anything in this Agreement to the contrary, all amounts or value deliverable in connection with this Agreement by Acquiror, First Merger Sub, Second Merger Sub, the Company, the Surviving Corporation, the Surviving Entity, the Exchange Agent and their respective Affiliates shall be paid free and clear and without any deduction or withholding for Taxes, except for any amount required to be deducted and withheld with respect to the making of such payment under applicable Law. Prior to making any deduction or withholding in respect of amounts payable to any Pre-Closing Holder in connection with this Agreement (other than any deduction or withholding (i) in respect of any payments compensatory in nature for U.S. federal income tax purposes (including any payments to restricted shareholders), (ii) in respect of backup withholding under Section 3406 of the Code or (iii) attributable to the Company’s failure to deliver the certification and notice required under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Acquiror shall use commercially reasonable efforts to provide or cause to be provided at least seven (7) days prior notice of such deduction or withholding to the applicable Pre-Closing Holder, and all parties shall reasonably cooperate to reduce or eliminate any applicable withholding. To the extent that amounts are so withheld and paid over to the appropriate Governmental Authority consistent with the terms of this </w:t>
      </w:r>
      <w:r>
        <w:rPr>
          <w:rFonts w:ascii="Arial" w:cs="Arial" w:eastAsia="Arial" w:hAnsi="Arial"/>
          <w:sz w:val="16"/>
          <w:szCs w:val="16"/>
          <w:u w:val="single" w:color="auto"/>
          <w:color w:val="auto"/>
        </w:rPr>
        <w:t>Section 3.07</w:t>
      </w:r>
      <w:r>
        <w:rPr>
          <w:rFonts w:ascii="Arial" w:cs="Arial" w:eastAsia="Arial" w:hAnsi="Arial"/>
          <w:sz w:val="16"/>
          <w:szCs w:val="16"/>
          <w:color w:val="auto"/>
        </w:rPr>
        <w:t>, such withheld amounts shall be treated for all purposes of this Agreement as having been paid to the Person in respect of which such deduction and withholding was made. Any amounts so withheld shall be timely remitted to the applicable Governmental Authority.</w:t>
      </w:r>
    </w:p>
    <w:p>
      <w:pPr>
        <w:spacing w:after="0" w:line="168"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Dissenting Shares</w:t>
      </w:r>
      <w:r>
        <w:rPr>
          <w:rFonts w:ascii="Arial" w:cs="Arial" w:eastAsia="Arial" w:hAnsi="Arial"/>
          <w:sz w:val="18"/>
          <w:szCs w:val="18"/>
          <w:color w:val="auto"/>
        </w:rPr>
        <w:t>. Notwithstanding any provision of this Agreement to the contrary, shares of Company Stock issued and outstanding immediately prior to the First Effective Time and held by a holder who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80"/>
          </w:cols>
          <w:pgMar w:left="320" w:top="459" w:right="49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has not voted in favor of adoption of this Agreement or consented thereto in writing and who is entitled to demand and has properly exercised appraisal rights of such shares in accordance with Section 262 of the DGCL (such shares of Company Stock being referred to collectively as the “</w:t>
      </w:r>
      <w:r>
        <w:rPr>
          <w:rFonts w:ascii="Arial" w:cs="Arial" w:eastAsia="Arial" w:hAnsi="Arial"/>
          <w:sz w:val="17"/>
          <w:szCs w:val="17"/>
          <w:u w:val="single" w:color="auto"/>
          <w:color w:val="auto"/>
        </w:rPr>
        <w:t>Dissenting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until such time as such holder fails to perfect or otherwise waives, withdraws, or loses such holder’s appraisal rights under the DGCL with respect to such shares) shall not be converted into a right to receive a portion of the Closing Merger Consideration, but instead shall be entitled to only such rights as are granted by Section 262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after the First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Stock shall be treated as if they had been converted as of the First Effective Time into the right to receive the Stockholder Standard Mixed Election Consideration in accordance with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without interest thereon, upon transfer of such shares. The Company shall provide Acquiror prompt written notice of any demands received by the Company for appraisal of shares of Company Stock, any waiver or withdrawal of any such demand, and any other demand, notice, or instrument delivered to the Company prior to the First Effective Time that relates to such demand. Except with the prior written consent of Acquiror (which consent shall not be unreasonably conditioned, withheld, delayed or denied), the Company shall not make any payment with respect to, or settle, or offer to settle, any such demands.</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CLOSING TRANSACTIONS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and subject to the conditions set forth in this Agreement, the closing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 electronically by the mutual exchange of electronic signatures (including portable document format (.PDF)) commencing as promptly as practicable (and in any event no later than 10:00 a.m. Eastern Time on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(other than those conditions that by their terms or nature are to be satisfied at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conditions are satisfied or (to the extent permitted by applicable Law) waived at the Closing), or (b) at such other place, time or date as Acquiror and the Company may mutually agree in writing. The date on which the Closing shall occur is referred to herein as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Closing Statements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3" w:lineRule="auto"/>
        <w:tabs>
          <w:tab w:leader="none" w:pos="1227"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Acquiror Closing Statement</w:t>
      </w:r>
      <w:r>
        <w:rPr>
          <w:rFonts w:ascii="Arial" w:cs="Arial" w:eastAsia="Arial" w:hAnsi="Arial"/>
          <w:sz w:val="16"/>
          <w:szCs w:val="16"/>
          <w:color w:val="auto"/>
        </w:rPr>
        <w:t>. On the date that is five (5) Business Days prior to the Closing Date, Acquiror shall prepare and deliver to the Company a written statement (the “</w:t>
      </w:r>
      <w:r>
        <w:rPr>
          <w:rFonts w:ascii="Arial" w:cs="Arial" w:eastAsia="Arial" w:hAnsi="Arial"/>
          <w:sz w:val="16"/>
          <w:szCs w:val="16"/>
          <w:u w:val="single" w:color="auto"/>
          <w:color w:val="auto"/>
        </w:rPr>
        <w:t>Acquiror Closing Statement</w:t>
      </w:r>
      <w:r>
        <w:rPr>
          <w:rFonts w:ascii="Arial" w:cs="Arial" w:eastAsia="Arial" w:hAnsi="Arial"/>
          <w:sz w:val="16"/>
          <w:szCs w:val="16"/>
          <w:color w:val="auto"/>
        </w:rPr>
        <w:t>”) setting forth its good faith estimate and calculation of: (a) the aggregate amount of cash in the Trust Account (prior to giving effect to the Acquiror Stockholder Redemption) and each of the PIPE Investment proceeds and the HEC Forward Purchase Agreement proceeds received and to be received by Acquiror prior to the Closing; (b) the aggregate amount of all payments required to be made in connection with the Acquiror Stockholder Redemption; (c) the Available Closing Acquiror Cash resulting therefrom; (d) the number of shares of Acquiror Common Stock to be outstanding as of the Closing after giving effect to the Acquiror Stockholder Redemption and the issuance of shares of Acquiror Common Stock pursuant to the Subscription Agreements and the HEC Forward Purchase Agreement; (e) the number of shares of Acquiror Common Stock that may be issued upon the exercise of all Acquiror Warrants issued and outstanding as of the Closing after giving effect to the PIPE Investment, the HEC Forward Purchase Agreement and the exercise prices therefor; and (f) the Acquiror Transaction Expenses, in each case, including a detailed itemization of the components thereof and reasonable supporting documentation and detail therefor. The Acquiror Closing Statement and each component thereof shall be prepared and calculated in accordance with the definitions contained in this Agreement. From and after delivery of the Acquiror Closing Statement and through the Closing Date,</w:t>
      </w:r>
    </w:p>
    <w:p>
      <w:pPr>
        <w:spacing w:after="0" w:line="2" w:lineRule="exact"/>
        <w:rPr>
          <w:rFonts w:ascii="Arial" w:cs="Arial" w:eastAsia="Arial" w:hAnsi="Arial"/>
          <w:sz w:val="16"/>
          <w:szCs w:val="16"/>
          <w:color w:val="auto"/>
        </w:rPr>
      </w:pPr>
    </w:p>
    <w:p>
      <w:pPr>
        <w:ind w:left="800" w:hanging="244"/>
        <w:spacing w:after="0"/>
        <w:tabs>
          <w:tab w:leader="none" w:pos="8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Acquiror shall promptly provide to the Company any changes to the Acquiror Closing Statement (including any component thereof) (the</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Updated Acquiror Closing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8" w:lineRule="auto"/>
        <w:rPr>
          <w:sz w:val="20"/>
          <w:szCs w:val="20"/>
          <w:color w:val="auto"/>
        </w:rPr>
      </w:pPr>
      <w:r>
        <w:rPr>
          <w:rFonts w:ascii="Arial" w:cs="Arial" w:eastAsia="Arial" w:hAnsi="Arial"/>
          <w:sz w:val="16"/>
          <w:szCs w:val="16"/>
          <w:u w:val="single" w:color="auto"/>
          <w:color w:val="auto"/>
        </w:rPr>
        <w:t>Statement</w:t>
      </w:r>
      <w:r>
        <w:rPr>
          <w:rFonts w:ascii="Arial" w:cs="Arial" w:eastAsia="Arial" w:hAnsi="Arial"/>
          <w:sz w:val="16"/>
          <w:szCs w:val="16"/>
          <w:color w:val="auto"/>
        </w:rPr>
        <w:t xml:space="preserve">”), and (2) the Company shall have the right to review and comment on such calculations and estimates, Acquiror shall consider in good faith any such comments made by the Company, and the Company and Acquiror shall cooperate with each other through the Closing Date and use good faith efforts to resolve any differences regarding the calculations and estimates contained in the Updated Acquiror Closing Statement (and any updates or revisions as may be agreed to by the Company and Acquiror shall be included in the Updated Acquiror Closing Statement). Acquiror shall, and shall cause its Representatives to, (i) reasonably cooperate with the Company and its Representatives to the extent related to the Company’s review of the Acquiror Closing Statement and Updated Acquiror Closing Statement and the calculations and estimates contained therein (including engaging in good faith discussions related thereto) and (ii) provide access to personnel, books, records and other information during normal business hours to the extent related to the preparation of the Acquiror Closing Statement and Updated Acquiror Closing Statement and reasonably requested by the Company or its Representatives in connection with such review;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and shall cause its Representatives to not, unreasonably interfere with the business of Acquiror and its Subsidiaries in connection with any such access.</w:t>
      </w:r>
    </w:p>
    <w:p>
      <w:pPr>
        <w:spacing w:after="0" w:line="60" w:lineRule="exact"/>
        <w:rPr>
          <w:sz w:val="20"/>
          <w:szCs w:val="20"/>
          <w:color w:val="auto"/>
        </w:rPr>
      </w:pPr>
    </w:p>
    <w:p>
      <w:pPr>
        <w:ind w:left="560" w:right="20" w:firstLine="419"/>
        <w:spacing w:after="0" w:line="284" w:lineRule="auto"/>
        <w:tabs>
          <w:tab w:leader="none" w:pos="1238"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Company Closing Statement</w:t>
      </w:r>
      <w:r>
        <w:rPr>
          <w:rFonts w:ascii="Arial" w:cs="Arial" w:eastAsia="Arial" w:hAnsi="Arial"/>
          <w:sz w:val="16"/>
          <w:szCs w:val="16"/>
          <w:color w:val="auto"/>
        </w:rPr>
        <w:t>. On the date that is three (3) Business Days prior to the Closing Date, the Company shall deliver to Acquiror a written statement (the “</w:t>
      </w:r>
      <w:r>
        <w:rPr>
          <w:rFonts w:ascii="Arial" w:cs="Arial" w:eastAsia="Arial" w:hAnsi="Arial"/>
          <w:sz w:val="16"/>
          <w:szCs w:val="16"/>
          <w:u w:val="single" w:color="auto"/>
          <w:color w:val="auto"/>
        </w:rPr>
        <w:t>Company Closing Statement</w:t>
      </w:r>
      <w:r>
        <w:rPr>
          <w:rFonts w:ascii="Arial" w:cs="Arial" w:eastAsia="Arial" w:hAnsi="Arial"/>
          <w:sz w:val="16"/>
          <w:szCs w:val="16"/>
          <w:color w:val="auto"/>
        </w:rPr>
        <w:t>”) setting forth its good faith calculation of (i) the Company Transaction Expenses and (ii) (A) the Closing Cash Consideration and (B) the Closing Share Consideration, in each case, determined based on the information provided in the Acquiror Closing Statement and (iii) an allocation schedule setting forth (A) the number and class of Equity Securities of the Company owned by each Pre-Closing Holder, (B) the portion of the Total Pre-Closing Holder Consideration allocated to each Pre-Closing Holder (divided into the portion of the Closing Share Consideration (as a percentage) payable to such Pre-Closing Holder), (C) on a holder-by-holder and award-by-award basis, each Acquiror Option that will be outstanding as of the Closing, and, with respect to such Acquiror Option, the number of shares of Acquiror Common Stock issuable upon exercise of such Acquiror Option and the exercise price of such Acquiror Option, and (D) on a holder-by-holder and award-by-award basis, each Vested Company Option, the number of shares of Company Common Stock subject to the Cancelled Option Portion of each Vested Company Option, the applicable exercise price per share of each Vested Company Option, and the portion of the Closing Cash Consideration applicable to such Vested Company Option (the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xml:space="preserve">”), in each case, including a detailed itemization of the components thereof, and determined pursuant to the definitions contained in this Agreement. Following Acquiror’s receipt of the Company Closing Statement and through the Closing Date, Acquiror shall have the right to review and comment on such calculations and estimates, the Company shall consider in good faith any such comments made by Acquiror, and the Company and Acquiror shall cooperate with each other through the Closing Date and use good faith efforts to resolve any differences regarding the calculation of the items set forth on the Company Closing Statement (and any updates or revisions as may be agreed to by the Company and Acquiror shall be included in the Company Closing Statement, with such Company Closing Statement and all items and amounts set forth therein being final, conclusive, and binding upon, and non-appealable by, the parties hereto). The Company shall, and shall cause its Representatives to, (i) reasonably cooperate with Acquiror and its Representatives to the extent related to Acquiror’s review of the Company Closing Statement and the calculations and estimates contained therein (including engaging in good faith discussions related thereto) and (ii) provide access to personnel, books, records and other information during normal business hours to the extent related to the preparation of the Company Closing Statement and reasonably requested by Acquiror or its Representatives in connection with such review;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Acquiror shall not, and shall cause its Representatives to not, unreasonably interfere with the business of the Company and its Subsidiaries in connection with any such access.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00"/>
          </w:cols>
          <w:pgMar w:left="320" w:top="459" w:right="47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Except (i) as set forth in the disclosure letter delivered to Acquiror Parties by the Company on the date of this Agreement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Disclosure Letter</w:t>
      </w:r>
      <w:r>
        <w:rPr>
          <w:rFonts w:ascii="Arial" w:cs="Arial" w:eastAsia="Arial" w:hAnsi="Arial"/>
          <w:sz w:val="16"/>
          <w:szCs w:val="16"/>
          <w:color w:val="auto"/>
        </w:rPr>
        <w:t>”) (each section of which qualifies (a) the correspondingly numbered representation, warranty or covenant if specified therein and</w:t>
      </w:r>
    </w:p>
    <w:p>
      <w:pPr>
        <w:ind w:left="120" w:right="200" w:hanging="4"/>
        <w:spacing w:after="0" w:line="255" w:lineRule="auto"/>
        <w:tabs>
          <w:tab w:leader="none" w:pos="37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such other representations, warranties or covenants where its relevance as an exception to (or disclosure for purposes of) such other representation, warranty or covenant is reasonably apparent) and (ii) as contemplated by the Pre-Closing Restructuring Plan or otherwise in connection with the Pre-Closing Restructuring, the Company represents and warrants to Acquiror as follows:</w:t>
      </w:r>
    </w:p>
    <w:p>
      <w:pPr>
        <w:spacing w:after="0" w:line="19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Corporate Organization of the Company</w:t>
      </w:r>
      <w:r>
        <w:rPr>
          <w:rFonts w:ascii="Arial" w:cs="Arial" w:eastAsia="Arial" w:hAnsi="Arial"/>
          <w:sz w:val="16"/>
          <w:szCs w:val="16"/>
          <w:color w:val="auto"/>
        </w:rPr>
        <w:t>. The Company has been duly incorporated, is validly existing as a corporation and is in good standing under the Laws of the State of Delaware, except as would not be material to the Company. The copies of the certificate of incorporation of the Company certified by the Secretary of the State of Delaware and the bylaws, as in effect on the date hereof, previously made available by the Company to Acquiror are true, correct and complete and are in effect as of the date of this Agreement. The Company has the requisite corporate power and authority to own, operate and lease all of its properties, rights and assets and to carry on its business as it is now being conducted and is duly licensed or qualified and in good standing as a foreign entity in each jurisdiction in which the ownership of its property or the character of its activities is such as to require it to be so licensed or qualified, except where failure to have such corporate power and authority to own, operate and lease and to be so licensed or qualified would not reasonably be expected to have, individually or in the aggregate, a Material Adverse Effect.</w:t>
      </w:r>
    </w:p>
    <w:p>
      <w:pPr>
        <w:spacing w:after="0" w:line="16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The Subsidiaries of the Company and their respective jurisdictions of incorporation or organization, in each case, as of the date of this Agreement are set forth on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the Company Disclosure Letter. The Subsidiaries have been duly formed or organized, are validly existing under the laws of their jurisdiction of incorporation or organization and have the power and authority to own, operate and lease their properties, rights and assets and to conduct their business as it is now being conducted, except as would not be material to the Company and its Subsidiaries, taken as a whole. Each Subsidiary is duly licensed or qualified and in good standing as a foreign or extra-provincial corporation (or other entity, if applicable) in each jurisdiction in which its ownership of property or the character of its activities is such as to require it to be in good standing or so licensed or qualified, except where the failure to be in good standing or so licensed or qualified would not reasonably be expected to have, individually or in the aggregate, a Material Adverse Effect.</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Due Authorization</w:t>
      </w:r>
      <w:r>
        <w:rPr>
          <w:rFonts w:ascii="Arial" w:cs="Arial" w:eastAsia="Arial" w:hAnsi="Arial"/>
          <w:sz w:val="16"/>
          <w:szCs w:val="16"/>
          <w:color w:val="auto"/>
        </w:rPr>
        <w:t xml:space="preserve">. Other than the Company Stockholder Approval by the Requisite Company Stockholders, the Company has the requisite corporate power and authority to execute and deliver this Agreement and each Transaction Agreement to which it is or will be a party and (subject to the approvals described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Company Disclosure Letter) to perform all obligations to be performed by it hereunder and thereunder and to consummate the transactions contemplated hereby and thereby. The execution, delivery and performance of this Agreement and such Transaction Agreements and the consummation of the transactions contemplated hereby and thereby have been duly authorized by the board of directors of the Company and other than execution and delivery of the Company Stockholder Approval by the Requisite Company Stockholders, no other corporate proceeding on the part of the Company is necessary to authorize this Agreement or such Transaction Agreements or the Company’s performance hereunder or thereunder. This Agreement has been, and each such Transaction Agreement (when executed and delivered by the Company) will be, duly and validly executed and delivered by the Company and, assuming due and valid authorization, execution and delivery by each other party hereto and thereto, this Agreement constitutes, and each such Transaction Agreement will constitute, a valid and binding obligation of the Company, enforceable against the Company in accordance with its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Subject to the receipt of the consents, approvals, authorizations and other requirements set forth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Company Disclosure Letter, the execution, delivery and performance of this Agreement and each Transaction Agreement to which the Company is or will be a party by the Company and the consummation of the transactions contemplated hereby and thereby do not and will not (a) conflict with or violate any provision of, or result in the breach of or default under, the Governing Documents of the Company, (b) violate any provision of, or result in the breach of or default by the Company under any applicable Law, (c) except as set forth on </w:t>
      </w:r>
      <w:r>
        <w:rPr>
          <w:rFonts w:ascii="Arial" w:cs="Arial" w:eastAsia="Arial" w:hAnsi="Arial"/>
          <w:sz w:val="16"/>
          <w:szCs w:val="16"/>
          <w:u w:val="single" w:color="auto"/>
          <w:color w:val="auto"/>
        </w:rPr>
        <w:t>Section 5.04(c)</w:t>
      </w:r>
      <w:r>
        <w:rPr>
          <w:rFonts w:ascii="Arial" w:cs="Arial" w:eastAsia="Arial" w:hAnsi="Arial"/>
          <w:sz w:val="16"/>
          <w:szCs w:val="16"/>
          <w:color w:val="auto"/>
        </w:rPr>
        <w:t xml:space="preserve"> of the Company Disclosure Letter, require any consent, waiver or other action by any Person under, violate, or result in a breach of, constitute a default under, result in the acceleration, cancellation, termination or modification of, or create in any party the right to accelerate, terminate, cancel or modify, the terms, conditions or provisions of any Material Contract or Lease, (d) result in the creation of any Lien (except for Permitted Liens) upon any of the material properties, rights or assets of the Company or any of its Subsidiaries, or (e) constitute an event which, after notice or lapse of time or both, would result in any such violation, breach, termination, acceleration, modification, cancellation or creation of a Lien (except for Permitted Liens) or (f) result in a violation or revocation of any license, permit or approval from any Governmental Authority or other Person, except, in each case of clauses (b) through (f), for such violations, conflicts, breaches, defaults or failures to act that would not reasonably be expected to have, individually or in the aggregate, a Material Adverse Effect.</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Governmental Authorities; Consents</w:t>
      </w:r>
      <w:r>
        <w:rPr>
          <w:rFonts w:ascii="Arial" w:cs="Arial" w:eastAsia="Arial" w:hAnsi="Arial"/>
          <w:sz w:val="17"/>
          <w:szCs w:val="17"/>
          <w:color w:val="auto"/>
        </w:rPr>
        <w:t xml:space="preserve">. Assuming the truth and completeness of the representations and warranties of the Acquiror Parties contained in this Agreement, no action by, notice to, consent, approval, waiver, permit or authorization of, or designation, declaration or filing with, any Governmental Authority is required on the part of the Company with respect to the Company’s execution, delivery and performance of this Agreement and the consummation of the Transactions, except for (i) applicable requirements of the HSR Act and Securities Law, (ii) the filing of the First Certificate of Merger in accordance with the DGCL and the filing of the Second Certificate of Merger in accordance with the DLLCA, (iii) any actions, consents, approvals, permits or authorizations, designations, declarations or filings, the absence of which would not reasonably be expected to have, individually or in the aggregate, a material adverse effect on the ability of the Company to perform or comply with on a timely basis any material obligation of the Company under this Agreement or to consummate the Transactions in accordance with the terms hereof and (iv) as otherwise disclosed on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Company Disclosure Letter.</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Current Capitalization</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59" w:lineRule="auto"/>
        <w:tabs>
          <w:tab w:leader="none" w:pos="122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As of the date hereof, the authorized capital stock of the Company consists of (1) 114,092,838 shares of Company Common Stock, of which 11,813,602 shares are outstanding and (2) 84,389,164 shares of Company Preferred Stock, of which 83,395,815 are outstanding and convertible into 83,395,815 shares of Company Common Stock. The outstanding shares of capital stock or other equity interests of the Company have been duly authorized and validly issued and are fully paid and nonassessable.</w:t>
      </w:r>
    </w:p>
    <w:p>
      <w:pPr>
        <w:spacing w:after="0" w:line="78" w:lineRule="exact"/>
        <w:rPr>
          <w:rFonts w:ascii="Arial" w:cs="Arial" w:eastAsia="Arial" w:hAnsi="Arial"/>
          <w:sz w:val="18"/>
          <w:szCs w:val="18"/>
          <w:color w:val="auto"/>
        </w:rPr>
      </w:pPr>
    </w:p>
    <w:p>
      <w:pPr>
        <w:ind w:left="560" w:right="20" w:firstLine="419"/>
        <w:spacing w:after="0" w:line="287" w:lineRule="auto"/>
        <w:tabs>
          <w:tab w:leader="none" w:pos="123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As of the date hereof, 18,097,815 shares of Company Common Stock are issuable pursuant to outstanding Company Stock Options granted prior to the date of this Agreement. 744,656 shares of Company Common Stock are issuable pursuant to Company stock options that have been promised pursuant to contractual arrangements but not yet granted as of the date hereof (the “</w:t>
      </w:r>
      <w:r>
        <w:rPr>
          <w:rFonts w:ascii="Arial" w:cs="Arial" w:eastAsia="Arial" w:hAnsi="Arial"/>
          <w:sz w:val="16"/>
          <w:szCs w:val="16"/>
          <w:u w:val="single" w:color="auto"/>
          <w:color w:val="auto"/>
        </w:rPr>
        <w:t>Promised Company Stock Options</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560" w:right="20"/>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of the Company Disclosure Letter sets forth a complete and accurate list, as of January 8, 2021, (i) of holders of capital stock (including the number of shares owned by such person), warrants (including the number of shares of Company Common Stock underlying such warrants and the exercise price thereof) and equity awards of the Company and (ii) of holders of outstanding Company equity awards, including, on an award-by-award basis, the type of award, the name of the holder, the number of shares of Company Common Stock underlying the award, including the cumulative number of shares underlying vested awards, the vesting schedule, where applicable, and the exercise price, where applicable, which list shall include the Promised Company Stock Options and identifying them as such. Other than as set forth in this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or on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of the Company Disclosure Letter, there are (i) no subscriptions, calls, options, warrants, rights (including preemptive rights), puts or other securities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color w:val="auto"/>
        </w:rPr>
        <w:t>convertible into or exchangeable or exercisable for Company Stock or, or other equity interests in, the Company, or any other Contracts to which the Company is a party or by which the Company or any of its assets or properties are bound obligating the Company to issue or sell any shares of capital stock of, other equity interests in or debt securities of, the Company, (ii) no equity equivalents, stock appreciation rights, phantom stock ownership interests or similar rights in the Company, (iii) as of the date hereof, (A) no outstanding contractual obligations of the Company to repurchase, redeem or otherwise acquire any securities or equity interests of the Company and (B) no outstanding bonds, debentures, notes or other indebtedness of the Company having the right to vote (or convertible into, or exchangeable for, securities having the right to vote) on any matter for which the Company’s stockholders may vote, (iv) no shareholders agreements, voting agreements, proxies, registration rights agreements or other similar agreements relating to the Company’s equity interests to which the Company is a party and (v) as of the date hereof, no shares of common stock, preferred stock or other equity interests of the Company issued and outstanding.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Capitalization of Subsidiaries</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73" w:lineRule="auto"/>
        <w:tabs>
          <w:tab w:leader="none" w:pos="1228"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outstanding shares of capital stock or other equity interests of each of the Company’s Subsidiaries have been duly authorized and validly issued and are fully paid and nonassessable. Except as set forth on </w:t>
      </w:r>
      <w:r>
        <w:rPr>
          <w:rFonts w:ascii="Arial" w:cs="Arial" w:eastAsia="Arial" w:hAnsi="Arial"/>
          <w:sz w:val="17"/>
          <w:szCs w:val="17"/>
          <w:u w:val="single" w:color="auto"/>
          <w:color w:val="auto"/>
        </w:rPr>
        <w:t>Section 5.07(a)</w:t>
      </w:r>
      <w:r>
        <w:rPr>
          <w:rFonts w:ascii="Arial" w:cs="Arial" w:eastAsia="Arial" w:hAnsi="Arial"/>
          <w:sz w:val="17"/>
          <w:szCs w:val="17"/>
          <w:color w:val="auto"/>
        </w:rPr>
        <w:t xml:space="preserve"> of the Company Disclosure Letter, all of the outstanding ownership interests in each Subsidiary of the Company are owned by the Company, directly or indirectly, free and clear of any Liens (other than the restrictions under applicable Securities Laws, transfer restrictions existing under the terms of the Governing Documents of such Subsidiary, and Permitted Liens) and free of any other limitation or restriction (including any restriction on the right to vote, sell or otherwise dispose of such ownership interests) and have not been issued in violation of preemptive or similar rights.</w:t>
      </w:r>
    </w:p>
    <w:p>
      <w:pPr>
        <w:spacing w:after="0" w:line="69" w:lineRule="exact"/>
        <w:rPr>
          <w:rFonts w:ascii="Arial" w:cs="Arial" w:eastAsia="Arial" w:hAnsi="Arial"/>
          <w:sz w:val="17"/>
          <w:szCs w:val="17"/>
          <w:color w:val="auto"/>
        </w:rPr>
      </w:pPr>
    </w:p>
    <w:p>
      <w:pPr>
        <w:ind w:left="560" w:right="40" w:firstLine="419"/>
        <w:spacing w:after="0" w:line="286" w:lineRule="auto"/>
        <w:tabs>
          <w:tab w:leader="none" w:pos="123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5.07(b)</w:t>
      </w:r>
      <w:r>
        <w:rPr>
          <w:rFonts w:ascii="Arial" w:cs="Arial" w:eastAsia="Arial" w:hAnsi="Arial"/>
          <w:sz w:val="16"/>
          <w:szCs w:val="16"/>
          <w:color w:val="auto"/>
        </w:rPr>
        <w:t xml:space="preserve"> of the Company Disclosure Letter, there are no outstanding (i) securities of the Company or any of its Subsidiaries convertible into or exchangeable for ownership interests in any Subsidiary of the Company, (ii) obligations, options, warrants or other rights (including preemptive rights), commitments or arrangements to acquire from the Company or any of its Subsidiaries, or other obligations or commitments of the Company or any of its Subsidiaries to issue, sell or otherwise transfer, any ownership interests in, or any securities convertible into or exchangeable for any ownership interests in, any Subsidiary of the Company or (iii) restricted shares, stock appreciation rights, performance shares, contingent value rights, “phantom” stock or similar securities or rights that are derivative of, or provide economic benefits based, directly or indirectly, on the value or price of, any ownership interests in, any Subsidiary of the Company (the items in clauses (a)-(c), in addition to all ownership interests of the Company’s Subsidiaries, being referred to collectively as the “</w:t>
      </w:r>
      <w:r>
        <w:rPr>
          <w:rFonts w:ascii="Arial" w:cs="Arial" w:eastAsia="Arial" w:hAnsi="Arial"/>
          <w:sz w:val="16"/>
          <w:szCs w:val="16"/>
          <w:u w:val="single" w:color="auto"/>
          <w:color w:val="auto"/>
        </w:rPr>
        <w:t>Company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There are no (x) voting trusts, proxies, equityholders agreements or other similar agreements or understandings to which any Subsidiary of the Company is a party or by which any Subsidiary of the Company is bound with respect to the voting or transfer of any shares of capital stock of such Subsidiary, or (y) obligations or commitments of the Company or any of its Subsidiaries to repurchase, redeem or otherwise acquire any of the Company Subsidiary Securities or make payments in respect of such shares, including based on the value thereof, or to make any investment (in the form of a loan, capital contribution or otherwise) in any other Person. Except for the Company Subsidiary Securities, neither the Company nor any of its Subsidiaries owns any equity, ownership, profit, voting or similar interest in or any interest convertible, exchangeable or exercisable for, any equity, profit, voting or similar interest in, any Person.</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9" w:lineRule="auto"/>
        <w:tabs>
          <w:tab w:leader="none" w:pos="122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Attached as </w:t>
      </w:r>
      <w:r>
        <w:rPr>
          <w:rFonts w:ascii="Arial" w:cs="Arial" w:eastAsia="Arial" w:hAnsi="Arial"/>
          <w:sz w:val="17"/>
          <w:szCs w:val="17"/>
          <w:u w:val="single" w:color="auto"/>
          <w:color w:val="auto"/>
        </w:rPr>
        <w:t>Section 5.08(a)</w:t>
      </w:r>
      <w:r>
        <w:rPr>
          <w:rFonts w:ascii="Arial" w:cs="Arial" w:eastAsia="Arial" w:hAnsi="Arial"/>
          <w:sz w:val="17"/>
          <w:szCs w:val="17"/>
          <w:color w:val="auto"/>
        </w:rPr>
        <w:t xml:space="preserve"> of the Company Disclosure Letter hereto are true and complete copies of (a) the audited consolidated balance sheets of the Company and its Subsidiaries as of December 31, 2019 and December 31, 2018, and the related audited consolidated statements of operations, cash flows and shareholders’ equity for the years then ended, together with the auditor’s reports thereon (the “</w:t>
      </w:r>
      <w:r>
        <w:rPr>
          <w:rFonts w:ascii="Arial" w:cs="Arial" w:eastAsia="Arial" w:hAnsi="Arial"/>
          <w:sz w:val="17"/>
          <w:szCs w:val="17"/>
          <w:u w:val="single" w:color="auto"/>
          <w:color w:val="auto"/>
        </w:rPr>
        <w:t>Audited 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and (b) the unaudited consolidated condensed balance sheets of each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40"/>
          </w:cols>
          <w:pgMar w:left="320" w:top="459" w:right="43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Company and its Subsidiaries as of September 30, 2020 and the related unaudited consolidated statements of operations and cash flows for the 9-month period then ended (such September 30, 2020 balance sheets, the “</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(the “</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and, together with the Audited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76" w:lineRule="exact"/>
        <w:rPr>
          <w:sz w:val="20"/>
          <w:szCs w:val="20"/>
          <w:color w:val="auto"/>
        </w:rPr>
      </w:pPr>
    </w:p>
    <w:p>
      <w:pPr>
        <w:ind w:left="560" w:right="100" w:firstLine="419"/>
        <w:spacing w:after="0" w:line="284" w:lineRule="auto"/>
        <w:tabs>
          <w:tab w:leader="none" w:pos="1238"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The Financial Statements (i) have been prepared from, and reflect in all material respects, the books and records of the Company and its Subsidiaries in accordance with GAAP, (ii) present fairly, in all material respects, the consolidated financial position, cash flows and changes in shareholders’ equity (with respect to the Audited Financial Statements only) of the Company and its Subsidiaries as of the dates and for the periods indicated in such Financial Statements in conformity with GAAP consistently applied in all material respects throughout the periods covered thereby (except, in the case of the Interim Financial Statements, for normal and recurring year-end adjustments and the absence of footnotes and other presentation items, in each case, the impact of which are not material to the entities named therein taken as a whole) and</w:t>
      </w:r>
    </w:p>
    <w:p>
      <w:pPr>
        <w:spacing w:after="0" w:line="4" w:lineRule="exact"/>
        <w:rPr>
          <w:rFonts w:ascii="Arial" w:cs="Arial" w:eastAsia="Arial" w:hAnsi="Arial"/>
          <w:sz w:val="16"/>
          <w:szCs w:val="16"/>
          <w:color w:val="auto"/>
        </w:rPr>
      </w:pPr>
    </w:p>
    <w:p>
      <w:pPr>
        <w:ind w:left="560" w:right="120" w:hanging="4"/>
        <w:spacing w:after="0" w:line="277" w:lineRule="auto"/>
        <w:tabs>
          <w:tab w:leader="none" w:pos="87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when delivered by the Company for inclusion in the Registration Statement for filing with the SEC following the date of this Agreement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64" w:lineRule="exact"/>
        <w:rPr>
          <w:rFonts w:ascii="Arial" w:cs="Arial" w:eastAsia="Arial" w:hAnsi="Arial"/>
          <w:sz w:val="17"/>
          <w:szCs w:val="17"/>
          <w:color w:val="auto"/>
        </w:rPr>
      </w:pPr>
    </w:p>
    <w:p>
      <w:pPr>
        <w:ind w:left="560" w:right="20" w:firstLine="419"/>
        <w:spacing w:after="0" w:line="259" w:lineRule="auto"/>
        <w:tabs>
          <w:tab w:leader="none" w:pos="1228"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Company and its Subsidiaries have established and maintained systems of internal controls sufficient to (i) provide reasonable assurance regarding the reliability of the Company’s and its Subsidiaries’ financial reporting and (ii) permit the preparation of financial statements in accordance with GAAP. The books and records of the Company and its Subsidiaries have been kept and maintained all material respects in accordance with applicable Laws.</w:t>
      </w:r>
    </w:p>
    <w:p>
      <w:pPr>
        <w:spacing w:after="0" w:line="187"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xml:space="preserve">. As of the date hereof, neither the Company nor any of its Subsidiaries has any liability, debt or obligation, whether accrued, contingent, absolute, determined, determinable or otherwise, required to be reflected or reserved for on a balance sheet prepared in accordance with GAAP, except for liabilities, debts or obligations (a) reflected or reserved for on the Financial Statements or disclosed in the notes thereto, (b) that have arisen since the date of the Most Recent Balance Sheet in the ordinary course of business of the Company and its Subsidiaries consistent with past practice that are not, individually or in the aggregate, material to the Company and its Subsidiaries, taken as a whole, (c) arising under this Agreement and/or the performance by the Company of its obligations hereunder, including Company Transaction Expenses or (d) disclosed on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of the Company Disclosure Letter.</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Litigation and Proceedings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Company Disclosure Letter there are no pending or, to the knowledge of the Company, threatened in writing Actions against the Company or any of its Subsidiaries or any of their respective properties, rights or assets which, if determined adversely, would, individually or in the aggregate, reasonably be expected to have a Material Adverse Effect on the ability of the Company to enter into and perform its obligations under this Agreement. Except as set forth on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Company Disclosure Letter there is no Governmental Order imposed upon or, to the knowledge of the Company, threatened in writing against the Company or any of its Subsidiaries or any of their respective properties, rights or assets that would, individually or in the aggregate, reasonably be expected to have a Material Adverse Effect on the ability of the Company to enter into and perform its obligations under this Agreement. As of the date hereof, there is no unsatisfied judgment or any open injunction binding upon the Company or any of its Subsidiaries which, if determined adversely, would, individually or in the aggregate, reasonably be expected to have a Material Adverse Effect on the ability of the Company to enter into and perform its obligations under this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left="560" w:right="400" w:firstLine="419"/>
        <w:spacing w:after="0" w:line="263" w:lineRule="auto"/>
        <w:tabs>
          <w:tab w:leader="none" w:pos="12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Except as would not reasonably be expected to have, individually or in the aggregate, a Material Adverse Effect, and except (i) with respect to compliance with Environmental Laws (as to which certain representations and warranties are made pursuant to </w:t>
      </w:r>
      <w:r>
        <w:rPr>
          <w:rFonts w:ascii="Arial" w:cs="Arial" w:eastAsia="Arial" w:hAnsi="Arial"/>
          <w:sz w:val="18"/>
          <w:szCs w:val="18"/>
          <w:u w:val="single" w:color="auto"/>
          <w:color w:val="auto"/>
        </w:rPr>
        <w:t>Section 5.21</w:t>
      </w:r>
      <w:r>
        <w:rPr>
          <w:rFonts w:ascii="Arial" w:cs="Arial" w:eastAsia="Arial" w:hAnsi="Arial"/>
          <w:sz w:val="18"/>
          <w:szCs w:val="18"/>
          <w:color w:val="auto"/>
        </w:rPr>
        <w:t>) and compliance with Tax Laws (which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86" w:lineRule="auto"/>
        <w:rPr>
          <w:sz w:val="20"/>
          <w:szCs w:val="20"/>
          <w:color w:val="auto"/>
        </w:rPr>
      </w:pPr>
      <w:r>
        <w:rPr>
          <w:rFonts w:ascii="Arial" w:cs="Arial" w:eastAsia="Arial" w:hAnsi="Arial"/>
          <w:sz w:val="16"/>
          <w:szCs w:val="16"/>
          <w:color w:val="auto"/>
        </w:rPr>
        <w:t xml:space="preserve">are the subject of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and (ii) as set forth on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of the Company Disclosure Letter, the Company and its Subsidiaries are, and since December 31, 2018 have been, in compliance with all applicable Laws and Governmental Orders. Except as would not reasonably be expected to have, individually or in the aggregate, a Material Adverse Effect, since December 31, 2018 through the date hereof, (a) neither the Company nor any of its Subsidiaries has received any written notice of any violations of applicable Laws, Governmental Orders or Permits, and</w:t>
      </w:r>
    </w:p>
    <w:p>
      <w:pPr>
        <w:spacing w:after="0" w:line="1" w:lineRule="exact"/>
        <w:rPr>
          <w:sz w:val="20"/>
          <w:szCs w:val="20"/>
          <w:color w:val="auto"/>
        </w:rPr>
      </w:pPr>
    </w:p>
    <w:p>
      <w:pPr>
        <w:ind w:left="560" w:right="40" w:hanging="4"/>
        <w:spacing w:after="0" w:line="252" w:lineRule="auto"/>
        <w:tabs>
          <w:tab w:leader="none" w:pos="81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 charge, claim, assertion or Action of any violation of any Law, Governmental Order or material Permit by the Company or any of its Subsidiaries is currently threatened in writing against the Company or any of its Subsidiaries. As of the date hereof (A) no material investigation or review by any Governmental Authority with respect to the Company or any of its Subsidiaries is pending or, to the knowledge of the Company, threatened in writing, and (B) no such investigations have been conducted by any Governmental Authority since December 31, 2018, other than those the outcome of which did not, individually or in the aggregate, result in material liability to the Company and its Subsidiaries, taken as a whole.</w:t>
      </w:r>
    </w:p>
    <w:p>
      <w:pPr>
        <w:spacing w:after="0" w:line="85" w:lineRule="exact"/>
        <w:rPr>
          <w:rFonts w:ascii="Arial" w:cs="Arial" w:eastAsia="Arial" w:hAnsi="Arial"/>
          <w:sz w:val="18"/>
          <w:szCs w:val="18"/>
          <w:color w:val="auto"/>
        </w:rPr>
      </w:pPr>
    </w:p>
    <w:p>
      <w:pPr>
        <w:ind w:left="560" w:right="60" w:firstLine="419"/>
        <w:spacing w:after="0" w:line="296" w:lineRule="auto"/>
        <w:tabs>
          <w:tab w:leader="none" w:pos="1238" w:val="left"/>
        </w:tabs>
        <w:numPr>
          <w:ilvl w:val="1"/>
          <w:numId w:val="342"/>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Material Adverse Effect, the Company, its Subsidiaries, each employed Engaged Professional, and to the Company’s knowledge, each contracted Engaged Professional is in compliance, to the extent applicable, with the terms and provisions of all Laws or other rules or regulations of any Governmental Authority relating to patient or individual healthcare information, including, without limitation, the Health Insurance Portability and Accountability Act of 1996, Pub. L. No. 104 191, as amended, and any rules or regulations promulgated thereunder and similar state Laws (collectively, the “</w:t>
      </w:r>
      <w:r>
        <w:rPr>
          <w:rFonts w:ascii="Arial" w:cs="Arial" w:eastAsia="Arial" w:hAnsi="Arial"/>
          <w:sz w:val="16"/>
          <w:szCs w:val="16"/>
          <w:u w:val="single" w:color="auto"/>
          <w:color w:val="auto"/>
        </w:rPr>
        <w:t>Healthcare Information Laws</w:t>
      </w:r>
      <w:r>
        <w:rPr>
          <w:rFonts w:ascii="Arial" w:cs="Arial" w:eastAsia="Arial" w:hAnsi="Arial"/>
          <w:sz w:val="16"/>
          <w:szCs w:val="16"/>
          <w:color w:val="auto"/>
        </w:rPr>
        <w: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Contracts; No Defaults</w:t>
      </w:r>
      <w:r>
        <w:rPr>
          <w:rFonts w:ascii="Arial" w:cs="Arial" w:eastAsia="Arial" w:hAnsi="Arial"/>
          <w:sz w:val="18"/>
          <w:szCs w:val="18"/>
          <w:color w:val="auto"/>
        </w:rPr>
        <w:t>.</w:t>
      </w:r>
    </w:p>
    <w:p>
      <w:pPr>
        <w:spacing w:after="0" w:line="117" w:lineRule="exact"/>
        <w:rPr>
          <w:sz w:val="20"/>
          <w:szCs w:val="20"/>
          <w:color w:val="auto"/>
        </w:rPr>
      </w:pPr>
    </w:p>
    <w:p>
      <w:pPr>
        <w:jc w:val="both"/>
        <w:ind w:left="560" w:right="100" w:firstLine="419"/>
        <w:spacing w:after="0" w:line="263" w:lineRule="auto"/>
        <w:tabs>
          <w:tab w:leader="none" w:pos="122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Except for the Leases and Company Benefit Plans set forth on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of the Company Disclosure Letter,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of the Company Disclosure Letter sets forth a complete and accurate list of all of the following Contracts to which, as of the date of this Agreement, the Company and/or any of its Subsidiaries is a party or is otherwise bound:</w:t>
      </w:r>
    </w:p>
    <w:p>
      <w:pPr>
        <w:spacing w:after="0" w:line="75" w:lineRule="exact"/>
        <w:rPr>
          <w:rFonts w:ascii="Arial" w:cs="Arial" w:eastAsia="Arial" w:hAnsi="Arial"/>
          <w:sz w:val="18"/>
          <w:szCs w:val="18"/>
          <w:color w:val="auto"/>
        </w:rPr>
      </w:pPr>
    </w:p>
    <w:p>
      <w:pPr>
        <w:ind w:left="1720" w:hanging="212"/>
        <w:spacing w:after="0"/>
        <w:tabs>
          <w:tab w:leader="none" w:pos="17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Contracts with any Material B2B Customer or Material Supplier;</w:t>
      </w:r>
    </w:p>
    <w:p>
      <w:pPr>
        <w:spacing w:after="0" w:line="117" w:lineRule="exact"/>
        <w:rPr>
          <w:rFonts w:ascii="Arial" w:cs="Arial" w:eastAsia="Arial" w:hAnsi="Arial"/>
          <w:sz w:val="18"/>
          <w:szCs w:val="18"/>
          <w:color w:val="auto"/>
        </w:rPr>
      </w:pPr>
    </w:p>
    <w:p>
      <w:pPr>
        <w:ind w:left="1100" w:right="40" w:firstLine="408"/>
        <w:spacing w:after="0" w:line="257" w:lineRule="auto"/>
        <w:tabs>
          <w:tab w:leader="none" w:pos="176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each Contract that (A) requires aggregate future payments to the Company and its Subsidiaries in excess of $500,000 in any calendar year and is not terminable by the counterparty with more than one hundred and twenty (120) days’ notice, and (B) grants to any Person (other than the Company or its Subsidiaries) (1) any “most favored nation” provisions or other price guarantees for a period greater than one (1) year with respect to such payments described in clause (A), or (2) material non-competition, non-solicitation or no-hire provisions imposed on the Company or its Subsidiaries;</w:t>
      </w:r>
    </w:p>
    <w:p>
      <w:pPr>
        <w:spacing w:after="0" w:line="79" w:lineRule="exact"/>
        <w:rPr>
          <w:rFonts w:ascii="Arial" w:cs="Arial" w:eastAsia="Arial" w:hAnsi="Arial"/>
          <w:sz w:val="18"/>
          <w:szCs w:val="18"/>
          <w:color w:val="auto"/>
        </w:rPr>
      </w:pPr>
    </w:p>
    <w:p>
      <w:pPr>
        <w:ind w:left="1100" w:right="40" w:firstLine="408"/>
        <w:spacing w:after="0" w:line="301" w:lineRule="auto"/>
        <w:tabs>
          <w:tab w:leader="none" w:pos="181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(x) Contracts entered into during the one (1) year prior to the date hereof with respect to mergers, acquisitions or sales of any Person or material business unit thereof by the Company or any of its Subsidiaries other than such Contracts between the Company and its Subsidiaries (each an “</w:t>
      </w:r>
      <w:r>
        <w:rPr>
          <w:rFonts w:ascii="Arial" w:cs="Arial" w:eastAsia="Arial" w:hAnsi="Arial"/>
          <w:sz w:val="16"/>
          <w:szCs w:val="16"/>
          <w:u w:val="single" w:color="auto"/>
          <w:color w:val="auto"/>
        </w:rPr>
        <w:t>M&amp;A Contract</w:t>
      </w:r>
      <w:r>
        <w:rPr>
          <w:rFonts w:ascii="Arial" w:cs="Arial" w:eastAsia="Arial" w:hAnsi="Arial"/>
          <w:sz w:val="16"/>
          <w:szCs w:val="16"/>
          <w:color w:val="auto"/>
        </w:rPr>
        <w:t>”), or (y) M&amp;A Contracts in which the Company or any of its Subsidiaries have any ongoing material obligations or liabilities, including deferred purchase price payments, earn-out payments or indemnification obligations;</w:t>
      </w:r>
    </w:p>
    <w:p>
      <w:pPr>
        <w:spacing w:after="0" w:line="49" w:lineRule="exact"/>
        <w:rPr>
          <w:rFonts w:ascii="Arial" w:cs="Arial" w:eastAsia="Arial" w:hAnsi="Arial"/>
          <w:sz w:val="16"/>
          <w:szCs w:val="16"/>
          <w:color w:val="auto"/>
        </w:rPr>
      </w:pPr>
    </w:p>
    <w:p>
      <w:pPr>
        <w:ind w:left="1820" w:hanging="312"/>
        <w:spacing w:after="0"/>
        <w:tabs>
          <w:tab w:leader="none" w:pos="182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Contracts establishing partnerships or joint ventures, in each case, that are material to the Company and its Subsidiaries, taken as</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a whole;</w:t>
      </w:r>
    </w:p>
    <w:p>
      <w:pPr>
        <w:spacing w:after="0" w:line="102" w:lineRule="exact"/>
        <w:rPr>
          <w:rFonts w:ascii="Arial" w:cs="Arial" w:eastAsia="Arial" w:hAnsi="Arial"/>
          <w:sz w:val="16"/>
          <w:szCs w:val="16"/>
          <w:color w:val="auto"/>
        </w:rPr>
      </w:pPr>
    </w:p>
    <w:p>
      <w:pPr>
        <w:ind w:left="1100" w:firstLine="408"/>
        <w:spacing w:after="0" w:line="277" w:lineRule="auto"/>
        <w:tabs>
          <w:tab w:leader="none" w:pos="175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top ten (10) Contracts with Engaged Professionals or otherwise involving the provision of medical services, measured by total spend during the fiscal year ended December 31, 2019;</w:t>
      </w:r>
    </w:p>
    <w:p>
      <w:pPr>
        <w:spacing w:after="0" w:line="62" w:lineRule="exact"/>
        <w:rPr>
          <w:rFonts w:ascii="Arial" w:cs="Arial" w:eastAsia="Arial" w:hAnsi="Arial"/>
          <w:sz w:val="18"/>
          <w:szCs w:val="18"/>
          <w:color w:val="auto"/>
        </w:rPr>
      </w:pPr>
    </w:p>
    <w:p>
      <w:pPr>
        <w:ind w:left="1100" w:right="20" w:firstLine="408"/>
        <w:spacing w:after="0" w:line="277" w:lineRule="auto"/>
        <w:tabs>
          <w:tab w:leader="none" w:pos="180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each Contract with Governmental Authorities requiring aggregate future payments to the Company and its Subsidiaries in excess of $500,000 in any calendar year;</w:t>
      </w:r>
    </w:p>
    <w:p>
      <w:pPr>
        <w:spacing w:after="0" w:line="62" w:lineRule="exact"/>
        <w:rPr>
          <w:rFonts w:ascii="Arial" w:cs="Arial" w:eastAsia="Arial" w:hAnsi="Arial"/>
          <w:sz w:val="18"/>
          <w:szCs w:val="18"/>
          <w:color w:val="auto"/>
        </w:rPr>
      </w:pPr>
    </w:p>
    <w:p>
      <w:pPr>
        <w:ind w:left="1100" w:right="160" w:firstLine="408"/>
        <w:spacing w:after="0" w:line="277" w:lineRule="auto"/>
        <w:tabs>
          <w:tab w:leader="none" w:pos="185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Contracts for indebtedness for borrowed money or any guarantee thereof, including any mortgage, indenture, note, installment obligation or other instrument or agreement related thereto,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except any such Contract (A) with an aggregate outstanding principal amount not exceeding $1,000,000 or (B) between or among the Company and its Subsidiaries;</w:t>
      </w:r>
    </w:p>
    <w:p>
      <w:pPr>
        <w:spacing w:after="0" w:line="62" w:lineRule="exact"/>
        <w:rPr>
          <w:sz w:val="20"/>
          <w:szCs w:val="20"/>
          <w:color w:val="auto"/>
        </w:rPr>
      </w:pPr>
    </w:p>
    <w:p>
      <w:pPr>
        <w:ind w:left="1100" w:right="40" w:firstLine="408"/>
        <w:spacing w:after="0" w:line="308" w:lineRule="auto"/>
        <w:tabs>
          <w:tab w:leader="none" w:pos="1906" w:val="left"/>
        </w:tabs>
        <w:numPr>
          <w:ilvl w:val="1"/>
          <w:numId w:val="344"/>
        </w:numPr>
        <w:rPr>
          <w:rFonts w:ascii="Arial" w:cs="Arial" w:eastAsia="Arial" w:hAnsi="Arial"/>
          <w:sz w:val="17"/>
          <w:szCs w:val="17"/>
          <w:color w:val="auto"/>
        </w:rPr>
      </w:pPr>
      <w:r>
        <w:rPr>
          <w:rFonts w:ascii="Arial" w:cs="Arial" w:eastAsia="Arial" w:hAnsi="Arial"/>
          <w:sz w:val="17"/>
          <w:szCs w:val="17"/>
          <w:color w:val="auto"/>
        </w:rPr>
        <w:t>Contracts that relate to the settlement or final disposition of any material Action within the last two (2) years pursuant to which the Company or any of its Subsidiaries has ongoing obligations or liabilities, in each case, in excess of $1,000,000;</w:t>
      </w:r>
    </w:p>
    <w:p>
      <w:pPr>
        <w:spacing w:after="0" w:line="38" w:lineRule="exact"/>
        <w:rPr>
          <w:rFonts w:ascii="Arial" w:cs="Arial" w:eastAsia="Arial" w:hAnsi="Arial"/>
          <w:sz w:val="17"/>
          <w:szCs w:val="17"/>
          <w:color w:val="auto"/>
        </w:rPr>
      </w:pPr>
    </w:p>
    <w:p>
      <w:pPr>
        <w:ind w:left="1100" w:right="20" w:firstLine="408"/>
        <w:spacing w:after="0" w:line="293" w:lineRule="auto"/>
        <w:tabs>
          <w:tab w:leader="none" w:pos="1806" w:val="left"/>
        </w:tabs>
        <w:numPr>
          <w:ilvl w:val="1"/>
          <w:numId w:val="344"/>
        </w:numPr>
        <w:rPr>
          <w:rFonts w:ascii="Arial" w:cs="Arial" w:eastAsia="Arial" w:hAnsi="Arial"/>
          <w:sz w:val="16"/>
          <w:szCs w:val="16"/>
          <w:color w:val="auto"/>
        </w:rPr>
      </w:pPr>
      <w:r>
        <w:rPr>
          <w:rFonts w:ascii="Arial" w:cs="Arial" w:eastAsia="Arial" w:hAnsi="Arial"/>
          <w:sz w:val="16"/>
          <w:szCs w:val="16"/>
          <w:color w:val="auto"/>
        </w:rPr>
        <w:t>each material Contract to which the Company or any of its Subsidiaries is a party whereby the Company or any of its Subsidiaries has granted any Person any license under any material Owned Intellectual Property or whereby the Company or any of its Subsidiaries is granted a license to any material Intellectual Property (excluding (A) non-exclusive licenses granted by or to customers in the ordinary course of business, (B) licenses to open source software, (C) nondisclosure agreements, (D) invention assignment agreements with current and former employees, consultants, and independent contractors of the Company and its Subsidiaries, (E) employment agreements with any current or former employee, and (F) licenses in respect of commercially available off-the-shelf software);</w:t>
      </w:r>
    </w:p>
    <w:p>
      <w:pPr>
        <w:spacing w:after="0" w:line="56" w:lineRule="exact"/>
        <w:rPr>
          <w:rFonts w:ascii="Arial" w:cs="Arial" w:eastAsia="Arial" w:hAnsi="Arial"/>
          <w:sz w:val="16"/>
          <w:szCs w:val="16"/>
          <w:color w:val="auto"/>
        </w:rPr>
      </w:pPr>
    </w:p>
    <w:p>
      <w:pPr>
        <w:ind w:left="1100" w:right="80" w:firstLine="408"/>
        <w:spacing w:after="0" w:line="275" w:lineRule="auto"/>
        <w:tabs>
          <w:tab w:leader="none" w:pos="1756" w:val="left"/>
        </w:tabs>
        <w:numPr>
          <w:ilvl w:val="1"/>
          <w:numId w:val="344"/>
        </w:numPr>
        <w:rPr>
          <w:rFonts w:ascii="Arial" w:cs="Arial" w:eastAsia="Arial" w:hAnsi="Arial"/>
          <w:sz w:val="17"/>
          <w:szCs w:val="17"/>
          <w:color w:val="auto"/>
        </w:rPr>
      </w:pPr>
      <w:r>
        <w:rPr>
          <w:rFonts w:ascii="Arial" w:cs="Arial" w:eastAsia="Arial" w:hAnsi="Arial"/>
          <w:sz w:val="17"/>
          <w:szCs w:val="17"/>
          <w:color w:val="auto"/>
        </w:rPr>
        <w:t xml:space="preserve">Contracts with any officer, director, manager, stockholder, member of an Affiliate of the Company, any of its Subsidiaries or any of their respective relatives or Affiliates (other than the Company or any of the Company’s Subsidiaries) (excluding employee confidentiality and invention assignment agreements, equity or incentive equity documents, Governing Documents, employment agreements, Contracts set forth under </w:t>
      </w:r>
      <w:r>
        <w:rPr>
          <w:rFonts w:ascii="Arial" w:cs="Arial" w:eastAsia="Arial" w:hAnsi="Arial"/>
          <w:sz w:val="17"/>
          <w:szCs w:val="17"/>
          <w:u w:val="single" w:color="auto"/>
          <w:color w:val="auto"/>
        </w:rPr>
        <w:t>Section 5.12(a)(x)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Company Disclosure Letter and offer letters for at-will employment set forth on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1100" w:right="200" w:firstLine="408"/>
        <w:spacing w:after="0" w:line="263" w:lineRule="auto"/>
        <w:tabs>
          <w:tab w:leader="none" w:pos="180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employment, severance, consulting, and similar Contracts with each current executive, officer, director or current employee of the Company or its Subsidiaries providing for an annual base salary in excess of $200,000 (excluding Contracts for at-will employment that are terminable without any liability to the Company or any of its Subsidiaries); and</w:t>
      </w:r>
    </w:p>
    <w:p>
      <w:pPr>
        <w:spacing w:after="0" w:line="75" w:lineRule="exact"/>
        <w:rPr>
          <w:rFonts w:ascii="Arial" w:cs="Arial" w:eastAsia="Arial" w:hAnsi="Arial"/>
          <w:sz w:val="18"/>
          <w:szCs w:val="18"/>
          <w:color w:val="auto"/>
        </w:rPr>
      </w:pPr>
    </w:p>
    <w:p>
      <w:pPr>
        <w:ind w:left="1100" w:right="560" w:firstLine="408"/>
        <w:spacing w:after="0" w:line="263" w:lineRule="auto"/>
        <w:tabs>
          <w:tab w:leader="none" w:pos="185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each employee collective bargaining agreement or similar Contract between the Company or any of the Company’s Subsidiaries, on the one hand, and any labor union or other body representing employees of the Company or any of the Company’s Subsidiaries, on the other hand.</w:t>
      </w:r>
    </w:p>
    <w:p>
      <w:pPr>
        <w:spacing w:after="0" w:line="75" w:lineRule="exact"/>
        <w:rPr>
          <w:rFonts w:ascii="Arial" w:cs="Arial" w:eastAsia="Arial" w:hAnsi="Arial"/>
          <w:sz w:val="18"/>
          <w:szCs w:val="18"/>
          <w:color w:val="auto"/>
        </w:rPr>
      </w:pPr>
    </w:p>
    <w:p>
      <w:pPr>
        <w:ind w:left="560" w:firstLine="419"/>
        <w:spacing w:after="0" w:line="287" w:lineRule="auto"/>
        <w:tabs>
          <w:tab w:leader="none" w:pos="1238"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All of the foregoing set forth on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of the Company Disclosure Letter, including all amendments and modifications thereto, are sometimes collectively referred to as “</w:t>
      </w:r>
      <w:r>
        <w:rPr>
          <w:rFonts w:ascii="Arial" w:cs="Arial" w:eastAsia="Arial" w:hAnsi="Arial"/>
          <w:sz w:val="16"/>
          <w:szCs w:val="16"/>
          <w:u w:val="single" w:color="auto"/>
          <w:color w:val="auto"/>
        </w:rPr>
        <w:t>Material Contracts</w:t>
      </w:r>
      <w:r>
        <w:rPr>
          <w:rFonts w:ascii="Arial" w:cs="Arial" w:eastAsia="Arial" w:hAnsi="Arial"/>
          <w:sz w:val="16"/>
          <w:szCs w:val="16"/>
          <w:color w:val="auto"/>
        </w:rPr>
        <w:t>”. The Company has furnished or otherwise made available to Acquiror true, complete and correct copies of all Material Contracts. Each Material Contract sets forth the entire agreement and understanding between the Company and/or its Subsidiaries and the other parties thereto. Each Material Contract is valid, binding and in full force and effect (subject to the Enforceability Exceptions and assuming such Material Contract is a valid and legally binding obligation of the counterparty thereto). None of the Company, its Subsidiaries nor, to the knowledge of the Company, any other party thereto is in default or violation of any Material Contract in any material respect. There is no event or condition that exists that constitutes or, with or without notice or the passage of time or both, would constitute any such default or violation by the Company, its Subsidiaries or, to the knowledge of the Company, any other party thereto, or give rise to any acceleration of any obligation or loss of rights or any right of termination of a Material Contract. Since January 1, 2020, neither the Company nor any of its Subsidiaries has received any notice or request, in each case, in writing, on behalf of any other party to a Material Contract to terminate, cancel or not renew such Material Contract, or to renegotiate any material term thereof that would reasonably be expected to have, individually or in the aggregate, a Material Adverse Effect, or alleging or disputing any breach or default under such Material Contract.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117" w:lineRule="exact"/>
        <w:rPr>
          <w:sz w:val="20"/>
          <w:szCs w:val="20"/>
          <w:color w:val="auto"/>
        </w:rPr>
      </w:pPr>
    </w:p>
    <w:p>
      <w:pPr>
        <w:ind w:left="560" w:right="300" w:firstLine="419"/>
        <w:spacing w:after="0" w:line="277" w:lineRule="auto"/>
        <w:tabs>
          <w:tab w:leader="none" w:pos="1227"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of the Company Disclosure Letter sets forth a true and complete list of each Company Benefit Plan, indicating which Company Benefit Plans are PEO Sponsored Plans. For purposes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00"/>
          </w:cols>
          <w:pgMar w:left="320" w:top="459" w:right="47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88" w:lineRule="auto"/>
        <w:rPr>
          <w:sz w:val="20"/>
          <w:szCs w:val="20"/>
          <w:color w:val="auto"/>
        </w:rPr>
      </w:pPr>
      <w:r>
        <w:rPr>
          <w:rFonts w:ascii="Arial" w:cs="Arial" w:eastAsia="Arial" w:hAnsi="Arial"/>
          <w:sz w:val="16"/>
          <w:szCs w:val="16"/>
          <w:color w:val="auto"/>
        </w:rPr>
        <w:t>this Agreement, “Company Benefit Plan” means each material “employee benefit plan”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any stock purchase, stock option, equity compensation, severance, retirement, employment, individual consulting, retention, change-in-control, fringe benefit, collective bargaining, bonus, incentive, deferred compensation, employee loan and all other employee benefit plans, agreements, programs, policies or other arrangements, whether or not subject to ERISA, in each case, (a) which are contributed to (or required to be contributed to), sponsored by or maintained by the Company or any of its Subsidiaries for the benefit of any current or former employee, officer, director or individual consultant of the Company or its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Employees</w:t>
      </w:r>
      <w:r>
        <w:rPr>
          <w:rFonts w:ascii="Arial" w:cs="Arial" w:eastAsia="Arial" w:hAnsi="Arial"/>
          <w:sz w:val="16"/>
          <w:szCs w:val="16"/>
          <w:color w:val="auto"/>
        </w:rPr>
        <w:t>”), (b) pursuant to which the Company or any of its Subsidiaries could have any liability, other than any (i) statutory plan, program or arrangement that is required under applicable Laws and maintained by any Governmental Authority and (ii) multiemployer pension plans (as defined in Section 3(37) of ERISA or Section 4001(a)(3) of the Code), or (c) any plans sponsored by a PEO for the benefit of any current or former employee, officer, director or individual consultant of the Company or its Subsidiaries.</w:t>
      </w:r>
    </w:p>
    <w:p>
      <w:pPr>
        <w:spacing w:after="0" w:line="60" w:lineRule="exact"/>
        <w:rPr>
          <w:sz w:val="20"/>
          <w:szCs w:val="20"/>
          <w:color w:val="auto"/>
        </w:rPr>
      </w:pPr>
    </w:p>
    <w:p>
      <w:pPr>
        <w:ind w:left="560" w:right="40" w:firstLine="419"/>
        <w:spacing w:after="0" w:line="272" w:lineRule="auto"/>
        <w:tabs>
          <w:tab w:leader="none" w:pos="123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With respect to each Company Benefit Plan, the Company has delivered or made available to Acquiror copies of (i) each Company Benefit Plan and any current trust agreement or other funding instrument relating to such plan, (ii) the most recent summary plan description, if any, required under ERISA with respect to such Company Benefit Plan, (iii) the most recent annual report on Form 5500 and all attachments with respect to each Company Benefit Plan (if applicable), (iv) the most recent actuarial valuation (if applicable) relating to such Company Benefit Plan, (v) the most recent determination or opinion letter, if any, issued by the Internal Revenue Service with respect to any Company Benefit Plan; and (vi) all material communications received from or sent to the Internal Revenue Service or the Department of Labor (including a written description of any oral communication) within the last calendar year.</w:t>
      </w:r>
    </w:p>
    <w:p>
      <w:pPr>
        <w:spacing w:after="0" w:line="69" w:lineRule="exact"/>
        <w:rPr>
          <w:rFonts w:ascii="Arial" w:cs="Arial" w:eastAsia="Arial" w:hAnsi="Arial"/>
          <w:sz w:val="17"/>
          <w:szCs w:val="17"/>
          <w:color w:val="auto"/>
        </w:rPr>
      </w:pPr>
    </w:p>
    <w:p>
      <w:pPr>
        <w:ind w:left="560" w:firstLine="419"/>
        <w:spacing w:after="0" w:line="255" w:lineRule="auto"/>
        <w:tabs>
          <w:tab w:leader="none" w:pos="122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(i) each Company Benefit Plan, and with respect to each PEO Sponsored Plan, to the knowledge of the Company, has been administered in material compliance with its terms and all applicable Laws, including ERISA and the Code, and (ii) all contributions required to be made with respect to any Company Benefit Plan on or before the date hereof have been made. There is no material Action pending or, to the knowledge of the Company, threatened against any Company Benefit Plan or the assets of any Company Benefit Plan (other than routine claims for benefits), or, with respect to each PEO Sponsored Plan, to the knowledge of the Company.</w:t>
      </w:r>
    </w:p>
    <w:p>
      <w:pPr>
        <w:spacing w:after="0" w:line="84" w:lineRule="exact"/>
        <w:rPr>
          <w:rFonts w:ascii="Arial" w:cs="Arial" w:eastAsia="Arial" w:hAnsi="Arial"/>
          <w:sz w:val="18"/>
          <w:szCs w:val="18"/>
          <w:color w:val="auto"/>
        </w:rPr>
      </w:pPr>
    </w:p>
    <w:p>
      <w:pPr>
        <w:ind w:left="560" w:right="160" w:firstLine="419"/>
        <w:spacing w:after="0" w:line="301" w:lineRule="auto"/>
        <w:tabs>
          <w:tab w:leader="none" w:pos="123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Material Adverse Effect, with respect to each Company Benefit Plan, and with respect to each PEO Sponsored Plan, to the knowledge of the Company, that is a “nonqualified deferred compensation plan” within the meaning of Section 409A of the Code, such arrangement has, at all times while subject to Section 409A of the Code, been operated in compliance (including documentary compliance) with, Section 409A of the Code and all applicable guidance thereunder.</w:t>
      </w:r>
    </w:p>
    <w:p>
      <w:pPr>
        <w:spacing w:after="0" w:line="49" w:lineRule="exact"/>
        <w:rPr>
          <w:rFonts w:ascii="Arial" w:cs="Arial" w:eastAsia="Arial" w:hAnsi="Arial"/>
          <w:sz w:val="16"/>
          <w:szCs w:val="16"/>
          <w:color w:val="auto"/>
        </w:rPr>
      </w:pPr>
    </w:p>
    <w:p>
      <w:pPr>
        <w:ind w:left="560" w:right="100" w:firstLine="419"/>
        <w:spacing w:after="0" w:line="308" w:lineRule="auto"/>
        <w:tabs>
          <w:tab w:leader="none" w:pos="122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 Company Benefit Plan or other Contract to which the Company or any Subsidiary is a party or otherwise bound provides any Person with a “gross up” or similar payment in respect of any Taxes that may become payable under Sections 409A or 4999 of the Code.</w:t>
      </w:r>
    </w:p>
    <w:p>
      <w:pPr>
        <w:spacing w:after="0" w:line="38" w:lineRule="exact"/>
        <w:rPr>
          <w:rFonts w:ascii="Arial" w:cs="Arial" w:eastAsia="Arial" w:hAnsi="Arial"/>
          <w:sz w:val="17"/>
          <w:szCs w:val="17"/>
          <w:color w:val="auto"/>
        </w:rPr>
      </w:pPr>
    </w:p>
    <w:p>
      <w:pPr>
        <w:ind w:left="560" w:right="180" w:firstLine="419"/>
        <w:spacing w:after="0" w:line="257" w:lineRule="auto"/>
        <w:tabs>
          <w:tab w:leader="none" w:pos="120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and, to the knowledge of the Company, nothing has occurred, whether by action or failure to act, that could reasonably be expected to cause the loss of such qualification.</w:t>
      </w:r>
    </w:p>
    <w:p>
      <w:pPr>
        <w:spacing w:after="0" w:line="79" w:lineRule="exact"/>
        <w:rPr>
          <w:rFonts w:ascii="Arial" w:cs="Arial" w:eastAsia="Arial" w:hAnsi="Arial"/>
          <w:sz w:val="18"/>
          <w:szCs w:val="18"/>
          <w:color w:val="auto"/>
        </w:rPr>
      </w:pPr>
    </w:p>
    <w:p>
      <w:pPr>
        <w:ind w:left="560" w:right="400" w:firstLine="419"/>
        <w:spacing w:after="0" w:line="277" w:lineRule="auto"/>
        <w:tabs>
          <w:tab w:leader="none" w:pos="123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with respect to any employee benefit plan (within the meaning of Section 3(3) of ERISA),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40"/>
          </w:cols>
          <w:pgMar w:left="320" w:top="459" w:right="43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no event has occurred and no condition exists that would subject the Company or its Subsidiaries to any tax, fine, lien, or penalty imposed by ERISA, the Code or other applicable Law.</w:t>
      </w:r>
    </w:p>
    <w:p>
      <w:pPr>
        <w:spacing w:after="0" w:line="62" w:lineRule="exact"/>
        <w:rPr>
          <w:sz w:val="20"/>
          <w:szCs w:val="20"/>
          <w:color w:val="auto"/>
        </w:rPr>
      </w:pPr>
    </w:p>
    <w:p>
      <w:pPr>
        <w:ind w:left="560" w:right="120" w:firstLine="419"/>
        <w:spacing w:after="0" w:line="279" w:lineRule="auto"/>
        <w:tabs>
          <w:tab w:leader="none" w:pos="1238" w:val="left"/>
        </w:tabs>
        <w:numPr>
          <w:ilvl w:val="0"/>
          <w:numId w:val="348"/>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Material Adverse Effect, neither the Company nor any of its Subsidiaries has incurred any current or projected liability in respect of post-employment or post-retirement health, medical, or life insurance benefits for current, former or retired employees of Company or any of its Subsidiaries, except as required to avoid an excise tax under Section 4980B of the Code or otherwise except as may be required pursuant to any other applicable Law.</w:t>
      </w:r>
    </w:p>
    <w:p>
      <w:pPr>
        <w:spacing w:after="0" w:line="63" w:lineRule="exact"/>
        <w:rPr>
          <w:rFonts w:ascii="Arial" w:cs="Arial" w:eastAsia="Arial" w:hAnsi="Arial"/>
          <w:sz w:val="17"/>
          <w:szCs w:val="17"/>
          <w:color w:val="auto"/>
        </w:rPr>
      </w:pPr>
    </w:p>
    <w:p>
      <w:pPr>
        <w:ind w:left="560" w:right="100" w:firstLine="419"/>
        <w:spacing w:after="0" w:line="254" w:lineRule="auto"/>
        <w:tabs>
          <w:tab w:leader="none" w:pos="119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None of the Company, its Subsidiaries nor any of their respective ERISA Affiliates sponsors, maintains or is required to contribute to, and at no point during the six year period prior to the date hereof sponsored, maintained or was required to contribute to, (i) a multiemployer pension plan (as defined in Section 3(37) of ERISA or Section 4001(a)(3) of the Code) or (ii) a plan subject to Section 302 or Title IV of ERISA or Section 412 or Section 4971 of the Code. Neither the Company nor any of its Subsidiaries has, either directly or through an ERISA Affiliate, any liability pursuant to Section 302 or Title IV of ERISA or Section 412 or Section 4971 of the Code. Neither the Company nor any of its Subsidiaries has any liability with respect to any employee benefit plan maintained for the benefit of any employee, officer, director or individual consultant based outside of the United States.</w:t>
      </w:r>
    </w:p>
    <w:p>
      <w:pPr>
        <w:spacing w:after="0" w:line="86" w:lineRule="exact"/>
        <w:rPr>
          <w:rFonts w:ascii="Arial" w:cs="Arial" w:eastAsia="Arial" w:hAnsi="Arial"/>
          <w:sz w:val="18"/>
          <w:szCs w:val="18"/>
          <w:color w:val="auto"/>
        </w:rPr>
      </w:pPr>
    </w:p>
    <w:p>
      <w:pPr>
        <w:jc w:val="both"/>
        <w:ind w:left="560" w:right="280" w:firstLine="419"/>
        <w:spacing w:after="0" w:line="291" w:lineRule="auto"/>
        <w:tabs>
          <w:tab w:leader="none" w:pos="119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5.13(j)</w:t>
      </w:r>
      <w:r>
        <w:rPr>
          <w:rFonts w:ascii="Arial" w:cs="Arial" w:eastAsia="Arial" w:hAnsi="Arial"/>
          <w:sz w:val="16"/>
          <w:szCs w:val="16"/>
          <w:color w:val="auto"/>
        </w:rPr>
        <w:t xml:space="preserve"> of the Company Disclosure Letter, neither the execution and delivery of this Agreement by the Company nor the consummation of the Mergers will (whether alone or in connection with any subsequent event(s)) (i) result in the payment, acceleration, vesting, funding or creation of any compensatory rights of any director, officer or employee of the Company or its Subsidiaries to payments or benefits or increases in any payments or benefits (including any loan forgiveness) under any Company Benefit Plan (or under any arrangement that would be a Company Benefit Plan if in effect as of the date of this Agreement), (ii) result in severance pay or any increase in severance pay upon any termination of employment, or (iii) require any contributions or payments to fund any obligations under any Company Benefit Plan, or cause the Company or any of its Subsidiaries to transfer or set aside any assets to fund any Company Benefit Plan.</w:t>
      </w:r>
    </w:p>
    <w:p>
      <w:pPr>
        <w:spacing w:after="0" w:line="58" w:lineRule="exact"/>
        <w:rPr>
          <w:rFonts w:ascii="Arial" w:cs="Arial" w:eastAsia="Arial" w:hAnsi="Arial"/>
          <w:sz w:val="16"/>
          <w:szCs w:val="16"/>
          <w:color w:val="auto"/>
        </w:rPr>
      </w:pPr>
    </w:p>
    <w:p>
      <w:pPr>
        <w:ind w:left="560" w:firstLine="419"/>
        <w:spacing w:after="0" w:line="257" w:lineRule="auto"/>
        <w:tabs>
          <w:tab w:leader="none" w:pos="123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5.13(k)</w:t>
      </w:r>
      <w:r>
        <w:rPr>
          <w:rFonts w:ascii="Arial" w:cs="Arial" w:eastAsia="Arial" w:hAnsi="Arial"/>
          <w:sz w:val="18"/>
          <w:szCs w:val="18"/>
          <w:color w:val="auto"/>
        </w:rPr>
        <w:t xml:space="preserve"> of the Company Disclosure Letter, no amount or benefit that could be, or has been, received (whether in cash or property or the vesting of property or the cancellation of indebtedness) by any current or former employee, officer, or director, other individual service provider or shareholder of the Company or any of its Subsidiaries who is a “disqualified individual” within the meaning of Section 280G of the Code could reasonably be expected to be characterized as an “excess parachute payment” (as defined in Section 280G(b)(1) of the Code) as a result of the consummation of the Transactions.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jc w:val="both"/>
        <w:ind w:left="560" w:right="180" w:firstLine="419"/>
        <w:spacing w:after="0" w:line="259" w:lineRule="auto"/>
        <w:tabs>
          <w:tab w:leader="none" w:pos="122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Prior to the date of this Agreement, the Company has provided the Acquiror with a complete and accurate list of each employee of the Company and its Subsidiaries as of a date reasonably close to the date of this Agreement, together with (i) each such employee’s respective base salary or wage rate, (ii) current annual bonus opportunity, (iii) current title and work location, and (iv) status as exempt or non-exempt from overtime requirements.</w:t>
      </w:r>
    </w:p>
    <w:p>
      <w:pPr>
        <w:spacing w:after="0" w:line="78" w:lineRule="exact"/>
        <w:rPr>
          <w:rFonts w:ascii="Arial" w:cs="Arial" w:eastAsia="Arial" w:hAnsi="Arial"/>
          <w:sz w:val="18"/>
          <w:szCs w:val="18"/>
          <w:color w:val="auto"/>
        </w:rPr>
      </w:pPr>
    </w:p>
    <w:p>
      <w:pPr>
        <w:ind w:left="560" w:right="180" w:firstLine="419"/>
        <w:spacing w:after="0" w:line="287" w:lineRule="auto"/>
        <w:tabs>
          <w:tab w:leader="none" w:pos="1238" w:val="left"/>
        </w:tabs>
        <w:numPr>
          <w:ilvl w:val="1"/>
          <w:numId w:val="349"/>
        </w:numPr>
        <w:rPr>
          <w:rFonts w:ascii="Arial" w:cs="Arial" w:eastAsia="Arial" w:hAnsi="Arial"/>
          <w:sz w:val="16"/>
          <w:szCs w:val="16"/>
          <w:color w:val="auto"/>
        </w:rPr>
      </w:pPr>
      <w:r>
        <w:rPr>
          <w:rFonts w:ascii="Arial" w:cs="Arial" w:eastAsia="Arial" w:hAnsi="Arial"/>
          <w:sz w:val="16"/>
          <w:szCs w:val="16"/>
          <w:color w:val="auto"/>
        </w:rPr>
        <w:t>As of the date of this Agreement, neither the Company nor any of its Subsidiaries is a party to any collective bargaining agreement or similar agreements with a labor organization. None of the Company Employees are represented by any labor organization or works council with respect to their employment with the Company or any of its Subsidiaries. To the knowledge of the Company, as of the date of this Agreement,</w:t>
      </w:r>
    </w:p>
    <w:p>
      <w:pPr>
        <w:spacing w:after="0" w:line="2" w:lineRule="exact"/>
        <w:rPr>
          <w:rFonts w:ascii="Arial" w:cs="Arial" w:eastAsia="Arial" w:hAnsi="Arial"/>
          <w:sz w:val="16"/>
          <w:szCs w:val="16"/>
          <w:color w:val="auto"/>
        </w:rPr>
      </w:pPr>
    </w:p>
    <w:p>
      <w:pPr>
        <w:ind w:left="560" w:right="360" w:hanging="4"/>
        <w:spacing w:after="0" w:line="255" w:lineRule="auto"/>
        <w:tabs>
          <w:tab w:leader="none" w:pos="77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there are no activities or proceedings of any labor organization to organize any of the Company Employees, and (ii) there is no, and since December 31, 2018 has been no, material labor dispute or strike, slowdown, concerted refusal to work overtime, or work stoppage against the Company or any of its Subsidiaries, in each case, pending or threatened.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20" w:firstLine="419"/>
        <w:spacing w:after="0" w:line="263" w:lineRule="auto"/>
        <w:tabs>
          <w:tab w:leader="none" w:pos="1228" w:val="left"/>
        </w:tabs>
        <w:numPr>
          <w:ilvl w:val="1"/>
          <w:numId w:val="35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since December 31, 2018, neither the Company nor any of its Subsidiaries has implemented any plant closings or employee layoffs that would trigger notice obligations under the WARN Act.</w:t>
      </w:r>
    </w:p>
    <w:p>
      <w:pPr>
        <w:spacing w:after="0" w:line="75" w:lineRule="exact"/>
        <w:rPr>
          <w:rFonts w:ascii="Arial" w:cs="Arial" w:eastAsia="Arial" w:hAnsi="Arial"/>
          <w:sz w:val="18"/>
          <w:szCs w:val="18"/>
          <w:color w:val="auto"/>
        </w:rPr>
      </w:pPr>
    </w:p>
    <w:p>
      <w:pPr>
        <w:ind w:left="560" w:firstLine="419"/>
        <w:spacing w:after="0" w:line="284" w:lineRule="auto"/>
        <w:tabs>
          <w:tab w:leader="none" w:pos="123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Material Adverse Effect, (i) each of the Company and its Subsidiaries are in compliance with all applicable Laws regarding employment and employment practices, including, without limitation, all laws respecting terms and conditions of employment, health and safety, employee classification, non-discrimination, wages and hours, immigration, disability rights or benefits, equal opportunity, plant closures and layoffs, affirmative action, workers’ compensation, labor relations, “whistle blower” rights, sexual harassment policies, employee leave issues, the proper classification of employees and independent contractors, the proper payment of overtime and minimum wage, classification of employees as exempt and non-exempt, and unemployment insurance, and</w:t>
      </w:r>
    </w:p>
    <w:p>
      <w:pPr>
        <w:spacing w:after="0" w:line="4" w:lineRule="exact"/>
        <w:rPr>
          <w:rFonts w:ascii="Arial" w:cs="Arial" w:eastAsia="Arial" w:hAnsi="Arial"/>
          <w:sz w:val="16"/>
          <w:szCs w:val="16"/>
          <w:color w:val="auto"/>
        </w:rPr>
      </w:pPr>
    </w:p>
    <w:p>
      <w:pPr>
        <w:jc w:val="both"/>
        <w:ind w:left="560" w:right="300" w:hanging="4"/>
        <w:spacing w:after="0" w:line="255" w:lineRule="auto"/>
        <w:tabs>
          <w:tab w:leader="none" w:pos="82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Company and its Subsidiaries have not since December 31, 2018 committed any unfair labor practice as defined by the National Labor Relations Board or received written notice of any unfair labor practice complaint against it pending before the National Labor Relations Board that remains unresolved.</w:t>
      </w:r>
    </w:p>
    <w:p>
      <w:pPr>
        <w:spacing w:after="0" w:line="81" w:lineRule="exact"/>
        <w:rPr>
          <w:rFonts w:ascii="Arial" w:cs="Arial" w:eastAsia="Arial" w:hAnsi="Arial"/>
          <w:sz w:val="18"/>
          <w:szCs w:val="18"/>
          <w:color w:val="auto"/>
        </w:rPr>
      </w:pPr>
    </w:p>
    <w:p>
      <w:pPr>
        <w:ind w:left="560" w:right="260" w:firstLine="419"/>
        <w:spacing w:after="0" w:line="263" w:lineRule="auto"/>
        <w:tabs>
          <w:tab w:leader="none" w:pos="122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the Company and its Subsidiaries are not delinquent in payments to any employees or former employees for any services or amounts required to be reimbursed or otherwise paid in all cases since December 31, 2018.</w:t>
      </w:r>
    </w:p>
    <w:p>
      <w:pPr>
        <w:spacing w:after="0" w:line="75" w:lineRule="exact"/>
        <w:rPr>
          <w:rFonts w:ascii="Arial" w:cs="Arial" w:eastAsia="Arial" w:hAnsi="Arial"/>
          <w:sz w:val="18"/>
          <w:szCs w:val="18"/>
          <w:color w:val="auto"/>
        </w:rPr>
      </w:pPr>
    </w:p>
    <w:p>
      <w:pPr>
        <w:ind w:left="560" w:right="280" w:firstLine="419"/>
        <w:spacing w:after="0" w:line="311" w:lineRule="auto"/>
        <w:tabs>
          <w:tab w:leader="none" w:pos="1208" w:val="left"/>
        </w:tabs>
        <w:numPr>
          <w:ilvl w:val="1"/>
          <w:numId w:val="352"/>
        </w:numPr>
        <w:rPr>
          <w:rFonts w:ascii="Arial" w:cs="Arial" w:eastAsia="Arial" w:hAnsi="Arial"/>
          <w:sz w:val="16"/>
          <w:szCs w:val="16"/>
          <w:color w:val="auto"/>
        </w:rPr>
      </w:pPr>
      <w:r>
        <w:rPr>
          <w:rFonts w:ascii="Arial" w:cs="Arial" w:eastAsia="Arial" w:hAnsi="Arial"/>
          <w:sz w:val="16"/>
          <w:szCs w:val="16"/>
          <w:color w:val="auto"/>
        </w:rPr>
        <w:t>As of the date hereof, the Company has not received written notice that any Key Executive presently intends to terminate his or her employment with the Company and its Subsidiaries. To the knowledge of the Company, no officer, supervisor or management personnel of the Company or any of its Subsidiaries has been accused, in the past three (3) years, of sexual harassment or sexual misconduct.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560" w:right="260" w:firstLine="419"/>
        <w:spacing w:after="0" w:line="277" w:lineRule="auto"/>
        <w:tabs>
          <w:tab w:leader="none" w:pos="122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All material Tax Returns required by Law to be filed by the Company or its Subsidiaries have been filed, and all such Tax Returns are true, correct and complete in all material respects.</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All material amounts of Taxes due and owing by the Company and its Subsidiaries have been paid, and since the date of the Most Recent Balance Sheet neither the Company nor any of its Subsidiaries have incurred any material Tax liability outside the ordinary course of business other than any liabilities incurred in connection with the Transactions.</w:t>
      </w:r>
    </w:p>
    <w:p>
      <w:pPr>
        <w:spacing w:after="0" w:line="75" w:lineRule="exact"/>
        <w:rPr>
          <w:rFonts w:ascii="Arial" w:cs="Arial" w:eastAsia="Arial" w:hAnsi="Arial"/>
          <w:sz w:val="18"/>
          <w:szCs w:val="18"/>
          <w:color w:val="auto"/>
        </w:rPr>
      </w:pPr>
    </w:p>
    <w:p>
      <w:pPr>
        <w:ind w:left="560" w:right="80" w:firstLine="419"/>
        <w:spacing w:after="0" w:line="291" w:lineRule="auto"/>
        <w:tabs>
          <w:tab w:leader="none" w:pos="1228" w:val="left"/>
        </w:tabs>
        <w:numPr>
          <w:ilvl w:val="1"/>
          <w:numId w:val="353"/>
        </w:numPr>
        <w:rPr>
          <w:rFonts w:ascii="Arial" w:cs="Arial" w:eastAsia="Arial" w:hAnsi="Arial"/>
          <w:sz w:val="16"/>
          <w:szCs w:val="16"/>
          <w:color w:val="auto"/>
        </w:rPr>
      </w:pPr>
      <w:r>
        <w:rPr>
          <w:rFonts w:ascii="Arial" w:cs="Arial" w:eastAsia="Arial" w:hAnsi="Arial"/>
          <w:sz w:val="16"/>
          <w:szCs w:val="16"/>
          <w:color w:val="auto"/>
        </w:rPr>
        <w:t>Each of the Company and its Subsidiaries has (i) withheld and deducted all material amounts of Taxes required to have been withheld or deducted by it in connection with amounts paid or owed to any employee, independent contractor, creditor, shareholder or any other third party,</w:t>
      </w:r>
    </w:p>
    <w:p>
      <w:pPr>
        <w:ind w:left="560" w:right="300" w:hanging="4"/>
        <w:spacing w:after="0" w:line="290" w:lineRule="auto"/>
        <w:tabs>
          <w:tab w:leader="none" w:pos="82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timely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53" w:lineRule="exact"/>
        <w:rPr>
          <w:rFonts w:ascii="Arial" w:cs="Arial" w:eastAsia="Arial" w:hAnsi="Arial"/>
          <w:sz w:val="17"/>
          <w:szCs w:val="17"/>
          <w:color w:val="auto"/>
        </w:rPr>
      </w:pPr>
    </w:p>
    <w:p>
      <w:pPr>
        <w:ind w:left="560" w:right="20" w:firstLine="419"/>
        <w:spacing w:after="0" w:line="290" w:lineRule="auto"/>
        <w:tabs>
          <w:tab w:leader="none" w:pos="1238" w:val="left"/>
        </w:tabs>
        <w:numPr>
          <w:ilvl w:val="1"/>
          <w:numId w:val="35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engaged in any audit, administrative proceeding or judicial proceeding with respect to Taxes. Neither the Company nor any of its Subsidiaries has received any written notice from a Governmental Authority of a dispute or claim with respect to material Taxes, other than disputes or claims that have since been resolved, and no such claims have been threatened in writing. No written claim has been made, and to the knowledge of the Company, no oral claim has been made, since December 31, 2017, by any Governmental Authority in a jurisdiction where the Company or any of its Subsidiaries does not file a Tax Return that such entity is or may be subject to material Taxes by, or required to file a Tax Return in respect of material Taxes in, that jurisdiction. There are no outstanding agreements extending or waiving the statutory period of limitations applicable to any claim for, or the period for the collection or assessment or reassessment of, material Taxes of the Company or any of its Subsidiaries and no written request for any such waiver or extension is currently pending.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20" w:firstLine="419"/>
        <w:spacing w:after="0" w:line="263" w:lineRule="auto"/>
        <w:tabs>
          <w:tab w:leader="none" w:pos="122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Neither the Company nor any of its Subsidiaries (or any predecessor thereof) has constituted either a “distributing corporation” or a “controlled corporation” in a distribution of stock qualifying for Income Tax-free treatment under Section 355 of the Code (or so much of Section 356 of the Code as relates to Section 355 of the Code) since December 31, 2018.</w:t>
      </w:r>
    </w:p>
    <w:p>
      <w:pPr>
        <w:spacing w:after="0" w:line="75" w:lineRule="exact"/>
        <w:rPr>
          <w:rFonts w:ascii="Arial" w:cs="Arial" w:eastAsia="Arial" w:hAnsi="Arial"/>
          <w:sz w:val="18"/>
          <w:szCs w:val="18"/>
          <w:color w:val="auto"/>
        </w:rPr>
      </w:pPr>
    </w:p>
    <w:p>
      <w:pPr>
        <w:ind w:left="560" w:right="40" w:firstLine="419"/>
        <w:spacing w:after="0" w:line="301" w:lineRule="auto"/>
        <w:tabs>
          <w:tab w:leader="none" w:pos="1208" w:val="left"/>
        </w:tabs>
        <w:numPr>
          <w:ilvl w:val="1"/>
          <w:numId w:val="35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has been a party to any “reportable transaction” (other than a “loss transaction”) within the meaning of Treasury Regulation Section 1.6011-4(b), (ii) has executed or entered into any “closing agreement” or other binding written agreement with respect to material Taxes with a Governmental Authority that created obligations that will bind the Company or its Subsidiaries after the Closing or (iii) has, or has ever had, a permanent establishment or branch in a jurisdiction outside the country of its organization.</w:t>
      </w:r>
    </w:p>
    <w:p>
      <w:pPr>
        <w:spacing w:after="0" w:line="49" w:lineRule="exact"/>
        <w:rPr>
          <w:rFonts w:ascii="Arial" w:cs="Arial" w:eastAsia="Arial" w:hAnsi="Arial"/>
          <w:sz w:val="16"/>
          <w:szCs w:val="16"/>
          <w:color w:val="auto"/>
        </w:rPr>
      </w:pPr>
    </w:p>
    <w:p>
      <w:pPr>
        <w:ind w:left="560" w:right="100" w:firstLine="419"/>
        <w:spacing w:after="0" w:line="285" w:lineRule="auto"/>
        <w:tabs>
          <w:tab w:leader="none" w:pos="1238" w:val="left"/>
        </w:tabs>
        <w:numPr>
          <w:ilvl w:val="1"/>
          <w:numId w:val="355"/>
        </w:numPr>
        <w:rPr>
          <w:rFonts w:ascii="Arial" w:cs="Arial" w:eastAsia="Arial" w:hAnsi="Arial"/>
          <w:sz w:val="16"/>
          <w:szCs w:val="16"/>
          <w:color w:val="auto"/>
        </w:rPr>
      </w:pPr>
      <w:r>
        <w:rPr>
          <w:rFonts w:ascii="Arial" w:cs="Arial" w:eastAsia="Arial" w:hAnsi="Arial"/>
          <w:sz w:val="16"/>
          <w:szCs w:val="16"/>
          <w:color w:val="auto"/>
        </w:rPr>
        <w:t>Except with respect to deferred revenue or prepaid revenues collected by the Company or its Subsidiaries in the ordinary course of business, neither the Company nor its Subsidiaries will be required to include any material item of income in, or exclude any material item of deduction from, taxable income for any taxable period (or portion thereof) ending after the Closing Date as a result of any: (A) change in method of accounting for a taxable period (or portion thereof) ending on or prior to the Closing Date and made prior to the Closing; (B) election pursuant to Section 108(i) of the Code made prior to the Closing; (C) installment sale or open transaction disposition made prior to the Closing; or</w:t>
      </w:r>
    </w:p>
    <w:p>
      <w:pPr>
        <w:spacing w:after="0" w:line="1" w:lineRule="exact"/>
        <w:rPr>
          <w:rFonts w:ascii="Arial" w:cs="Arial" w:eastAsia="Arial" w:hAnsi="Arial"/>
          <w:sz w:val="16"/>
          <w:szCs w:val="16"/>
          <w:color w:val="auto"/>
        </w:rPr>
      </w:pPr>
    </w:p>
    <w:p>
      <w:pPr>
        <w:ind w:left="860" w:hanging="304"/>
        <w:spacing w:after="0"/>
        <w:tabs>
          <w:tab w:leader="none" w:pos="8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prepaid amount received prior to the Closing.</w:t>
      </w:r>
    </w:p>
    <w:p>
      <w:pPr>
        <w:spacing w:after="0" w:line="102" w:lineRule="exact"/>
        <w:rPr>
          <w:rFonts w:ascii="Arial" w:cs="Arial" w:eastAsia="Arial" w:hAnsi="Arial"/>
          <w:sz w:val="18"/>
          <w:szCs w:val="18"/>
          <w:color w:val="auto"/>
        </w:rPr>
      </w:pPr>
    </w:p>
    <w:p>
      <w:pPr>
        <w:ind w:left="1240" w:hanging="261"/>
        <w:spacing w:after="0"/>
        <w:tabs>
          <w:tab w:leader="none" w:pos="12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There are no Liens with respect to material Taxes on any of the assets of the Company or its Subsidiaries, other than Permitted Liens.</w:t>
      </w:r>
    </w:p>
    <w:p>
      <w:pPr>
        <w:spacing w:after="0" w:line="140" w:lineRule="exact"/>
        <w:rPr>
          <w:rFonts w:ascii="Arial" w:cs="Arial" w:eastAsia="Arial" w:hAnsi="Arial"/>
          <w:sz w:val="16"/>
          <w:szCs w:val="16"/>
          <w:color w:val="auto"/>
        </w:rPr>
      </w:pPr>
    </w:p>
    <w:p>
      <w:pPr>
        <w:ind w:left="560" w:right="220" w:firstLine="419"/>
        <w:spacing w:after="0" w:line="259" w:lineRule="auto"/>
        <w:tabs>
          <w:tab w:leader="none" w:pos="119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for the Taxes of any Person (other than the Company or its Subsidiaries) (i) under Treasury Regulation Section 1.1502-6 (or any similar provision of state, local or foreign Law), (ii) as a transferee or successor or (iii) by Contract or otherwise (except, in each case, for liabilities pursuant to commercial contracts (or Contracts entered into in the ordinary course of business) not primarily relating to Taxes).</w:t>
      </w:r>
    </w:p>
    <w:p>
      <w:pPr>
        <w:spacing w:after="0" w:line="78" w:lineRule="exact"/>
        <w:rPr>
          <w:rFonts w:ascii="Arial" w:cs="Arial" w:eastAsia="Arial" w:hAnsi="Arial"/>
          <w:sz w:val="18"/>
          <w:szCs w:val="18"/>
          <w:color w:val="auto"/>
        </w:rPr>
      </w:pPr>
    </w:p>
    <w:p>
      <w:pPr>
        <w:ind w:left="560" w:right="20" w:firstLine="419"/>
        <w:spacing w:after="0" w:line="296" w:lineRule="auto"/>
        <w:tabs>
          <w:tab w:leader="none" w:pos="1198" w:val="left"/>
        </w:tabs>
        <w:numPr>
          <w:ilvl w:val="1"/>
          <w:numId w:val="35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is bound by, or has any obligation to any Governmental Authority or other Person (other than the Company or its Subsidiaries) under any Tax allocation, Tax sharing, Tax indemnification or similar agreements (except, in each case, for any such agreements that are commercial contracts not primarily relating to Taxes). Neither the Company nor any of its Subsidiaries is a party to, is bound by, or has any obligation to any Pre-Closing Holder or any of its Affiliates under any material Contract with a Pre-Closing Holder or any of its Affiliates that contains a material Tax gross-up provision that has not been furnished or made available to the Acquiror.</w:t>
      </w:r>
    </w:p>
    <w:p>
      <w:pPr>
        <w:spacing w:after="0" w:line="53" w:lineRule="exact"/>
        <w:rPr>
          <w:rFonts w:ascii="Arial" w:cs="Arial" w:eastAsia="Arial" w:hAnsi="Arial"/>
          <w:sz w:val="16"/>
          <w:szCs w:val="16"/>
          <w:color w:val="auto"/>
        </w:rPr>
      </w:pPr>
    </w:p>
    <w:p>
      <w:pPr>
        <w:ind w:left="560" w:right="300" w:firstLine="419"/>
        <w:spacing w:after="0" w:line="277" w:lineRule="auto"/>
        <w:tabs>
          <w:tab w:leader="none" w:pos="123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Company has not been, is not, and immediately prior to the First Effective Time will not be, treated as an “investment company” within the meaning of Section 368(a)(2)(F) of the Code.</w:t>
      </w:r>
    </w:p>
    <w:p>
      <w:pPr>
        <w:spacing w:after="0" w:line="62" w:lineRule="exact"/>
        <w:rPr>
          <w:rFonts w:ascii="Arial" w:cs="Arial" w:eastAsia="Arial" w:hAnsi="Arial"/>
          <w:sz w:val="18"/>
          <w:szCs w:val="18"/>
          <w:color w:val="auto"/>
        </w:rPr>
      </w:pPr>
    </w:p>
    <w:p>
      <w:pPr>
        <w:ind w:left="560" w:right="100" w:firstLine="419"/>
        <w:spacing w:after="0" w:line="279" w:lineRule="auto"/>
        <w:tabs>
          <w:tab w:leader="none" w:pos="1198"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The Company has not taken any action (nor permitted any action to be taken), and is not aware of any fact or circumstance (other than any fact or circumstance relating to the value of the Acquiror Common Stock after the date hereof), that would reasonably be expected to prevent the First Merger and the Second Merger, taken together, from constituting an integrated transaction that qualifies as a “reorganization” within the meaning of Section 368(a) of the Code and the Treasury Regulations thereunder.</w:t>
      </w:r>
    </w:p>
    <w:p>
      <w:pPr>
        <w:spacing w:after="0" w:line="63" w:lineRule="exact"/>
        <w:rPr>
          <w:rFonts w:ascii="Arial" w:cs="Arial" w:eastAsia="Arial" w:hAnsi="Arial"/>
          <w:sz w:val="17"/>
          <w:szCs w:val="17"/>
          <w:color w:val="auto"/>
        </w:rPr>
      </w:pPr>
    </w:p>
    <w:p>
      <w:pPr>
        <w:ind w:left="560" w:firstLine="419"/>
        <w:spacing w:after="0" w:line="277" w:lineRule="auto"/>
        <w:tabs>
          <w:tab w:leader="none" w:pos="128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Company is not currently, and has not been during the past five (5) years, a “United States real property holding corporation” within the meaning of Section 897(c)(2) of the Code.</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of the Company Disclosure Letter sets forth a list of all material policies of property, fire and casualty, product liability, workers’ compensation, directors and officers and other forms of insurance held by, or for the benefit of, the Company or any of its Subsidiaries as of the date hereof (collectively, the “</w:t>
      </w:r>
      <w:r>
        <w:rPr>
          <w:rFonts w:ascii="Arial" w:cs="Arial" w:eastAsia="Arial" w:hAnsi="Arial"/>
          <w:sz w:val="18"/>
          <w:szCs w:val="18"/>
          <w:u w:val="single" w:color="auto"/>
          <w:color w:val="auto"/>
        </w:rPr>
        <w:t>Policies</w:t>
      </w:r>
      <w:r>
        <w:rPr>
          <w:rFonts w:ascii="Arial" w:cs="Arial" w:eastAsia="Arial" w:hAnsi="Arial"/>
          <w:sz w:val="18"/>
          <w:szCs w:val="18"/>
          <w:color w:val="auto"/>
        </w:rPr>
        <w:t>”). Except as would not reasonably be expected to have, individually or in the aggregate, a Material Adverse Effect: (a) all of the Policies with respect to policy periods that include the date of this Agreement are in full force and effect and all premiums due and payable for such Policies have been duly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paid, (b) neither the Company nor any of its Subsidiaries has received a written notice of cancellation of any of the Policies or of any changes that are required in the conduct of the business of the Company or any of its Subsidiaries as a condition to the continuation of coverage under, or renewal of, any of such Policies and (c) except as set forth on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of the Company Disclosure Letter there is no claim by the Company or any of its Subsidiaries under any Policy. The Company and its Subsidiaries have reported to their respective insurers all material claims and circumstances known by Company and Subsidiary employees with such reporting responsibilities that would reasonably be likely to give rise to a material claim by the Company or any of its Subsidiaries under any Policy.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Except as would not reasonably be expected to have, individually or in the aggregate, a Material Adverse Effect: (a) as of the date of this Agreement, each of the Company, its Subsidiaries and each Engaged Professional has all licenses, approvals, consents, registrations, franchises and permits that are required to own, lease or operate its properties and assets and to conduct its business as currently conducted (except with respect to licenses, approvals, consents, registrations and permits required under applicable Environmental Laws (as to which certain representations and warranties are made pursuant to </w:t>
      </w:r>
      <w:r>
        <w:rPr>
          <w:rFonts w:ascii="Arial" w:cs="Arial" w:eastAsia="Arial" w:hAnsi="Arial"/>
          <w:sz w:val="17"/>
          <w:szCs w:val="17"/>
          <w:u w:val="single" w:color="auto"/>
          <w:color w:val="auto"/>
        </w:rPr>
        <w:t>Section 5.21</w:t>
      </w:r>
      <w:r>
        <w:rPr>
          <w:rFonts w:ascii="Arial" w:cs="Arial" w:eastAsia="Arial" w:hAnsi="Arial"/>
          <w:sz w:val="17"/>
          <w:szCs w:val="17"/>
          <w:color w:val="auto"/>
        </w:rPr>
        <w:t>), the “</w:t>
      </w:r>
      <w:r>
        <w:rPr>
          <w:rFonts w:ascii="Arial" w:cs="Arial" w:eastAsia="Arial" w:hAnsi="Arial"/>
          <w:sz w:val="17"/>
          <w:szCs w:val="17"/>
          <w:u w:val="single" w:color="auto"/>
          <w:color w:val="auto"/>
        </w:rPr>
        <w:t>Permits</w:t>
      </w:r>
      <w:r>
        <w:rPr>
          <w:rFonts w:ascii="Arial" w:cs="Arial" w:eastAsia="Arial" w:hAnsi="Arial"/>
          <w:sz w:val="17"/>
          <w:szCs w:val="17"/>
          <w:color w:val="auto"/>
        </w:rPr>
        <w:t>”) and all Permits are in full force and effect and (b) none of the Company, its Subsidiaries and the Engaged Professionals are (i) in default or violation of such Permits or (ii) is the subject of any pending action by a Governmental Authority seeking the revocation, suspension or impairment of any Permit.</w:t>
      </w:r>
    </w:p>
    <w:p>
      <w:pPr>
        <w:spacing w:after="0" w:line="1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Personal Property and Assets</w:t>
      </w:r>
      <w:r>
        <w:rPr>
          <w:rFonts w:ascii="Arial" w:cs="Arial" w:eastAsia="Arial" w:hAnsi="Arial"/>
          <w:sz w:val="18"/>
          <w:szCs w:val="18"/>
          <w:color w:val="auto"/>
        </w:rPr>
        <w:t>. Except as would not reasonably be expected to have, individually or in the aggregate, a Material Adverse Effect, as of the date hereof, the Company and/or its Subsidiaries owns and has good title to or a valid leasehold, license or similar interest in each item of material tangible personal property reflected on the books of the Company and its Subsidiaries as owned by the Company and/or its Subsidiaries, free and clear of all Liens other than Permitted Liens.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1220" w:hanging="241"/>
        <w:spacing w:after="0"/>
        <w:tabs>
          <w:tab w:leader="none" w:pos="12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w:t>
      </w:r>
    </w:p>
    <w:p>
      <w:pPr>
        <w:spacing w:after="0" w:line="117" w:lineRule="exact"/>
        <w:rPr>
          <w:rFonts w:ascii="Arial" w:cs="Arial" w:eastAsia="Arial" w:hAnsi="Arial"/>
          <w:sz w:val="18"/>
          <w:szCs w:val="18"/>
          <w:color w:val="auto"/>
        </w:rPr>
      </w:pPr>
    </w:p>
    <w:p>
      <w:pPr>
        <w:ind w:left="560" w:firstLine="419"/>
        <w:spacing w:after="0" w:line="269" w:lineRule="auto"/>
        <w:tabs>
          <w:tab w:leader="none" w:pos="1238"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Section 5.19(b)</w:t>
      </w:r>
      <w:r>
        <w:rPr>
          <w:rFonts w:ascii="Arial" w:cs="Arial" w:eastAsia="Arial" w:hAnsi="Arial"/>
          <w:sz w:val="17"/>
          <w:szCs w:val="17"/>
          <w:color w:val="auto"/>
        </w:rPr>
        <w:t xml:space="preserve"> of the Company Disclosure Letter sets forth the address of each interest in real property leased by the Company or any of its Subsidiaries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and each Contract pursuant to which the Company or any of its Subsidiaries lease such property, except for any Contract for which the aggregate rental payments in the most recent annual period did not exceed $500,000 (such Contracts, collectively, the “</w:t>
      </w:r>
      <w:r>
        <w:rPr>
          <w:rFonts w:ascii="Arial" w:cs="Arial" w:eastAsia="Arial" w:hAnsi="Arial"/>
          <w:sz w:val="17"/>
          <w:szCs w:val="17"/>
          <w:u w:val="single" w:color="auto"/>
          <w:color w:val="auto"/>
        </w:rPr>
        <w:t>Leases</w:t>
      </w:r>
      <w:r>
        <w:rPr>
          <w:rFonts w:ascii="Arial" w:cs="Arial" w:eastAsia="Arial" w:hAnsi="Arial"/>
          <w:sz w:val="17"/>
          <w:szCs w:val="17"/>
          <w:color w:val="auto"/>
        </w:rPr>
        <w:t>”). Each Lease sets forth the entire agreement and understanding between the Company and/or its Subsidiaries and the other parties thereto. Except as would not reasonably be expected to have, individually or in the aggregate, a Material Adverse Effect: (a) none of the Company, its Subsidiaries nor, to the knowledge of the Company, any other party thereto is in default or violation of any Lease in any material respect, (b) there is no event or condition that exists that constitutes or, with or without notice or the passage of time or both, would constitute any such default or violation by the Company, its Subsidiaries or, to the knowledge of the Company, any other party thereto, so as to give rise to any acceleration of any obligation or loss of rights or any right of termination of a Lease, and (c) each lease is valid, binding and in full force and effect (subject to the Enforceability Exceptions).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Intellectual Property and IT Security</w:t>
      </w:r>
      <w:r>
        <w:rPr>
          <w:rFonts w:ascii="Arial" w:cs="Arial" w:eastAsia="Arial" w:hAnsi="Arial"/>
          <w:sz w:val="18"/>
          <w:szCs w:val="18"/>
          <w:color w:val="auto"/>
        </w:rPr>
        <w:t>.</w:t>
      </w:r>
    </w:p>
    <w:p>
      <w:pPr>
        <w:spacing w:after="0" w:line="117" w:lineRule="exact"/>
        <w:rPr>
          <w:sz w:val="20"/>
          <w:szCs w:val="20"/>
          <w:color w:val="auto"/>
        </w:rPr>
      </w:pPr>
    </w:p>
    <w:p>
      <w:pPr>
        <w:ind w:left="560" w:right="260" w:firstLine="419"/>
        <w:spacing w:after="0" w:line="293" w:lineRule="auto"/>
        <w:tabs>
          <w:tab w:leader="none" w:pos="1227"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Section 5.20(a)</w:t>
      </w:r>
      <w:r>
        <w:rPr>
          <w:rFonts w:ascii="Arial" w:cs="Arial" w:eastAsia="Arial" w:hAnsi="Arial"/>
          <w:sz w:val="16"/>
          <w:szCs w:val="16"/>
          <w:color w:val="auto"/>
        </w:rPr>
        <w:t xml:space="preserve"> of the Company Disclosure Letter lists all Owned Intellectual Property for which applications have been filed or registrations have been obtained, whether in the United States or internationally as of the date of this Agreement (“</w:t>
      </w:r>
      <w:r>
        <w:rPr>
          <w:rFonts w:ascii="Arial" w:cs="Arial" w:eastAsia="Arial" w:hAnsi="Arial"/>
          <w:sz w:val="16"/>
          <w:szCs w:val="16"/>
          <w:u w:val="single" w:color="auto"/>
          <w:color w:val="auto"/>
        </w:rPr>
        <w:t>Registered Intellectual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Except as would not reasonably be expected to have, individually or in the aggregate, a Material Adverse Effect, (i) each item of Registered Intellectual Property is subsisting and unexpired, and, to the knowledge of the Company, valid and enforceable and has not been abandoned, canceled or otherwise terminated except in the ordinary course of business and (ii) all necessary registration, maintenance, renewal and other relevant filing fees due through the date hereof have been timely paid and all necessary documents and certificates in connection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therewith have been timely filed with the relevant authorities in the United States or foreign jurisdictions, as the case may be, for the purpose of maintaining the Registered Intellectual Property in full force and effect. The Company or one of its Subsidiaries (A) solely and exclusively owns all Owned Intellectual Property free and clear of any Liens other than Permitted Liens and (B) has the right to use all other Intellectual Property used in the operation of the business of the Company and its Subsidiaries, as presently conducted (provided, however, that the foregoing shall not be interpreted to be a representation regarding non-infringement).</w:t>
      </w:r>
    </w:p>
    <w:p>
      <w:pPr>
        <w:spacing w:after="0" w:line="80" w:lineRule="exact"/>
        <w:rPr>
          <w:sz w:val="20"/>
          <w:szCs w:val="20"/>
          <w:color w:val="auto"/>
        </w:rPr>
      </w:pPr>
    </w:p>
    <w:p>
      <w:pPr>
        <w:ind w:left="560" w:right="20" w:firstLine="419"/>
        <w:spacing w:after="0" w:line="342" w:lineRule="auto"/>
        <w:tabs>
          <w:tab w:leader="none" w:pos="1238"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Company or one of its Subsidiaries has entered into Contracts to use all Intellectual Property other than Owned Intellectual Property that is used in the operation of the business of the Company and its Subsidiaries as currently conducted (the “</w:t>
      </w:r>
      <w:r>
        <w:rPr>
          <w:rFonts w:ascii="Arial" w:cs="Arial" w:eastAsia="Arial" w:hAnsi="Arial"/>
          <w:sz w:val="16"/>
          <w:szCs w:val="16"/>
          <w:u w:val="single" w:color="auto"/>
          <w:color w:val="auto"/>
        </w:rPr>
        <w:t>Licensed Intellectual Property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560" w:right="80" w:firstLine="419"/>
        <w:spacing w:after="0" w:line="263" w:lineRule="auto"/>
        <w:tabs>
          <w:tab w:leader="none" w:pos="122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Registered Intellectual Property, Owned Intellectual Property and the Licensed Intellectual Property (when used within the scope of the applicable license), constitutes all of the Intellectual Property necessary for the Company and its Subsidiaries to conduct their respective business as currently conducted.</w:t>
      </w:r>
    </w:p>
    <w:p>
      <w:pPr>
        <w:spacing w:after="0" w:line="75" w:lineRule="exact"/>
        <w:rPr>
          <w:rFonts w:ascii="Arial" w:cs="Arial" w:eastAsia="Arial" w:hAnsi="Arial"/>
          <w:sz w:val="18"/>
          <w:szCs w:val="18"/>
          <w:color w:val="auto"/>
        </w:rPr>
      </w:pPr>
    </w:p>
    <w:p>
      <w:pPr>
        <w:ind w:left="560" w:right="160" w:firstLine="419"/>
        <w:spacing w:after="0" w:line="286" w:lineRule="auto"/>
        <w:tabs>
          <w:tab w:leader="none" w:pos="1238"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 To the knowledge of the Company, the conduct and operation of the business of the Company and its Subsidiaries as currently conducted is not infringing upon, misappropriating or otherwise violating any Intellectual Property rights of any Person, and have not infringed upon, misappropriated or otherwise violated any Intellectual Property rights of any Person, at any time after December 31, 2018, (ii) to the knowledge of the Company, no third party is infringing upon, misappropriating or otherwise violating any material Owned Intellectual Property,</w:t>
      </w:r>
    </w:p>
    <w:p>
      <w:pPr>
        <w:spacing w:after="0" w:line="1" w:lineRule="exact"/>
        <w:rPr>
          <w:rFonts w:ascii="Arial" w:cs="Arial" w:eastAsia="Arial" w:hAnsi="Arial"/>
          <w:sz w:val="16"/>
          <w:szCs w:val="16"/>
          <w:color w:val="auto"/>
        </w:rPr>
      </w:pPr>
    </w:p>
    <w:p>
      <w:pPr>
        <w:ind w:left="560" w:hanging="4"/>
        <w:spacing w:after="0" w:line="271" w:lineRule="auto"/>
        <w:tabs>
          <w:tab w:leader="none" w:pos="875"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Company and its Subsidiaries have not received from any Person at any time after December 31, 2019 (or earlier, for matters that are or become unresolved) any written notice that the Company or any of its Subsidiaries is infringing upon, misappropriating or otherwise violating any Intellectual Property rights of any Person, and (iv) the Company and its Subsidiaries have not since December 31, 2019 received any written notice, and no Action is currently pending, that challenges the validity or enforceability of any material Owned Intellectual Property or the Company’s or its Subsidiaries’ right to use or otherwise exploit any Owned Intellectual Property.</w:t>
      </w:r>
    </w:p>
    <w:p>
      <w:pPr>
        <w:spacing w:after="0" w:line="70" w:lineRule="exact"/>
        <w:rPr>
          <w:rFonts w:ascii="Arial" w:cs="Arial" w:eastAsia="Arial" w:hAnsi="Arial"/>
          <w:sz w:val="17"/>
          <w:szCs w:val="17"/>
          <w:color w:val="auto"/>
        </w:rPr>
      </w:pPr>
    </w:p>
    <w:p>
      <w:pPr>
        <w:ind w:left="560" w:firstLine="419"/>
        <w:spacing w:after="0" w:line="269" w:lineRule="auto"/>
        <w:tabs>
          <w:tab w:leader="none" w:pos="122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The Company and its Subsidiaries have taken commercially reasonable efforts to protect the confidentiality of any material confidential or proprietary information pertaining to the Company or its Subsidiaries or their business from unauthorized disclosure and use and, to the knowledge of the Company there has been no unauthorized access to or disclosure of such material confidential or proprietary information. It is the practice of the Company and its Subsidiaries to require employees, consultants, contractors, agents and other Persons who have contributed to or participated in the conception or development of any material Owned Intellectual Property on behalf of the Company or any of its Subsidiaries, as part of such Person’s employment, consultancy or engagement to assign all such material Owned Intellectual Property to the Company or a Subsidiary to the extent that such material Owned Intellectual Property was not assigned to the Company or one of its Subsidiaries by operation of applicable Law. Without limiting the foregoing, no former and current employees, consultants, contractors, agents and other Persons who have contributed to or participated in the conception or development of any material Owned Intellectual Property on behalf of the Company or any of its Subsidiaries owns or has any right, claim, interest or option, including the right to further remuneration or consideration, with respect to any material Owned Intellectual Property.</w:t>
      </w:r>
    </w:p>
    <w:p>
      <w:pPr>
        <w:spacing w:after="0" w:line="73" w:lineRule="exact"/>
        <w:rPr>
          <w:rFonts w:ascii="Arial" w:cs="Arial" w:eastAsia="Arial" w:hAnsi="Arial"/>
          <w:sz w:val="17"/>
          <w:szCs w:val="17"/>
          <w:color w:val="auto"/>
        </w:rPr>
      </w:pPr>
    </w:p>
    <w:p>
      <w:pPr>
        <w:ind w:left="560" w:right="80" w:firstLine="419"/>
        <w:spacing w:after="0" w:line="286" w:lineRule="auto"/>
        <w:tabs>
          <w:tab w:leader="none" w:pos="120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No material Software that is owned by the Company or any of its Subsidiaries (the “</w:t>
      </w:r>
      <w:r>
        <w:rPr>
          <w:rFonts w:ascii="Arial" w:cs="Arial" w:eastAsia="Arial" w:hAnsi="Arial"/>
          <w:sz w:val="16"/>
          <w:szCs w:val="16"/>
          <w:u w:val="single" w:color="auto"/>
          <w:color w:val="auto"/>
        </w:rPr>
        <w:t>Company Software</w:t>
      </w:r>
      <w:r>
        <w:rPr>
          <w:rFonts w:ascii="Arial" w:cs="Arial" w:eastAsia="Arial" w:hAnsi="Arial"/>
          <w:sz w:val="16"/>
          <w:szCs w:val="16"/>
          <w:color w:val="auto"/>
        </w:rPr>
        <w:t>”) has been incorporated into or combined with any open source software in a manner which requires that such Company Software be licensed under any license that (A) requires the distribution of source code in connection with the distribution of such Company Software in object code form; (B) limits the Company’s or any of its Subsidiaries’ freedom to seek full compensation in connection with marketing, licensing, and distributing such applications; or</w:t>
      </w:r>
    </w:p>
    <w:p>
      <w:pPr>
        <w:spacing w:after="0" w:line="1" w:lineRule="exact"/>
        <w:rPr>
          <w:rFonts w:ascii="Arial" w:cs="Arial" w:eastAsia="Arial" w:hAnsi="Arial"/>
          <w:sz w:val="16"/>
          <w:szCs w:val="16"/>
          <w:color w:val="auto"/>
        </w:rPr>
      </w:pPr>
    </w:p>
    <w:p>
      <w:pPr>
        <w:ind w:left="560" w:right="20"/>
        <w:spacing w:after="0" w:line="255" w:lineRule="auto"/>
        <w:rPr>
          <w:rFonts w:ascii="Arial" w:cs="Arial" w:eastAsia="Arial" w:hAnsi="Arial"/>
          <w:sz w:val="16"/>
          <w:szCs w:val="16"/>
          <w:color w:val="auto"/>
        </w:rPr>
      </w:pPr>
      <w:r>
        <w:rPr>
          <w:rFonts w:ascii="Arial" w:cs="Arial" w:eastAsia="Arial" w:hAnsi="Arial"/>
          <w:sz w:val="18"/>
          <w:szCs w:val="18"/>
          <w:color w:val="auto"/>
        </w:rPr>
        <w:t>(C) allows a customer, or requires that a customer have the right, to decompile, disassemble or otherwise reverse engineer the Company Software. All use and distribution of Company Software by or through the Company or any of its Subsidiaries is in full compliance with all licenses applicable thereto, including all copyright notice and attribution requirements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4" w:lineRule="auto"/>
        <w:rPr>
          <w:sz w:val="20"/>
          <w:szCs w:val="20"/>
          <w:color w:val="auto"/>
        </w:rPr>
      </w:pPr>
      <w:r>
        <w:rPr>
          <w:rFonts w:ascii="Arial" w:cs="Arial" w:eastAsia="Arial" w:hAnsi="Arial"/>
          <w:sz w:val="18"/>
          <w:szCs w:val="18"/>
          <w:color w:val="auto"/>
        </w:rPr>
        <w:t>except as would not reasonably be expected to have, individually or in the aggregate, a Material Adverse Effect. Neither the Company nor any Subsidiary has disclosed, licensed, made available or delivered to any escrow agent or any Person other than (i) third party service providers for the purpose of performing services for the Company or a Subsidiary or (ii) employees, consultants, agents and contractors of the Company and its Subsidiaries, any of the source code for any material Company Software, and no event has occurred that legally required the Company or a Subsidiary to do any of the foregoing. Neither this Agreement, nor any other Transaction Agreement to which the Company or a Subsidiary is a party, nor the consummation of the Transactions will result in the disclosure to a third Person of any source code included in the Company Software.</w:t>
      </w:r>
    </w:p>
    <w:p>
      <w:pPr>
        <w:spacing w:after="0" w:line="87" w:lineRule="exact"/>
        <w:rPr>
          <w:sz w:val="20"/>
          <w:szCs w:val="20"/>
          <w:color w:val="auto"/>
        </w:rPr>
      </w:pPr>
    </w:p>
    <w:p>
      <w:pPr>
        <w:ind w:left="560" w:right="440" w:firstLine="419"/>
        <w:spacing w:after="0" w:line="277" w:lineRule="auto"/>
        <w:tabs>
          <w:tab w:leader="none" w:pos="123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Company and its Subsidiaries take, and have taken, commercially reasonable actions and measures to protect and maintain the security of their IT Systems and Software (and all data stored therein or transmitted thereby).</w:t>
      </w:r>
    </w:p>
    <w:p>
      <w:pPr>
        <w:spacing w:after="0" w:line="62" w:lineRule="exact"/>
        <w:rPr>
          <w:rFonts w:ascii="Arial" w:cs="Arial" w:eastAsia="Arial" w:hAnsi="Arial"/>
          <w:sz w:val="18"/>
          <w:szCs w:val="18"/>
          <w:color w:val="auto"/>
        </w:rPr>
      </w:pPr>
    </w:p>
    <w:p>
      <w:pPr>
        <w:ind w:left="560" w:firstLine="419"/>
        <w:spacing w:after="0" w:line="283" w:lineRule="auto"/>
        <w:tabs>
          <w:tab w:leader="none" w:pos="1238"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Company or one of its Subsidiaries owns or has a valid right to access and use all IT Systems necessary for the conduct of their respective businesses as currently conducted. The material IT Systems (i) have been maintained in accordance with standards set by the manufacturers or otherwise in accordance with prudent industry standards, to ensure proper operation, monitoring and use and (ii) operate in all material respects in accordance with their documentation and functional specifications and as necessary to conduct the business as currently conducted. The Company and its Subsidiaries have back-up and disaster recovery arrangements designed to enable the continued operation of their businesses in the event of a failure of their material IT Systems that are, in the reasonable determination of the Company and its Subsidiaries, consistent with commercially reasonable practice in all material respects. Neither the IT Systems nor any Company Software: (A) contains any bug, defect or error (including any bug, defect or error relating to or resulting from the display, manipulation, processing, storage, transmission or use of data); or (B) fails to comply, or would cause the Company or any of its Subsidiaries to fail to comply, with any applicable warranty or other contractual commitment relating to any services rendered or products offered by the Company or any of its Subsidiaries in each case except as would not reasonably be expected to have, individually or in the aggregate, a Material Adverse. To the knowledge of the Company, neither the IT Systems nor any Company Software contains any “back door,” “drop dead device,” “time bomb,” “Trojan horse,” “virus” or “worm” or any other code designed or intended to have any of the following functions: (X) disrupting, disabling, harming or otherwise impeding in any manner the operation of, or providing unauthorized access to, a computer system or network or other device on which such code is stored or installed; or</w:t>
      </w:r>
    </w:p>
    <w:p>
      <w:pPr>
        <w:spacing w:after="0" w:line="1" w:lineRule="exact"/>
        <w:rPr>
          <w:rFonts w:ascii="Arial" w:cs="Arial" w:eastAsia="Arial" w:hAnsi="Arial"/>
          <w:sz w:val="16"/>
          <w:szCs w:val="16"/>
          <w:color w:val="auto"/>
        </w:rPr>
      </w:pPr>
    </w:p>
    <w:p>
      <w:pPr>
        <w:ind w:left="560" w:right="660" w:hanging="4"/>
        <w:spacing w:after="0" w:line="260" w:lineRule="auto"/>
        <w:tabs>
          <w:tab w:leader="none" w:pos="85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damaging or destroying any data or file without the user’s consent except, in each case, as would not reasonably be expected to have, individually or in the aggregate, a Material Adverse Effect.</w:t>
      </w:r>
    </w:p>
    <w:p>
      <w:pPr>
        <w:spacing w:after="0" w:line="77" w:lineRule="exact"/>
        <w:rPr>
          <w:rFonts w:ascii="Arial" w:cs="Arial" w:eastAsia="Arial" w:hAnsi="Arial"/>
          <w:sz w:val="18"/>
          <w:szCs w:val="18"/>
          <w:color w:val="auto"/>
        </w:rPr>
      </w:pPr>
    </w:p>
    <w:p>
      <w:pPr>
        <w:ind w:left="1200" w:hanging="221"/>
        <w:spacing w:after="0"/>
        <w:tabs>
          <w:tab w:leader="none" w:pos="120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The Company and its Subsidiaries and, to the knowledge of the Company, any Person acting for or on their behalf has, since</w:t>
      </w:r>
    </w:p>
    <w:p>
      <w:pPr>
        <w:spacing w:after="0" w:line="35"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December 31, 2019 through and including the date of this Agreement, materially complied with (i) the Privacy Laws, (ii) the Company’s published policies and notices regarding Personal Information, and (iii) the Company’s contractual obligations with respect to Personal Information. The Company and its Subsidiaries have implemented and maintained one or more commercially reasonable privacy policies regarding the handling and security of Personal Information in connection with the operation of its business (the “</w:t>
      </w:r>
      <w:r>
        <w:rPr>
          <w:rFonts w:ascii="Arial" w:cs="Arial" w:eastAsia="Arial" w:hAnsi="Arial"/>
          <w:sz w:val="16"/>
          <w:szCs w:val="16"/>
          <w:u w:val="single" w:color="auto"/>
          <w:color w:val="auto"/>
        </w:rPr>
        <w:t>Privacy Policies</w:t>
      </w:r>
      <w:r>
        <w:rPr>
          <w:rFonts w:ascii="Arial" w:cs="Arial" w:eastAsia="Arial" w:hAnsi="Arial"/>
          <w:sz w:val="16"/>
          <w:szCs w:val="16"/>
          <w:color w:val="auto"/>
        </w:rPr>
        <w:t>”) and (i) the Company’s and its Subsidiaries’ privacy practices are and have been in material compliance with all such Privacy Policies, and (ii) the Company’s and its Subsidiaries’ information security practices are and have been in material compliance with any information security statements in its Privacy Policies at all times such Privacy Policies have been in effect. The Company and its Subsidiaries have implemented and maintained commercially reasonable technical and organizational safeguards to protect Personal Information in its possession or under its control against loss, theft, misuse or unauthorized access, use, modification, alteration, destruction or disclosure and have taken reasonable steps to ensure that any third party with access to Personal Information collected by or on behalf of the Company and its Subsidiaries has implemented and maintained the same, except as would not reasonably be expected to have, individually or in the aggregate, a Material Adverse Effect. To the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00"/>
          </w:cols>
          <w:pgMar w:left="320" w:top="459" w:right="47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knowledge of the Company, any third party who has provided Personal Information to the Company and its Subsidiaries has done so in compliance in all material respects with applicable Privacy Laws. There have been no material breaches, security incidents, misuse of, unauthorized access to or disclosure of any Personal Information in the possession or control of the Company or collected, used or processed by or on behalf of the Company and its Subsidiaries. No Person (including any Governmental Authority) has made any written claim or commenced any written Action, and to the knowledge of the Company, no claim or Action is threatened (i) alleging a violation of any Person’s privacy or confidentiality rights under any Privacy Policy, the Company’s or its Subsidiaries’ contractual obligations with respect to Personal Information or a Privacy Law or (ii) with respect to the security, use, transfer or disclosure of Personal Information specifically.</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would not reasonably be expected to have, individually or in the aggregate, a Material Adverse Effect:</w:t>
      </w:r>
    </w:p>
    <w:p>
      <w:pPr>
        <w:spacing w:after="0" w:line="62" w:lineRule="exact"/>
        <w:rPr>
          <w:sz w:val="20"/>
          <w:szCs w:val="20"/>
          <w:color w:val="auto"/>
        </w:rPr>
      </w:pPr>
    </w:p>
    <w:p>
      <w:pPr>
        <w:ind w:left="560" w:right="320" w:firstLine="419"/>
        <w:spacing w:after="0" w:line="277" w:lineRule="auto"/>
        <w:tabs>
          <w:tab w:leader="none" w:pos="122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Company and its Subsidiaries are and, except for matters which have been fully resolved, since December 31, 2018 have been, in compliance with all applicable Environmental Laws;</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Company and its Subsidiaries hold all material Permits required under applicable Environmental Laws to permit the Company and its Subsidiaries to operate their assets in a manner in which they are now operated and maintained and to conduct the business of the Company and its Subsidiaries as currently conducted;</w:t>
      </w:r>
    </w:p>
    <w:p>
      <w:pPr>
        <w:spacing w:after="0" w:line="75" w:lineRule="exact"/>
        <w:rPr>
          <w:rFonts w:ascii="Arial" w:cs="Arial" w:eastAsia="Arial" w:hAnsi="Arial"/>
          <w:sz w:val="18"/>
          <w:szCs w:val="18"/>
          <w:color w:val="auto"/>
        </w:rPr>
      </w:pPr>
    </w:p>
    <w:p>
      <w:pPr>
        <w:ind w:left="560" w:right="180" w:firstLine="419"/>
        <w:spacing w:after="0" w:line="263" w:lineRule="auto"/>
        <w:tabs>
          <w:tab w:leader="none" w:pos="122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there are no Actions pending against or, to the knowledge of the Company, threatened against the Company or any of its Subsidiaries alleging any violations of or liability under any Environmental Law or any violations or liability concerning any Hazardous Materials, nor to the knowledge of the Company is there any reasonable basis for such claims; and</w:t>
      </w:r>
    </w:p>
    <w:p>
      <w:pPr>
        <w:spacing w:after="0" w:line="75" w:lineRule="exact"/>
        <w:rPr>
          <w:rFonts w:ascii="Arial" w:cs="Arial" w:eastAsia="Arial" w:hAnsi="Arial"/>
          <w:sz w:val="18"/>
          <w:szCs w:val="18"/>
          <w:color w:val="auto"/>
        </w:rPr>
      </w:pPr>
    </w:p>
    <w:p>
      <w:pPr>
        <w:ind w:left="560" w:right="60" w:firstLine="419"/>
        <w:spacing w:after="0" w:line="342" w:lineRule="auto"/>
        <w:tabs>
          <w:tab w:leader="none" w:pos="123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there is no unresolved Governmental Order relating to any Environmental Law imposed upon or, to the knowledge of the Company, threatened in writing against the Company or any of its Subsidiaries or, to the knowledge of the Company, any of their properties, rights or assets.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the date of the Most Recent Balance Sheet, no Material Adverse Effect has occurred.</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Brokers’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5.23</w:t>
      </w:r>
      <w:r>
        <w:rPr>
          <w:rFonts w:ascii="Arial" w:cs="Arial" w:eastAsia="Arial" w:hAnsi="Arial"/>
          <w:sz w:val="18"/>
          <w:szCs w:val="18"/>
          <w:color w:val="auto"/>
        </w:rPr>
        <w:t xml:space="preserve"> of the Company Disclosure Letter, no broker, finder, financial advisor, investment banker or other Person is entitled to any brokerage fee, finders’ fee or other similar fee, commission or other similar payment in connection with the Transactions based upon arrangements made by the Company, any of its Subsidiaries or any of their respective Affiliates for which Acquiror, the Company or any of the Company’s Subsidiaries has any obligation.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Business Relationships</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77" w:lineRule="auto"/>
        <w:tabs>
          <w:tab w:leader="none" w:pos="1227"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Section 5.24(a)</w:t>
      </w:r>
      <w:r>
        <w:rPr>
          <w:rFonts w:ascii="Arial" w:cs="Arial" w:eastAsia="Arial" w:hAnsi="Arial"/>
          <w:sz w:val="18"/>
          <w:szCs w:val="18"/>
          <w:color w:val="auto"/>
        </w:rPr>
        <w:t xml:space="preserve"> of the Company Disclosure Letter sets forth a true and correct list of the ten (10) largest enterprise customers (measured by revenue during the fiscal year ended December 31, 2019) (collectively, the “</w:t>
      </w:r>
      <w:r>
        <w:rPr>
          <w:rFonts w:ascii="Arial" w:cs="Arial" w:eastAsia="Arial" w:hAnsi="Arial"/>
          <w:sz w:val="18"/>
          <w:szCs w:val="18"/>
          <w:u w:val="single" w:color="auto"/>
          <w:color w:val="auto"/>
        </w:rPr>
        <w:t>Material B2B Customers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60" w:right="200" w:firstLine="419"/>
        <w:spacing w:after="0" w:line="263" w:lineRule="auto"/>
        <w:tabs>
          <w:tab w:leader="none" w:pos="1238"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Section 5.24(b)</w:t>
      </w:r>
      <w:r>
        <w:rPr>
          <w:rFonts w:ascii="Arial" w:cs="Arial" w:eastAsia="Arial" w:hAnsi="Arial"/>
          <w:sz w:val="18"/>
          <w:szCs w:val="18"/>
          <w:color w:val="auto"/>
        </w:rPr>
        <w:t xml:space="preserve"> of the Company Disclosure Letter sets forth a true and correct list of the ten (10) largest and current vendors, suppliers and service providers to the Company and its (measured by aggregate spend during the fiscal year ended December 31, 2019) (collectively, the “</w:t>
      </w:r>
      <w:r>
        <w:rPr>
          <w:rFonts w:ascii="Arial" w:cs="Arial" w:eastAsia="Arial" w:hAnsi="Arial"/>
          <w:sz w:val="18"/>
          <w:szCs w:val="18"/>
          <w:u w:val="single" w:color="auto"/>
          <w:color w:val="auto"/>
        </w:rPr>
        <w:t>Material Suppliers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0" w:right="40" w:firstLine="419"/>
        <w:spacing w:after="0" w:line="301" w:lineRule="auto"/>
        <w:tabs>
          <w:tab w:leader="none" w:pos="1228"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Company has not received any notice or threat in writing from any Material B2B Customer or Material Supplier since January 1, 2020 of any intention to terminate or not renew its business dealings with the Company or its Subsidiaries, or to materially decrease purchasing or selling (as the case may be) services or products to the Company and its Subsidiaries, or to adversely modify its business dealings with the Company and its Subsidiaries in a way that would reasonably be expected to have, individually or in the aggregate, a Material Adverse Effect.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Section 5.25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for the Contracts set forth on </w:t>
      </w:r>
      <w:r>
        <w:rPr>
          <w:rFonts w:ascii="Arial" w:cs="Arial" w:eastAsia="Arial" w:hAnsi="Arial"/>
          <w:sz w:val="17"/>
          <w:szCs w:val="17"/>
          <w:u w:val="single" w:color="auto"/>
          <w:color w:val="auto"/>
        </w:rPr>
        <w:t>Section 5.25</w:t>
      </w:r>
      <w:r>
        <w:rPr>
          <w:rFonts w:ascii="Arial" w:cs="Arial" w:eastAsia="Arial" w:hAnsi="Arial"/>
          <w:sz w:val="17"/>
          <w:szCs w:val="17"/>
          <w:color w:val="auto"/>
        </w:rPr>
        <w:t xml:space="preserve"> of the Company Disclosure Letter, (a) there are no Contracts (excluding Contracts related to (i) employee compensation and other ordinary incidents of employment (including participation in Company Benefit Plans) set forth on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Company Disclosure Letter and (ii) equity ownership) between the Company or any of its Subsidiaries, on the one hand, and any Affiliate, officer or director of the Company, on the other hand, and (b) none of the officers, directors, managers or Affiliates of the Company or any of its Subsidiaries owns any asset or property (intellectual, real or personal) used in and material to the business of the Company and its Subsidiaries taken as a whole, except in its capacity as a security holder of the Company.</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supplied or to be supplied by the Company or any of the Company’s Subsidiaries specifically in writing for inclusion in the Proxy Statement/Registration Statement will, at the date on which the Proxy Statement/Registration Statement is first mailed to the Acquiror Stockholders or at the time of the Special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5.27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54" w:lineRule="auto"/>
        <w:tabs>
          <w:tab w:leader="none" w:pos="122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none of the Company or any of its Subsidiaries, or, to the Company’s knowledge, any of their Representatives or any other Persons, in each case to the extent acting for and on behalf of any of the Company or any of its Subsidiaries, is or has been, since December 31, 2017, (i) a Person named on any Sanctions Laws-related or Export Control Laws-related list of designated Persons; (ii) located, organized or resident in a country or territory which is itself the subject of or target of any Sanctions Laws; (iii) an entity owned, directly or indirectly, individually or in the aggregate, fifty percent or more by one or more Persons described in clauses (i) or (ii); (iv) transacting business with or on behalf of any Person described in clauses (i) – (iii) or any country or territory described in clause (ii) in violation of Sanctions Laws; or (v) otherwise in violation of Sanctions Laws or Export Control Laws.</w:t>
      </w:r>
    </w:p>
    <w:p>
      <w:pPr>
        <w:spacing w:after="0" w:line="83" w:lineRule="exact"/>
        <w:rPr>
          <w:rFonts w:ascii="Arial" w:cs="Arial" w:eastAsia="Arial" w:hAnsi="Arial"/>
          <w:sz w:val="18"/>
          <w:szCs w:val="18"/>
          <w:color w:val="auto"/>
        </w:rPr>
      </w:pPr>
    </w:p>
    <w:p>
      <w:pPr>
        <w:ind w:left="560" w:firstLine="419"/>
        <w:spacing w:after="0" w:line="275" w:lineRule="auto"/>
        <w:tabs>
          <w:tab w:leader="none" w:pos="1238" w:val="left"/>
        </w:tabs>
        <w:numPr>
          <w:ilvl w:val="0"/>
          <w:numId w:val="365"/>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Material Adverse Effect, none of the Company or any of its Subsidiaries, or, to the Company’s knowledge, any of their Representatives or any other Persons, in each case to the extent acting for and on behalf of the Company or any of its Subsidiaries has, since December 31, 2017, (i) made, offered, promised, paid or received any bribes, kickbacks or other similar improper payments to or from any Person or (ii) made or paid any contributions, directly or indirectly, to a domestic or foreign political party or candidate, in each case of clause (i) or (ii), in violation of the Anti-Corruption Laws.</w:t>
      </w:r>
    </w:p>
    <w:p>
      <w:pPr>
        <w:spacing w:after="0" w:line="68" w:lineRule="exact"/>
        <w:rPr>
          <w:rFonts w:ascii="Arial" w:cs="Arial" w:eastAsia="Arial" w:hAnsi="Arial"/>
          <w:sz w:val="17"/>
          <w:szCs w:val="17"/>
          <w:color w:val="auto"/>
        </w:rPr>
      </w:pPr>
    </w:p>
    <w:p>
      <w:pPr>
        <w:ind w:left="560" w:right="80" w:firstLine="419"/>
        <w:spacing w:after="0" w:line="257" w:lineRule="auto"/>
        <w:tabs>
          <w:tab w:leader="none" w:pos="122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To the Company’s knowledge, as of the date hereof, (i) there are no pending or threatened in writing Actions, filings, Governmental Orders, inquiries or governmental investigations alleging any such violations of Anti-Corruption Laws, Sanctions Laws or Export Control Laws by the Company, any of its Subsidiaries or any of their Representatives or any other Persons, in each case to the extent acting for and on behalf of the Company or any of its Subsidiaries, and (ii) since December 31, 2018, no such Actions, filings, Governmental Orders, inquiries or governmental investigations have been threatened in writing or are pending.</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5.28 </w:t>
      </w:r>
      <w:r>
        <w:rPr>
          <w:rFonts w:ascii="Arial" w:cs="Arial" w:eastAsia="Arial" w:hAnsi="Arial"/>
          <w:sz w:val="18"/>
          <w:szCs w:val="18"/>
          <w:u w:val="single" w:color="auto"/>
          <w:color w:val="auto"/>
        </w:rPr>
        <w:t>No Additional Representations or Warranties</w:t>
      </w:r>
      <w:r>
        <w:rPr>
          <w:rFonts w:ascii="Arial" w:cs="Arial" w:eastAsia="Arial" w:hAnsi="Arial"/>
          <w:sz w:val="18"/>
          <w:szCs w:val="18"/>
          <w:color w:val="auto"/>
        </w:rPr>
        <w:t xml:space="preserve">. Except as provided in and this </w:t>
      </w:r>
      <w:r>
        <w:rPr>
          <w:rFonts w:ascii="Arial" w:cs="Arial" w:eastAsia="Arial" w:hAnsi="Arial"/>
          <w:sz w:val="18"/>
          <w:szCs w:val="18"/>
          <w:u w:val="single" w:color="auto"/>
          <w:color w:val="auto"/>
        </w:rPr>
        <w:t>Article V</w:t>
      </w:r>
      <w:r>
        <w:rPr>
          <w:rFonts w:ascii="Arial" w:cs="Arial" w:eastAsia="Arial" w:hAnsi="Arial"/>
          <w:sz w:val="18"/>
          <w:szCs w:val="18"/>
          <w:color w:val="auto"/>
        </w:rPr>
        <w:t>, neither the Company nor any of its Affiliates, nor any of their respective directors, managers, officers, employees, equityholders, partners, members or Representatives has made, or is making, any representation or warranty whatsoever to Acquiror Parties or their Affiliates and no such party shall be liable in respect of the accuracy or completeness of any information provided to Acquiror Parties or their Affiliates.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ACQUIROR PARTIES</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Except as set forth in the disclosure letter delivered by Acquiror Parties to the Company on the date of this Agreement (the “</w:t>
      </w:r>
      <w:r>
        <w:rPr>
          <w:rFonts w:ascii="Arial" w:cs="Arial" w:eastAsia="Arial" w:hAnsi="Arial"/>
          <w:sz w:val="17"/>
          <w:szCs w:val="17"/>
          <w:u w:val="single" w:color="auto"/>
          <w:color w:val="auto"/>
        </w:rPr>
        <w:t>Acquiror 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(each section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or in the SEC Reports filed or furnished by Acquiror prior to the date hereof (excluding (a) any disclosures in such SEC Reports under the headings “Risk Factors,” “Forward-Looking Statements” or “Qualitative Disclosures About Market Risk” and other disclosures that are predictive, cautionary or forward looking in nature and (b) any exhibits or other documents appended thereto) (it being acknowledged that nothing disclosed in such SEC Reports will be deemed to modify or qualify the representations and warranties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(Corporate Organization),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(Due Authorization),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(Financial Ability; Trust Account) and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(Capitalization)), each Acquiror Party represents and warrants to the Company as follows:</w:t>
      </w:r>
    </w:p>
    <w:p>
      <w:pPr>
        <w:spacing w:after="0" w:line="181"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Corporate Organization</w:t>
      </w:r>
      <w:r>
        <w:rPr>
          <w:rFonts w:ascii="Arial" w:cs="Arial" w:eastAsia="Arial" w:hAnsi="Arial"/>
          <w:sz w:val="16"/>
          <w:szCs w:val="16"/>
          <w:color w:val="auto"/>
        </w:rPr>
        <w:t>. Each of Acquiror and First Merger Sub is duly incorporated and is validly existing as a corporation in good standing under the Laws of the State of Delaware and has the requisite corporate power and authority to own, lease or operate its assets and properties and to conduct its business as it is now being conducted. Second Merger Sub is duly formed and is validly existing as a requisite limited liability company in good standing under the Laws of the State of Delaware and has the limited liability company power and authority to own, lease or operate its assets and properties and to conduct its business as it is now being conducted. The copies of the organizational documents of each of the Acquiror Parties previously delivered by Acquiror to the Company are true, correct and complete and are in effect as of the date of this Agreement. Each of the Acquiror Parties is, and at all times has been, in compliance in all material respects with all restrictions, covenants, terms and provisions set forth in its respective Governing Documents. Each of the Acquiror Parties is duly licensed or qualified and in good standing as a foreign corporation or foreign limited liability company, as applicable,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 material adverse effect on the ability of the Acquiror Parties to enter into this Agreement or to consummate the Transactions.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Due Authorization</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68" w:lineRule="auto"/>
        <w:tabs>
          <w:tab w:leader="none" w:pos="122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Each of the Acquiror Parties has all requisite corporate or entity power and authority to execute and deliver this Agreement and each other Transaction Agreement to which it is or will be a party and, upon receipt of the Acquiror Stockholder Approval, to perform its obligations hereunder and thereunder and to consummate the transactions contemplated hereby and thereby. The execution, delivery and performance of this Agreement and such Transaction Agreements and the consummation of the transactions contemplated hereby and thereby have been duly, validly and unanimously authorized and approved by the board of directors or equivalent governing body of the applicable Acquiror Party and, except for the Acquiror Stockholder Approval, no other corporate or equivalent proceeding on the part of any Acquiror Party is necessary to authorize this Agreement or such Transaction Agreements or any Acquiror Party’s performance hereunder or thereunder. By Acquiror’s execution and delivery hereof, it has provided all approvals on behalf of equityholders of First Merger Sub and Second Merger Sub required for the Transactions. This Agreement has been, and each such Transaction Agreement to which such Acquiror Party is or will be a party has been or will be, duly and validly executed and delivered by such Acquiror Party and, assuming due authorization and execution by each other Party hereto and thereto, this Agreement constitutes, and each such Transaction Agreement to which such Acquiror Party is or will be a party, constitutes or will constitute a legal, valid and binding obligation of such Acquiror Party, enforceable against each Acquiror Party in accordance with its terms, subject to the Enforceability Exceptions.</w:t>
      </w:r>
    </w:p>
    <w:p>
      <w:pPr>
        <w:spacing w:after="0" w:line="78" w:lineRule="exact"/>
        <w:rPr>
          <w:rFonts w:ascii="Arial" w:cs="Arial" w:eastAsia="Arial" w:hAnsi="Arial"/>
          <w:sz w:val="17"/>
          <w:szCs w:val="17"/>
          <w:color w:val="auto"/>
        </w:rPr>
      </w:pPr>
    </w:p>
    <w:p>
      <w:pPr>
        <w:ind w:left="560" w:right="500" w:firstLine="419"/>
        <w:spacing w:after="0" w:line="277" w:lineRule="auto"/>
        <w:tabs>
          <w:tab w:leader="none" w:pos="12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Assuming a quorum is present at the Special Meeting, as adjourned or postposed, the only votes of any of Acquiror’s capital stock necessary in connection with the entry into this Agreement by Acquiror,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 xml:space="preserve">consummation of the Transactions, including the Closing, and the approval of the Acquiror Stockholder Matters are as set forth on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of the Acquiror Disclosure Letter (such votes, collectively, the “</w:t>
      </w: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w:t>
      </w:r>
    </w:p>
    <w:p>
      <w:pPr>
        <w:spacing w:after="0" w:line="62" w:lineRule="exact"/>
        <w:rPr>
          <w:sz w:val="20"/>
          <w:szCs w:val="20"/>
          <w:color w:val="auto"/>
        </w:rPr>
      </w:pPr>
    </w:p>
    <w:p>
      <w:pPr>
        <w:ind w:left="560" w:right="100" w:firstLine="419"/>
        <w:spacing w:after="0" w:line="257" w:lineRule="auto"/>
        <w:tabs>
          <w:tab w:leader="none" w:pos="122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Acquiror has unanimously: (i) determined that this Agreement and the Transactions are fair to and in the best interests of Acquiror Stockholders; (ii) determined that the fair market value of the Company is equal to at least 80% of the amount held in the Trust Account (less any deferred underwriting commissions and taxes payable on interest earned) as of the date hereof; (iii) approved the Transactions as a Business Combination; and (iv) resolved to recommend to the stockholders of Acquiror approval of the Transactions.</w:t>
      </w:r>
    </w:p>
    <w:p>
      <w:pPr>
        <w:spacing w:after="0" w:line="79" w:lineRule="exact"/>
        <w:rPr>
          <w:rFonts w:ascii="Arial" w:cs="Arial" w:eastAsia="Arial" w:hAnsi="Arial"/>
          <w:sz w:val="18"/>
          <w:szCs w:val="18"/>
          <w:color w:val="auto"/>
        </w:rPr>
      </w:pPr>
    </w:p>
    <w:p>
      <w:pPr>
        <w:jc w:val="both"/>
        <w:ind w:left="560" w:right="160" w:firstLine="419"/>
        <w:spacing w:after="0" w:line="263" w:lineRule="auto"/>
        <w:tabs>
          <w:tab w:leader="none" w:pos="123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To the knowledge of Acquiror, the execution, delivery and performance of any Transaction Agreement by any party thereto, do not and will not conflict with or result in any violation of any provision of any applicable Law or Governmental Order applicable to such party or any of such party’s properties or assets.</w:t>
      </w:r>
    </w:p>
    <w:p>
      <w:pPr>
        <w:spacing w:after="0" w:line="18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delivery and performance of this Agreement and any other Transaction Agreement to which any Acquiror Party is or will be a party by such Acquiror Party and, upon receipt of the Acquiror Stockholder Approval, the consummation of the transactions contemplated hereby or by any other Transaction Agreement do not and will not (a) conflict with or violate any provision of, or result in the breach of the Acquiror Organizational Documents or any organizational documents of any Subsidiaries of Acquiror, (b) conflict with or result in any violation of any provision of any Law or Governmental Order applicable to Acquiror, any Subsidiaries of Acquiror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Acquiror or any Subsidiaries of Acquiror is a party or by which any of their respective assets or properties may be bound or affected, or (d) result in the creation of any Lien upon any of the properties or assets of Acquiror or any Subsidiaries of Acquiror, except (in the case of clauses (b), (c) or (d) above) for such violations, conflicts, breaches or defaults which would not, individually or in the aggregate, reasonably be expected to have a material adverse effect on the ability of any of the Acquiror Parties to enter into and perform their respective obligations under this Agreement or any other Transaction Agreement to which any of the Acquiror Parties is or will be a party, as applicable.</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Litigation and Proceedings</w:t>
      </w:r>
      <w:r>
        <w:rPr>
          <w:rFonts w:ascii="Arial" w:cs="Arial" w:eastAsia="Arial" w:hAnsi="Arial"/>
          <w:sz w:val="17"/>
          <w:szCs w:val="17"/>
          <w:color w:val="auto"/>
        </w:rPr>
        <w:t>. There are no pending or, to the knowledge of Acquiror, threatened in writing Actions against any Acquiror Party or any of their respective properties, rights or assets, which, if determined adversely, could, individually or in the aggregate, reasonably be expected to have a material adverse effect on the ability of any of the Acquiror Parties to enter into and perform their respective obligations under this Agreement. There is no Governmental Order imposed upon or, to the knowledge of Acquiror, threatened in writing against any Acquiror Party or any of their respective properties, rights or assets which, if determined adversely, could, individually or in the aggregate, reasonably be expected to have a material adverse effect on the ability of any of the Acquiror Parties to enter into and perform their respective obligations under this Agreement or any other Transaction Agreement to which any of the Acquiror Parties is or will be a party, as applicable. There is no unsatisfied judgment or any open injunction binding upon any Acquiror Party which could, individually or in the aggregate, reasonably be expected to have a material adverse effect on the ability of any of the Acquiror Parties to enter into and perform its obligations under this Agreement or any other Transaction Agreement to which any of the Acquiror Parties is or will be a party, as applicable.</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Governmental Authorities; Consents</w:t>
      </w:r>
      <w:r>
        <w:rPr>
          <w:rFonts w:ascii="Arial" w:cs="Arial" w:eastAsia="Arial" w:hAnsi="Arial"/>
          <w:sz w:val="18"/>
          <w:szCs w:val="18"/>
          <w:color w:val="auto"/>
        </w:rPr>
        <w:t>. Assuming the truth and completeness of the representations and warranties of the Company contained in this Agreement, no action by, notice to, consent,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approval, waiver, permit or authorization of, or designation, declaration or filing with, any Governmental Authority is required on the part of any Acquiror Party with respect to such Acquiror Party’s execution, delivery and performance of this Agreement and the Transaction Agreements to which it is or will be a party and the consummation of the transactions contemplated hereby and thereby, except for (i) applicable requirements of the HSR Act and Securities Laws, (ii) the filing of the First Certificate of Merger in accordance with the DGCL and the filing of the Second Certificate of Merger in accordance with the DLLCA, (iii) any actions, consents, approvals, permits or authorizations, designations, declarations or filings, the absence of which would not reasonably be expected to have, individually or in the aggregate, a material adverse effect on the ability of such Acquiror Party to perform or comply with on a timely basis any material obligation under this Agreement or to consummate the Transactions in accordance with the terms hereof and (iv) as otherwise disclosed on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of the Acquiror Disclosure Letter.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Financial Ability; Trust Account</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66" w:lineRule="auto"/>
        <w:tabs>
          <w:tab w:leader="none" w:pos="122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As of the date hereof, there is at least $414,000,000 invested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maintained by Continental Stock Transfer &amp; Trust Company, a New York corporation, acting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the Investment Management Trust Agreement, effective as of June 8, 2020, by and between Acquiror and the Trustee on file with the SEC Reports of Acquiror as of the date of this Agreement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Prior to the Closing, none of the funds held in the Trust Account may be released except in accordance with the Trust Agreement, Acquiror Organizational Documents and Acquiror’s final prospectus dated June 8, 2020 (the “</w:t>
      </w:r>
      <w:r>
        <w:rPr>
          <w:rFonts w:ascii="Arial" w:cs="Arial" w:eastAsia="Arial" w:hAnsi="Arial"/>
          <w:sz w:val="17"/>
          <w:szCs w:val="17"/>
          <w:u w:val="single" w:color="auto"/>
          <w:color w:val="auto"/>
        </w:rPr>
        <w:t>Final Prospectus</w:t>
      </w:r>
      <w:r>
        <w:rPr>
          <w:rFonts w:ascii="Arial" w:cs="Arial" w:eastAsia="Arial" w:hAnsi="Arial"/>
          <w:sz w:val="17"/>
          <w:szCs w:val="17"/>
          <w:color w:val="auto"/>
        </w:rPr>
        <w:t>”). Amounts in the Trust Account are invested in United States Government securities or in money market funds meeting certain conditions under Rule 2a-7 promulgated under the Investment Company Act of 1940, as amended.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As of the date hereof, there are no claims or proceedings pending with respect to the Trust Account. Since June 8, 2020, Acquiror has not released any money from the Trust Account (other than interest income earned on the principal held in the Trust Account as permitted by the Trust Agreement). As of the First Effective Time, the obligations of Acquiror to dissolve or liquidate pursuant to the Acquiror Organizational Documents shall terminate, and, as of the First Effective Time, Acquiror shall have no obligation whatsoever pursuant to the Acquiror Organizational Documents to dissolve and liquidate the assets of Acquiror by reason of the consummation of the Transactions. To Acquiror’s knowledge, as of the date hereof, following the First Effective Time, no stockholder of Acquiror shall be entitled to receive any amount from the Trust Account except to the extent such stockholder shall have elected to tender its shares of Acquiror Common Stock for redemption pursuant to the Acquiror Stockholder Redemption. The Trust Agreement is in full force and effect and is a legal, valid and binding obligation of Acquiror and, to the knowledge of Acquiror, the Trustee, enforceable in accordance with its terms, subject to the Enforceability Exceptions. The Trust Agreement has not been terminated, repudiated, rescinded, amended or supplemented or modified, in any respect, and, to the knowledge of Acquiror, no such termination, repudiation, rescission, amendment, supplement or modification is contemplated. There are no side letters and there are no Contracts, arrangements or understandings, whether written or oral, with the Trustee or any other Person that would (i) cause the description of the Trust Agreement in the SEC Reports to be inaccurate or (ii) entitle any Person (other than stockholders of Acquiror who shall have elected to redeem their shares of Acquiror Common Stock pursuant to the Acquiror Stockholder Redemption or the underwriters of Acquiror’s initial public offering in respect of their Deferred Discount (as defined in the Trust Agreement)) to any portion of the proceeds in the Trust Account.</w:t>
      </w:r>
    </w:p>
    <w:p>
      <w:pPr>
        <w:spacing w:after="0" w:line="91" w:lineRule="exact"/>
        <w:rPr>
          <w:rFonts w:ascii="Arial" w:cs="Arial" w:eastAsia="Arial" w:hAnsi="Arial"/>
          <w:sz w:val="17"/>
          <w:szCs w:val="17"/>
          <w:color w:val="auto"/>
        </w:rPr>
      </w:pPr>
    </w:p>
    <w:p>
      <w:pPr>
        <w:ind w:left="560" w:right="80" w:firstLine="419"/>
        <w:spacing w:after="0" w:line="311" w:lineRule="auto"/>
        <w:tabs>
          <w:tab w:leader="none" w:pos="123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As of the date hereof, assuming the accuracy of the representations and warranties of the Company contained herein and the compliance by the Company with its respective obligations hereunder, Acquiror has no reason to believe that any of the conditions to the use of funds in the Trust Account will not be satisfied or funds available in the Trust Account will not be available to Acquiror on the Closing Date.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20" w:firstLine="419"/>
        <w:spacing w:after="0" w:line="277" w:lineRule="auto"/>
        <w:tabs>
          <w:tab w:leader="none" w:pos="122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As of the date hereof, Acquiror does not have, or have any present intention, agreement, arrangement or understanding to enter into or incur, any obligations with respect to or under any Indebtedness.</w:t>
      </w:r>
    </w:p>
    <w:p>
      <w:pPr>
        <w:spacing w:after="0" w:line="170"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Brokers’ Fees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of the Acquiror Disclosure Letter, no broker, finder, investment banker or other Person is entitled to any brokerage fee, finders’ fee, underwriting fee, deferred underwriting fee, commission or other similar payment in connection with the Transactions based upon arrangements made by Acquiror or any of its Affiliates, including the Sponsors.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SEC Reports; Financial Statements; Sarbanes-Oxley Act; Undisclosed Liabilities</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68" w:lineRule="auto"/>
        <w:tabs>
          <w:tab w:leader="none" w:pos="1228" w:val="left"/>
        </w:tabs>
        <w:numPr>
          <w:ilvl w:val="1"/>
          <w:numId w:val="370"/>
        </w:numPr>
        <w:rPr>
          <w:rFonts w:ascii="Arial" w:cs="Arial" w:eastAsia="Arial" w:hAnsi="Arial"/>
          <w:sz w:val="17"/>
          <w:szCs w:val="17"/>
          <w:color w:val="auto"/>
        </w:rPr>
      </w:pPr>
      <w:r>
        <w:rPr>
          <w:rFonts w:ascii="Arial" w:cs="Arial" w:eastAsia="Arial" w:hAnsi="Arial"/>
          <w:sz w:val="17"/>
          <w:szCs w:val="17"/>
          <w:color w:val="auto"/>
        </w:rPr>
        <w:t>Acquiror has filed in a timely manner all required registration statements, reports, schedules, forms, statements and other documents required to be filed by it with the SEC since June 8, 2020 (collectively, as they have been amended since the time of their filing and including all exhibits thereto, the “</w:t>
      </w:r>
      <w:r>
        <w:rPr>
          <w:rFonts w:ascii="Arial" w:cs="Arial" w:eastAsia="Arial" w:hAnsi="Arial"/>
          <w:sz w:val="17"/>
          <w:szCs w:val="17"/>
          <w:u w:val="single" w:color="auto"/>
          <w:color w:val="auto"/>
        </w:rPr>
        <w:t>SEC Reports</w:t>
      </w:r>
      <w:r>
        <w:rPr>
          <w:rFonts w:ascii="Arial" w:cs="Arial" w:eastAsia="Arial" w:hAnsi="Arial"/>
          <w:sz w:val="17"/>
          <w:szCs w:val="17"/>
          <w:color w:val="auto"/>
        </w:rPr>
        <w:t>”). None of the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Acquiror as of the respective dates thereof and the results of their operations and cash flows for the respective periods then ended. No Acquiror Party has any material off-balance sheet arrangements that are not disclosed in the SEC Reports.</w:t>
      </w:r>
    </w:p>
    <w:p>
      <w:pPr>
        <w:spacing w:after="0" w:line="78" w:lineRule="exact"/>
        <w:rPr>
          <w:rFonts w:ascii="Arial" w:cs="Arial" w:eastAsia="Arial" w:hAnsi="Arial"/>
          <w:sz w:val="17"/>
          <w:szCs w:val="17"/>
          <w:color w:val="auto"/>
        </w:rPr>
      </w:pPr>
    </w:p>
    <w:p>
      <w:pPr>
        <w:ind w:left="560" w:right="140" w:firstLine="419"/>
        <w:spacing w:after="0" w:line="255" w:lineRule="auto"/>
        <w:tabs>
          <w:tab w:leader="none" w:pos="122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Acquiror has established and maintains disclosure controls and procedures (as defined in Rule 13a-15 under the Exchange Act). Such disclosure controls and procedures are designed to ensure that material information relating to Acquiror is made known to Acquiror’s principal executive officer and its principal financial officer, particularly during the periods in which the periodic reports required under the Exchange Act are being prepared. To Acquiror’s knowledge, such disclosure controls and procedures are effective in timely alerting Acquiror’s principal executive officer and principal financial officer to material information required to be included in Acquiror’s periodic reports required under the Exchange Act.</w:t>
      </w:r>
    </w:p>
    <w:p>
      <w:pPr>
        <w:spacing w:after="0" w:line="84" w:lineRule="exact"/>
        <w:rPr>
          <w:rFonts w:ascii="Arial" w:cs="Arial" w:eastAsia="Arial" w:hAnsi="Arial"/>
          <w:sz w:val="18"/>
          <w:szCs w:val="18"/>
          <w:color w:val="auto"/>
        </w:rPr>
      </w:pPr>
    </w:p>
    <w:p>
      <w:pPr>
        <w:jc w:val="both"/>
        <w:ind w:left="560" w:right="120" w:firstLine="419"/>
        <w:spacing w:after="0" w:line="263" w:lineRule="auto"/>
        <w:tabs>
          <w:tab w:leader="none" w:pos="122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Acquiror has established and maintained a system of internal controls. To Acquiror’s knowledge, such internal controls are sufficient to provide reasonable assurance regarding the reliability of Acquiror’s financial reporting and the preparation of Acquiror’s financial statements for external purposes in accordance with GAAP.</w:t>
      </w:r>
    </w:p>
    <w:p>
      <w:pPr>
        <w:spacing w:after="0" w:line="75" w:lineRule="exact"/>
        <w:rPr>
          <w:rFonts w:ascii="Arial" w:cs="Arial" w:eastAsia="Arial" w:hAnsi="Arial"/>
          <w:sz w:val="18"/>
          <w:szCs w:val="18"/>
          <w:color w:val="auto"/>
        </w:rPr>
      </w:pPr>
    </w:p>
    <w:p>
      <w:pPr>
        <w:ind w:left="560" w:firstLine="419"/>
        <w:spacing w:after="0" w:line="259" w:lineRule="auto"/>
        <w:tabs>
          <w:tab w:leader="none" w:pos="123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the knowledge of the Acquiror, each director and executive officer of Acquiror has filed with the SEC on a timely basis all statements required by Section 16(a) of the Exchange Act and the rules and regulations promulgated thereunder. 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78" w:lineRule="exact"/>
        <w:rPr>
          <w:rFonts w:ascii="Arial" w:cs="Arial" w:eastAsia="Arial" w:hAnsi="Arial"/>
          <w:sz w:val="18"/>
          <w:szCs w:val="18"/>
          <w:color w:val="auto"/>
        </w:rPr>
      </w:pPr>
    </w:p>
    <w:p>
      <w:pPr>
        <w:ind w:left="560" w:firstLine="419"/>
        <w:spacing w:after="0" w:line="291" w:lineRule="auto"/>
        <w:tabs>
          <w:tab w:leader="none" w:pos="122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Neither Acquiror (including, to the knowledge of the Acquiror, any employee thereof) nor Acquiror’s independent auditors has identified or been made aware of (i) any significant deficiency or material weakness in the system of internal accounting controls utilized by Acquiror,</w:t>
      </w:r>
    </w:p>
    <w:p>
      <w:pPr>
        <w:ind w:left="560" w:right="220" w:hanging="4"/>
        <w:spacing w:after="0" w:line="290" w:lineRule="auto"/>
        <w:tabs>
          <w:tab w:leader="none" w:pos="825"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firstLine="419"/>
        <w:spacing w:after="0" w:line="342" w:lineRule="auto"/>
        <w:tabs>
          <w:tab w:leader="none" w:pos="1208"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As of the date hereof, there are no outstanding SEC comments from the SEC with respect to the SEC Reports. To the knowledge of Acquiror, none of the SEC Reports filed on or prior to the date hereof is subject to ongoing SEC review or investigation as of the date hereof.</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87" w:lineRule="auto"/>
        <w:tabs>
          <w:tab w:leader="none" w:pos="1228" w:val="left"/>
        </w:tabs>
        <w:numPr>
          <w:ilvl w:val="1"/>
          <w:numId w:val="373"/>
        </w:numPr>
        <w:rPr>
          <w:rFonts w:ascii="Arial" w:cs="Arial" w:eastAsia="Arial" w:hAnsi="Arial"/>
          <w:sz w:val="16"/>
          <w:szCs w:val="16"/>
          <w:color w:val="auto"/>
        </w:rPr>
      </w:pPr>
      <w:r>
        <w:rPr>
          <w:rFonts w:ascii="Arial" w:cs="Arial" w:eastAsia="Arial" w:hAnsi="Arial"/>
          <w:sz w:val="16"/>
          <w:szCs w:val="16"/>
          <w:color w:val="auto"/>
        </w:rPr>
        <w:t>Since its incorporation, Acquiror has not conducted any business activities other than activities directed toward the accomplishment of a Business Combination. Except as set forth in the Acquiror Organizational Documents, there is no agreement, commitment, or Governmental Order binding upon any Acquiror Party or to which any Acquiror Party is a party which has or would reasonably be expected to have the effect of prohibiting or impairing any business practice of any Acquiror Party or any acquisition of property by any Acquiror Party or the conduct of business by any Acquiror Party as currently conducted or as contemplated to be conducted as of the Closing other than such effects, individually or in the aggregate, which have not had and would not reasonably be expected to have a material adverse effect on the ability of any Acquiror Party to enter into and perform its obligations under this Agreement. Each of First Merger Sub and Second Merger Sub was formed solely for the purpose of engaging in the Transactions, has not conducted any business prior to the date hereof and will not conduct any business prior to the Closing except for matters incidental to engaging in the Transactions, and has no assets, liabilities or obligations of any nature other than those incident to its formation and pursuant to this Agreement and any Transaction Agreement to which it is or will be a party, as applicable, and the other transactions contemplated by this Agreement and such Transaction Agreements, as applicable.</w:t>
      </w:r>
    </w:p>
    <w:p>
      <w:pPr>
        <w:spacing w:after="0" w:line="63" w:lineRule="exact"/>
        <w:rPr>
          <w:rFonts w:ascii="Arial" w:cs="Arial" w:eastAsia="Arial" w:hAnsi="Arial"/>
          <w:sz w:val="16"/>
          <w:szCs w:val="16"/>
          <w:color w:val="auto"/>
        </w:rPr>
      </w:pPr>
    </w:p>
    <w:p>
      <w:pPr>
        <w:ind w:left="560" w:right="100" w:firstLine="419"/>
        <w:spacing w:after="0" w:line="257" w:lineRule="auto"/>
        <w:tabs>
          <w:tab w:leader="none" w:pos="123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No Acquiror Party owns or has a right to acquire, directly or indirectly, any interest or investment (whether equity or debt) in any corporation, partnership, joint venture, business, trust or other entity. Except for this Agreement and the Transactions, neither Acquiror nor any of its Subsidiaries has any interests, rights, obligations or liabilities with respect to, or is party to, bound by or has its assets or property subject to, in each case whether directly or indirectly, any Contract or transaction which is, or could reasonably be interpreted as constituting, a Business Combination.</w:t>
      </w:r>
    </w:p>
    <w:p>
      <w:pPr>
        <w:spacing w:after="0" w:line="79" w:lineRule="exact"/>
        <w:rPr>
          <w:rFonts w:ascii="Arial" w:cs="Arial" w:eastAsia="Arial" w:hAnsi="Arial"/>
          <w:sz w:val="18"/>
          <w:szCs w:val="18"/>
          <w:color w:val="auto"/>
        </w:rPr>
      </w:pPr>
    </w:p>
    <w:p>
      <w:pPr>
        <w:ind w:left="560" w:right="60" w:firstLine="419"/>
        <w:spacing w:after="0" w:line="255" w:lineRule="auto"/>
        <w:tabs>
          <w:tab w:leader="none" w:pos="122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Except for this Agreement and the agreements expressly contemplated hereby (including any agreements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as set forth on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of the Acquiror Disclosure Letter, no Acquiror Party is, and at no time has been, party to any Contract with any other Person that would require payments by any Acquiror Party in excess of $10,000 monthly, $100,000 in the aggregate with respect to any individual Contract or more than $500,000 in the aggregate when taken together with all other Contracts (other than this Agreement and the agreements expressly contemplated hereby (including any agreements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and Contracts set forth on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of the Acquiror Disclosure Letter).</w:t>
      </w:r>
    </w:p>
    <w:p>
      <w:pPr>
        <w:spacing w:after="0" w:line="84" w:lineRule="exact"/>
        <w:rPr>
          <w:rFonts w:ascii="Arial" w:cs="Arial" w:eastAsia="Arial" w:hAnsi="Arial"/>
          <w:sz w:val="18"/>
          <w:szCs w:val="18"/>
          <w:color w:val="auto"/>
        </w:rPr>
      </w:pPr>
    </w:p>
    <w:p>
      <w:pPr>
        <w:ind w:left="560" w:firstLine="419"/>
        <w:spacing w:after="0" w:line="284" w:lineRule="auto"/>
        <w:tabs>
          <w:tab w:leader="none" w:pos="1238"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There is no liability, debt or obligation of or claim or judgment against the Acquiror or any of its Subsidiaries (whether direct or indirect, absolute or contingent, accrued or unaccrued, known or unknown, liquidated or unliquidated, or due or to become due), except for liabilities and obligations (i) reflected or reserved for on Acquiror’s consolidated balance sheet for the nine months ended September 30, 2020 or disclosed in the notes thereto (other than any such liabilities not reflected, reserved or disclosed as are not and would not be, in the aggregate, material to Acquiror and its Subsidiaries, taken as a whole), (ii) that have arisen since the date of Acquiror’s consolidated balance sheet for the nine months ended September 30, 2020 in the ordinary course of the operation of business of Acquiror and its Subsidiaries (other than any such liabilities as are not and would not be, in the aggregate, material to Acquiror and its Subsidiaries, taken as a whole), (iii) disclosed in the Acquiror Disclosure Letter or</w:t>
      </w:r>
    </w:p>
    <w:p>
      <w:pPr>
        <w:spacing w:after="0" w:line="2" w:lineRule="exact"/>
        <w:rPr>
          <w:rFonts w:ascii="Arial" w:cs="Arial" w:eastAsia="Arial" w:hAnsi="Arial"/>
          <w:sz w:val="16"/>
          <w:szCs w:val="16"/>
          <w:color w:val="auto"/>
        </w:rPr>
      </w:pPr>
    </w:p>
    <w:p>
      <w:pPr>
        <w:ind w:left="860" w:hanging="304"/>
        <w:spacing w:after="0"/>
        <w:tabs>
          <w:tab w:leader="none" w:pos="8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incurred in connection with or contemplated by this Agreement and/or the Transactions.</w:t>
      </w:r>
    </w:p>
    <w:p>
      <w:pPr>
        <w:spacing w:after="0" w:line="102" w:lineRule="exact"/>
        <w:rPr>
          <w:rFonts w:ascii="Arial" w:cs="Arial" w:eastAsia="Arial" w:hAnsi="Arial"/>
          <w:sz w:val="18"/>
          <w:szCs w:val="18"/>
          <w:color w:val="auto"/>
        </w:rPr>
      </w:pPr>
    </w:p>
    <w:p>
      <w:pPr>
        <w:ind w:left="560" w:right="60" w:firstLine="419"/>
        <w:spacing w:after="0" w:line="259" w:lineRule="auto"/>
        <w:tabs>
          <w:tab w:leader="none" w:pos="1228"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Since June 8, 2020, (a) there has not been any event or occurrence that has had, or would not reasonably be expected to have, individually or in the aggregate, a material adverse effect on the ability of the Acquiror to enter into and perform its obligations under this Agreement and (b) except as set forth in </w:t>
      </w:r>
      <w:r>
        <w:rPr>
          <w:rFonts w:ascii="Arial" w:cs="Arial" w:eastAsia="Arial" w:hAnsi="Arial"/>
          <w:sz w:val="18"/>
          <w:szCs w:val="18"/>
          <w:u w:val="single" w:color="auto"/>
          <w:color w:val="auto"/>
        </w:rPr>
        <w:t>Section 6.09(e)</w:t>
      </w:r>
      <w:r>
        <w:rPr>
          <w:rFonts w:ascii="Arial" w:cs="Arial" w:eastAsia="Arial" w:hAnsi="Arial"/>
          <w:sz w:val="18"/>
          <w:szCs w:val="18"/>
          <w:color w:val="auto"/>
        </w:rPr>
        <w:t xml:space="preserve"> of the Acquiror Disclosure Letter, the Acquiror has, in all material respects, conducted its business and operated their properties in the ordinary course of business consistent with past practice.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40"/>
          </w:cols>
          <w:pgMar w:left="32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560" w:right="240" w:firstLine="419"/>
        <w:spacing w:after="0" w:line="277" w:lineRule="auto"/>
        <w:tabs>
          <w:tab w:leader="none" w:pos="122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All material Tax Returns required by Law to be filed by any Acquiror Party have been filed, and all such Tax Returns are true, correct and complete in all material respects.</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All material amounts of Taxes due and owing by any Acquiror Party have been paid, and since the date of Acquiror’s consolidated balance sheet for the nine months ended September 30, 2020, no Acquiror Party has incurred any material Tax liability outside the ordinary course of business other than any liabilities incurred in connection with the Transactions.</w:t>
      </w:r>
    </w:p>
    <w:p>
      <w:pPr>
        <w:spacing w:after="0" w:line="75" w:lineRule="exact"/>
        <w:rPr>
          <w:rFonts w:ascii="Arial" w:cs="Arial" w:eastAsia="Arial" w:hAnsi="Arial"/>
          <w:sz w:val="18"/>
          <w:szCs w:val="18"/>
          <w:color w:val="auto"/>
        </w:rPr>
      </w:pPr>
    </w:p>
    <w:p>
      <w:pPr>
        <w:ind w:left="560" w:firstLine="419"/>
        <w:spacing w:after="0" w:line="279" w:lineRule="auto"/>
        <w:tabs>
          <w:tab w:leader="none" w:pos="122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Each Acquiror Party has (i) withheld and deducted all material amounts of Taxes required to have been withheld or deducted by it in connection with amounts paid or owed to any employee, independent contractor, creditor, shareholder or any other third party, (ii) timely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63" w:lineRule="exact"/>
        <w:rPr>
          <w:rFonts w:ascii="Arial" w:cs="Arial" w:eastAsia="Arial" w:hAnsi="Arial"/>
          <w:sz w:val="17"/>
          <w:szCs w:val="17"/>
          <w:color w:val="auto"/>
        </w:rPr>
      </w:pPr>
    </w:p>
    <w:p>
      <w:pPr>
        <w:ind w:left="560" w:right="80" w:firstLine="419"/>
        <w:spacing w:after="0" w:line="290" w:lineRule="auto"/>
        <w:tabs>
          <w:tab w:leader="none" w:pos="123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No Acquiror Party is engaged in any audit, administrative proceeding or judicial proceeding with respect to Taxes. No Acquiror Party has received any written notice from a Governmental Authority of a dispute or claim with respect to material Taxes, other than disputes or claims that have since been resolved, and no such claims have been threatened in writing. No written claim has been made, and to the knowledge of Acquiror, no oral claim has been made, since December 31, 2017 by any Governmental Authority in a jurisdiction where an Acquiror Party does not file a Tax Return that such Acquiror Party is or may be subject to material Taxes by, or is required to file a Tax Return in respect of material Taxes in, that jurisdiction that would be the subject of such Tax Return. There are no outstanding agreements extending or waiving the statutory period of limitations applicable to any claim for, or the period for the collection or assessment or reassessment of, material Taxes of an Acquiror Party and no written request for any such waiver or extension is currently pending.</w:t>
      </w:r>
    </w:p>
    <w:p>
      <w:pPr>
        <w:spacing w:after="0" w:line="57" w:lineRule="exact"/>
        <w:rPr>
          <w:rFonts w:ascii="Arial" w:cs="Arial" w:eastAsia="Arial" w:hAnsi="Arial"/>
          <w:sz w:val="16"/>
          <w:szCs w:val="16"/>
          <w:color w:val="auto"/>
        </w:rPr>
      </w:pPr>
    </w:p>
    <w:p>
      <w:pPr>
        <w:ind w:left="560" w:right="80" w:firstLine="419"/>
        <w:spacing w:after="0" w:line="263" w:lineRule="auto"/>
        <w:tabs>
          <w:tab w:leader="none" w:pos="122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Neither Acquiror nor any predecessor thereof has constituted either a “distributing corporation” or a “controlled corporation” in a distribution of stock qualifying for Income Tax-free treatment under Section 355 of the Code (or so much of Section 356 of the Code as relates to Section 355 of the Code) since December 31, 2018.</w:t>
      </w:r>
    </w:p>
    <w:p>
      <w:pPr>
        <w:spacing w:after="0" w:line="75" w:lineRule="exact"/>
        <w:rPr>
          <w:rFonts w:ascii="Arial" w:cs="Arial" w:eastAsia="Arial" w:hAnsi="Arial"/>
          <w:sz w:val="18"/>
          <w:szCs w:val="18"/>
          <w:color w:val="auto"/>
        </w:rPr>
      </w:pPr>
    </w:p>
    <w:p>
      <w:pPr>
        <w:ind w:left="560" w:right="120" w:firstLine="419"/>
        <w:spacing w:after="0" w:line="279" w:lineRule="auto"/>
        <w:tabs>
          <w:tab w:leader="none" w:pos="120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No Acquiror Party (i) has been a party to any “reportable transaction” (other than a listed transaction) within the meaning of Treasury Regulation Section 1.6011-4(b), (ii) has executed or entered into any “closing agreement” or other binding written agreement with respect to material Taxes with a Governmental Authority that created obligations that will bind any Acquiror Party after the Closing or (iii) has, or has ever had, a permanent establishment or branch in a jurisdiction outside the country of its organization.</w:t>
      </w:r>
    </w:p>
    <w:p>
      <w:pPr>
        <w:spacing w:after="0" w:line="63" w:lineRule="exact"/>
        <w:rPr>
          <w:rFonts w:ascii="Arial" w:cs="Arial" w:eastAsia="Arial" w:hAnsi="Arial"/>
          <w:sz w:val="17"/>
          <w:szCs w:val="17"/>
          <w:color w:val="auto"/>
        </w:rPr>
      </w:pPr>
    </w:p>
    <w:p>
      <w:pPr>
        <w:ind w:left="1240" w:hanging="261"/>
        <w:spacing w:after="0"/>
        <w:tabs>
          <w:tab w:leader="none" w:pos="12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There are no Liens with respect to material Taxes on any of the assets of any Acquiror Party, other than Permitted Liens.</w:t>
      </w:r>
    </w:p>
    <w:p>
      <w:pPr>
        <w:spacing w:after="0" w:line="117" w:lineRule="exact"/>
        <w:rPr>
          <w:rFonts w:ascii="Arial" w:cs="Arial" w:eastAsia="Arial" w:hAnsi="Arial"/>
          <w:sz w:val="18"/>
          <w:szCs w:val="18"/>
          <w:color w:val="auto"/>
        </w:rPr>
      </w:pPr>
    </w:p>
    <w:p>
      <w:pPr>
        <w:ind w:left="560" w:right="120" w:firstLine="419"/>
        <w:spacing w:after="0" w:line="311" w:lineRule="auto"/>
        <w:tabs>
          <w:tab w:leader="none" w:pos="123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No Acquiror Party has any material liability for the Taxes of any Person (i) under Treasury Regulation Section 1.1502-6 (or any similar provision of state, local or foreign law), (ii) as a transferee or successor or (iii) by Contract or otherwise (except, in each case, for liabilities pursuant to commercial contracts (or Contracts entered into in the ordinary course of business) that do not primarily relate to Taxes).</w:t>
      </w:r>
    </w:p>
    <w:p>
      <w:pPr>
        <w:spacing w:after="0" w:line="40" w:lineRule="exact"/>
        <w:rPr>
          <w:rFonts w:ascii="Arial" w:cs="Arial" w:eastAsia="Arial" w:hAnsi="Arial"/>
          <w:sz w:val="16"/>
          <w:szCs w:val="16"/>
          <w:color w:val="auto"/>
        </w:rPr>
      </w:pPr>
    </w:p>
    <w:p>
      <w:pPr>
        <w:ind w:left="560" w:right="220" w:firstLine="419"/>
        <w:spacing w:after="0" w:line="293" w:lineRule="auto"/>
        <w:tabs>
          <w:tab w:leader="none" w:pos="119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No Acquiror Party is a party to, is bound by, or has any obligation to any Governmental Authority or other Person under any Tax allocation, Tax sharing or Tax indemnification agreement (except, in each case, for any such agreements that are commercial contracts not primarily relating to Taxes). No Acquiror Party is a party to, is bound by, or has any obligation to the Sponsor or any of its Affiliates under any material Contract with the Sponsor or any of its Affiliates that contains a material Tax gross-up provision that has not been either furnished or made available to the Company or filed with the SEC. No Acquiror Party will be required to include any material item of income in, or exclude any material item of deduction from, taxable income for any taxable period (or portion thereof) ending after the Closing Date as a result of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00"/>
          </w:cols>
          <w:pgMar w:left="320" w:top="459" w:right="47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any: (A) change in method of accounting for a taxable period (or portion thereof) ending on or prior to the Closing Date and made prior to the Closing; (B) election pursuant to Section 108(i) of the Code made prior to the Closing; (C) installment sale or open transaction disposition made prior to the Closing; or (D) prepaid amount received prior to the Closing.</w:t>
      </w:r>
    </w:p>
    <w:p>
      <w:pPr>
        <w:spacing w:after="0" w:line="76" w:lineRule="exact"/>
        <w:rPr>
          <w:sz w:val="20"/>
          <w:szCs w:val="20"/>
          <w:color w:val="auto"/>
        </w:rPr>
      </w:pPr>
    </w:p>
    <w:p>
      <w:pPr>
        <w:jc w:val="both"/>
        <w:ind w:left="560" w:right="80" w:firstLine="419"/>
        <w:spacing w:after="0" w:line="259" w:lineRule="auto"/>
        <w:tabs>
          <w:tab w:leader="none" w:pos="119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 Acquiror Party has taken any action (or permitted any action to be taken), or is aware of any fact or circumstance (other than any fact or circumstance relating to the value of the Acquiror Common Stock after the date hereof), that would reasonably be expected to prevent the First Merger and the Second Merger, taken together, from constituting an integrated transaction that qualifies as a “reorganization” within the meaning of Section 368(a) of the Code and the Treasury Regulations thereunder.</w:t>
      </w:r>
    </w:p>
    <w:p>
      <w:pPr>
        <w:spacing w:after="0" w:line="78" w:lineRule="exact"/>
        <w:rPr>
          <w:rFonts w:ascii="Arial" w:cs="Arial" w:eastAsia="Arial" w:hAnsi="Arial"/>
          <w:sz w:val="18"/>
          <w:szCs w:val="18"/>
          <w:color w:val="auto"/>
        </w:rPr>
      </w:pPr>
    </w:p>
    <w:p>
      <w:pPr>
        <w:ind w:left="560" w:right="40" w:firstLine="419"/>
        <w:spacing w:after="0" w:line="263" w:lineRule="auto"/>
        <w:tabs>
          <w:tab w:leader="none" w:pos="123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of the membership interests in Second Merger Sub are owned by Acquiror, and Second Merger Sub is, and has been since formation, disregarded as an entity (within the meaning of Treasury Regulations Section 301.7701-3) separate from Acquiror for U.S. federal income tax purposes.</w:t>
      </w:r>
    </w:p>
    <w:p>
      <w:pPr>
        <w:spacing w:after="0" w:line="75" w:lineRule="exact"/>
        <w:rPr>
          <w:rFonts w:ascii="Arial" w:cs="Arial" w:eastAsia="Arial" w:hAnsi="Arial"/>
          <w:sz w:val="18"/>
          <w:szCs w:val="18"/>
          <w:color w:val="auto"/>
        </w:rPr>
      </w:pPr>
    </w:p>
    <w:p>
      <w:pPr>
        <w:ind w:left="560" w:right="60" w:firstLine="419"/>
        <w:spacing w:after="0" w:line="308" w:lineRule="auto"/>
        <w:tabs>
          <w:tab w:leader="none" w:pos="1198" w:val="left"/>
        </w:tabs>
        <w:numPr>
          <w:ilvl w:val="0"/>
          <w:numId w:val="376"/>
        </w:numPr>
        <w:rPr>
          <w:rFonts w:ascii="Arial" w:cs="Arial" w:eastAsia="Arial" w:hAnsi="Arial"/>
          <w:sz w:val="17"/>
          <w:szCs w:val="17"/>
          <w:color w:val="auto"/>
        </w:rPr>
      </w:pPr>
      <w:r>
        <w:rPr>
          <w:rFonts w:ascii="Arial" w:cs="Arial" w:eastAsia="Arial" w:hAnsi="Arial"/>
          <w:sz w:val="17"/>
          <w:szCs w:val="17"/>
          <w:color w:val="auto"/>
        </w:rPr>
        <w:t>Acquiror is not currently and has never been a “United States real property holding corporation” within the meaning of Section 897(c)(2) of the Code. Acquiror has never owned an interest in another person, other than First Merger Sub and Second Merger Sub.</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7" w:lineRule="auto"/>
        <w:tabs>
          <w:tab w:leader="none" w:pos="1228"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The authorized capital stock of Acquiror consists of 401,000,000 shares of capital stock, including (i) 380,000,000 shares of Acquiror Common Stock, (ii) 20,000,000 shares of Acquiror Class B Common Stock and (iii) 1,000,000 shares of Acquiror Preferred Stock of which (A) 41,400,000 shares of Acquiror Common Stock are issued and outstanding as of the date of this Agreement, (B) 10,350,000 shares of Acquiror Class B Common Stock are issued and outstanding as of the date of this Agreement and (C) 0 shares of Acquiror Preferred Stock are issued and outstanding as of the date of this Agreement. All of the issued and outstanding shares of Acquiror Class A Common Stock, Acquiror Class B Common Stock, Acquiror Preferred Stock and Acquiror Warrants (1) have been duly authorized and validly issued and are fully paid and nonassessable, (2) were issued in compliance in all material respects with applicable Law, (3) were not issued in breach or violation of any preemptive rights or Contract and (4) are fully vested and not otherwise subject to a substantial risk of forfeiture within the meaning of Section 83 of the Code, except as disclosed in the SEC Reports with respect to certain Acquiror Capital Stock held by the Sponsors. As of the date hereof, Acquiror has issued 30,980,000 Acquiror Warrants that entitle the holder thereof to purchase Acquiror Class A Common Stock at an exercise price of $11.50 per share (subject to adjustment) on the terms and conditions set forth in the applicable warrant agreement.</w:t>
      </w:r>
    </w:p>
    <w:p>
      <w:pPr>
        <w:spacing w:after="0" w:line="63" w:lineRule="exact"/>
        <w:rPr>
          <w:rFonts w:ascii="Arial" w:cs="Arial" w:eastAsia="Arial" w:hAnsi="Arial"/>
          <w:sz w:val="16"/>
          <w:szCs w:val="16"/>
          <w:color w:val="auto"/>
        </w:rPr>
      </w:pPr>
    </w:p>
    <w:p>
      <w:pPr>
        <w:ind w:left="560" w:firstLine="419"/>
        <w:spacing w:after="0" w:line="290" w:lineRule="auto"/>
        <w:tabs>
          <w:tab w:leader="none" w:pos="1238" w:val="left"/>
        </w:tabs>
        <w:numPr>
          <w:ilvl w:val="1"/>
          <w:numId w:val="377"/>
        </w:numPr>
        <w:rPr>
          <w:rFonts w:ascii="Arial" w:cs="Arial" w:eastAsia="Arial" w:hAnsi="Arial"/>
          <w:sz w:val="16"/>
          <w:szCs w:val="16"/>
          <w:color w:val="auto"/>
        </w:rPr>
      </w:pPr>
      <w:r>
        <w:rPr>
          <w:rFonts w:ascii="Arial" w:cs="Arial" w:eastAsia="Arial" w:hAnsi="Arial"/>
          <w:sz w:val="16"/>
          <w:szCs w:val="16"/>
          <w:color w:val="auto"/>
        </w:rPr>
        <w:t>Immediately prior to the closing of the transactions contemplated by the Subscription Agreements, the HEC Forward Purchase Agreement and the completion of the Mergers, the authorized capital stock of Acquiror will consist of 401,000,000 shares of capital stock, including (i) 380,000,000 shares of Acquiror Common Stock, and (ii) 1,000,000 shares of Acquiror Preferred Stock, of which Acquiror has committed to issue 30,00,000 shares of Acquiror Common Stock to the PIPE Investors and up to 5,000,000 Acquiror Units to HEC, and to issue 10,350,000 shares of Acquiror Common Stock upon the conversion of Acquiror Class B Common Stock in accordance with the Sponsor Support Agreement, and Acquiror will have up to 33,480,000 Acquiror Warrants issued and outstanding, of which (A) up to 10,280,000 will be issued to the Sponsor, (B) up to 2,500,000 will be issued to HEC, and (C) 20,700,000 Acquiror Warrants will entitle the holder thereof to purchase Acquiror Common Stock at an exercise price of $11.50 per share on the terms and conditions set forth in the applicable warrant agreement.</w:t>
      </w:r>
    </w:p>
    <w:p>
      <w:pPr>
        <w:spacing w:after="0" w:line="57" w:lineRule="exact"/>
        <w:rPr>
          <w:rFonts w:ascii="Arial" w:cs="Arial" w:eastAsia="Arial" w:hAnsi="Arial"/>
          <w:sz w:val="16"/>
          <w:szCs w:val="16"/>
          <w:color w:val="auto"/>
        </w:rPr>
      </w:pPr>
    </w:p>
    <w:p>
      <w:pPr>
        <w:ind w:left="560" w:right="240" w:firstLine="419"/>
        <w:spacing w:after="0" w:line="286" w:lineRule="auto"/>
        <w:tabs>
          <w:tab w:leader="none" w:pos="1228" w:val="left"/>
        </w:tabs>
        <w:numPr>
          <w:ilvl w:val="1"/>
          <w:numId w:val="377"/>
        </w:numPr>
        <w:rPr>
          <w:rFonts w:ascii="Arial" w:cs="Arial" w:eastAsia="Arial" w:hAnsi="Arial"/>
          <w:sz w:val="16"/>
          <w:szCs w:val="16"/>
          <w:color w:val="auto"/>
        </w:rPr>
      </w:pPr>
      <w:r>
        <w:rPr>
          <w:rFonts w:ascii="Arial" w:cs="Arial" w:eastAsia="Arial" w:hAnsi="Arial"/>
          <w:sz w:val="16"/>
          <w:szCs w:val="16"/>
          <w:color w:val="auto"/>
        </w:rPr>
        <w:t>Except for this Agreement, the Acquiror Warrants, the Subscription Agreements and the HEC Forward Purchase Agreement, as of the date hereof, there are (i) no subscriptions, calls, options, warrants, rights or other securities convertible into or exchangeable or exercisable for shares of Acquiror Capital Stock or any other equity interests of Acquiror, or any other Contracts to which Acquiror is a party or by which Acquiror is bound obligating Acquiror to issue or sell any shares of capital stock of, other equity interests in or debt securities of, Acquiror, and</w:t>
      </w:r>
    </w:p>
    <w:p>
      <w:pPr>
        <w:spacing w:after="0" w:line="1" w:lineRule="exact"/>
        <w:rPr>
          <w:rFonts w:ascii="Arial" w:cs="Arial" w:eastAsia="Arial" w:hAnsi="Arial"/>
          <w:sz w:val="16"/>
          <w:szCs w:val="16"/>
          <w:color w:val="auto"/>
        </w:rPr>
      </w:pPr>
    </w:p>
    <w:p>
      <w:pPr>
        <w:ind w:left="820" w:hanging="264"/>
        <w:spacing w:after="0"/>
        <w:tabs>
          <w:tab w:leader="none" w:pos="8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 equity equivalents, stock appreciation rights, phantom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88" w:lineRule="auto"/>
        <w:rPr>
          <w:sz w:val="20"/>
          <w:szCs w:val="20"/>
          <w:color w:val="auto"/>
        </w:rPr>
      </w:pPr>
      <w:r>
        <w:rPr>
          <w:rFonts w:ascii="Arial" w:cs="Arial" w:eastAsia="Arial" w:hAnsi="Arial"/>
          <w:sz w:val="16"/>
          <w:szCs w:val="16"/>
          <w:color w:val="auto"/>
        </w:rPr>
        <w:t>stock ownership interests or similar rights in Acquiror. Except as disclosed in the SEC Reports, the Acquiror Organizational Documents or in the Sponsor Support Agreement, there are no outstanding contractual obligations of Acquiror to repurchase, redeem or otherwise acquire any securities or equity interests of Acquiror. There are no outstanding bonds, debentures, notes or other indebtedness of Acquiror having the right to vote (or convertible into, or exchangeable for, securities having the right to vote) on any matter for which Acquiror’s stockholders may vote. Except as disclosed in the SEC Reports, Acquiror is not a party to any shareholders agreement, voting agreement or registration rights agreement relating to Acquiror Capital Stock or any other equity interests of Acquiror. Acquiror does not own any capital stock or any other equity interests in any other Person or has any right, option, warrant, conversion right, stock appreciation right, restricted share, phantom equity,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w:t>
      </w:r>
    </w:p>
    <w:p>
      <w:pPr>
        <w:spacing w:after="0" w:line="60" w:lineRule="exact"/>
        <w:rPr>
          <w:sz w:val="20"/>
          <w:szCs w:val="20"/>
          <w:color w:val="auto"/>
        </w:rPr>
      </w:pPr>
    </w:p>
    <w:p>
      <w:pPr>
        <w:ind w:left="560" w:right="80" w:firstLine="419"/>
        <w:spacing w:after="0" w:line="263" w:lineRule="auto"/>
        <w:tabs>
          <w:tab w:leader="none" w:pos="123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 Person and no syndicate or “group” (as defined in the Exchange Act and the rules thereunder) of a Person owns directly or indirectly beneficial ownership (as defined in the Exchange Act and the rules thereunder) of securities of Acquiror representing 35% or more of the combined voting power of the issued and outstanding securities of Acquiror.</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Nasdaq Listing</w:t>
      </w:r>
      <w:r>
        <w:rPr>
          <w:rFonts w:ascii="Arial" w:cs="Arial" w:eastAsia="Arial" w:hAnsi="Arial"/>
          <w:sz w:val="17"/>
          <w:szCs w:val="17"/>
          <w:color w:val="auto"/>
        </w:rPr>
        <w:t>. The issued and outstanding units of the Acquiror, each such unit comprised of one share of Acquiror Common Stock and one-half of one Acquiror Warrant (an “</w:t>
      </w:r>
      <w:r>
        <w:rPr>
          <w:rFonts w:ascii="Arial" w:cs="Arial" w:eastAsia="Arial" w:hAnsi="Arial"/>
          <w:sz w:val="17"/>
          <w:szCs w:val="17"/>
          <w:u w:val="single" w:color="auto"/>
          <w:color w:val="auto"/>
        </w:rPr>
        <w:t>Acquiror Unit</w:t>
      </w:r>
      <w:r>
        <w:rPr>
          <w:rFonts w:ascii="Arial" w:cs="Arial" w:eastAsia="Arial" w:hAnsi="Arial"/>
          <w:sz w:val="17"/>
          <w:szCs w:val="17"/>
          <w:color w:val="auto"/>
        </w:rPr>
        <w:t>”), are registered pursuant to Section 12(b) of the Exchange Act and are listed for trading on the Nasdaq under the symbol “HECCU”. The issued and outstanding shares of Acquiror Common Stock are registered pursuant to Section 12(b) of the Exchange Act and are listed for trading on the Nasdaq under the symbol “HEC”. The issued and outstanding Acquiror Warrants are registered pursuant to Section 12(b) of the Exchange Act and are listed for trading on the Nasdaq under the symbol “HECCW”. Acquiror is in compliance with the rules of the Nasdaq and there is no Action pending or, to the knowledge of Acquiror, threatened against Acquiror by the Nasdaq or the SEC with respect to any intention by such entity to deregister the Acquiror Common Stock or Acquiror Warrants or terminate the listing of Acquiror Common Stock or Acquiror Warrants on the Nasdaq. None of Acquiror or its Affiliates has taken any action in an attempt to terminate the registration of the Acquiror Common Stock or Acquiror Warrants under the Exchange Act except as contemplated by this Agreement. Acquiror has not received any notice from the Nasdaq or the SEC regarding the revocation of such listing or otherwise regarding the delisting of the Acquiror Common Stock or Acquiror Warrants from the Nasdaq or the SEC.</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PIPE Investment; HEC Forward Purchase</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7" w:lineRule="auto"/>
        <w:tabs>
          <w:tab w:leader="none" w:pos="122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Acquiror has delivered to the Company true, correct and complete copies of each of the Subscription Agreements entered into by Acquiror with the applicable PIPE Investors named therein, pursuant to which the PIPE Investors have committed to provide equity financing to Acquiror solely for purposes of consummating the Transactions in the aggregate amount of $300,000,000 (the “</w:t>
      </w:r>
      <w:r>
        <w:rPr>
          <w:rFonts w:ascii="Arial" w:cs="Arial" w:eastAsia="Arial" w:hAnsi="Arial"/>
          <w:sz w:val="16"/>
          <w:szCs w:val="16"/>
          <w:u w:val="single" w:color="auto"/>
          <w:color w:val="auto"/>
        </w:rPr>
        <w:t>PIPE Investment Amount</w:t>
      </w:r>
      <w:r>
        <w:rPr>
          <w:rFonts w:ascii="Arial" w:cs="Arial" w:eastAsia="Arial" w:hAnsi="Arial"/>
          <w:sz w:val="16"/>
          <w:szCs w:val="16"/>
          <w:color w:val="auto"/>
        </w:rPr>
        <w:t>”). To the knowledge of Acquiror, with respect to each PIPE Investor, the Subscription Agreement with such PIPE Investor is in full force and effect and has not been withdrawn or terminated, or otherwise amended or modified, in any respect, and no withdrawal, termination, amendment or modification is contemplated by Acquiror. Each Subscription Agreement is a legal, valid and binding obligation of Acquiror and, to the knowledge of Acquiror, each PIPE Investor, and neither the execution or delivery by any party thereto nor the performance of any party’s obligations under any such Subscription Agreement violates or will violate any Laws. The Subscription Agreements provide that the Company is a third-party beneficiary thereof and is entitled to enforce such agreements against the PIPE Investor. There are no other agreements, side letters, or arrangements between Acquiror and any PIPE Investor that could affect the obligation of such PIPE Investors to contribute to Acquiror the applicable portion of the PIPE Investment Amount set forth in the Subscription Agreement of such PIPE Investors, and, as of the date hereof, Acquiror does not know of any facts or circumstances that may reasonably be expected to result in any of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54" w:lineRule="auto"/>
        <w:rPr>
          <w:sz w:val="20"/>
          <w:szCs w:val="20"/>
          <w:color w:val="auto"/>
        </w:rPr>
      </w:pPr>
      <w:r>
        <w:rPr>
          <w:rFonts w:ascii="Arial" w:cs="Arial" w:eastAsia="Arial" w:hAnsi="Arial"/>
          <w:sz w:val="18"/>
          <w:szCs w:val="18"/>
          <w:color w:val="auto"/>
        </w:rPr>
        <w:t>conditions set forth in any Subscription Agreement not being satisfied, or the PIPE Investment Amount not being available to Acquiror, on the Closing Date. No event has occurred that, with or without notice, lapse of time or both, would constitute a default or breach on the part of Acquiror under any material term or condition of any Subscription Agreement and, as of the date hereof, Acquiror has no reason to believe that it will be unable to satisfy in all material respects on a timely basis any term or condition to closing to be satisfied by it contained in any Subscription Agreement. The Subscription Agreements contain all of the conditions precedent (other than the conditions contained in this Agreement) to the obligations of the PIPE Investors to contribute to Acquiror the applicable portion of the PIPE Investment Amount set forth in the Subscription Agreements on the terms therein.</w:t>
      </w:r>
    </w:p>
    <w:p>
      <w:pPr>
        <w:spacing w:after="0" w:line="87" w:lineRule="exact"/>
        <w:rPr>
          <w:sz w:val="20"/>
          <w:szCs w:val="20"/>
          <w:color w:val="auto"/>
        </w:rPr>
      </w:pPr>
    </w:p>
    <w:p>
      <w:pPr>
        <w:ind w:left="560" w:right="300" w:firstLine="419"/>
        <w:spacing w:after="0" w:line="263" w:lineRule="auto"/>
        <w:tabs>
          <w:tab w:leader="none" w:pos="123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 fees, consideration or other discounts are payable or have been agreed by Acquiror or any of its Subsidiaries (including, from and after the Closing, the Surviving Entity and its Subsidiaries) to any PIPE Investor in respect of its PIPE Investment, except as set forth in the Subscription Agreements.</w:t>
      </w:r>
    </w:p>
    <w:p>
      <w:pPr>
        <w:spacing w:after="0" w:line="75" w:lineRule="exact"/>
        <w:rPr>
          <w:rFonts w:ascii="Arial" w:cs="Arial" w:eastAsia="Arial" w:hAnsi="Arial"/>
          <w:sz w:val="18"/>
          <w:szCs w:val="18"/>
          <w:color w:val="auto"/>
        </w:rPr>
      </w:pPr>
    </w:p>
    <w:p>
      <w:pPr>
        <w:ind w:left="560" w:right="20" w:firstLine="419"/>
        <w:spacing w:after="0" w:line="267" w:lineRule="auto"/>
        <w:tabs>
          <w:tab w:leader="none" w:pos="122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Acquiror has delivered to the Company true, correct and complete copies of the HEC Forward Purchase Agreement, including all amendments thereto, entered into by Acquiror with the Sponsor, pursuant to which the Sponsor has committed to provide equity financing to Acquiror solely for purposes of consummating the Transactions in the aggregate amount of up to $50,000,000 (the “</w:t>
      </w:r>
      <w:r>
        <w:rPr>
          <w:rFonts w:ascii="Arial" w:cs="Arial" w:eastAsia="Arial" w:hAnsi="Arial"/>
          <w:sz w:val="17"/>
          <w:szCs w:val="17"/>
          <w:u w:val="single" w:color="auto"/>
          <w:color w:val="auto"/>
        </w:rPr>
        <w:t>Forward Purchase Amount</w:t>
      </w:r>
      <w:r>
        <w:rPr>
          <w:rFonts w:ascii="Arial" w:cs="Arial" w:eastAsia="Arial" w:hAnsi="Arial"/>
          <w:sz w:val="17"/>
          <w:szCs w:val="17"/>
          <w:color w:val="auto"/>
        </w:rPr>
        <w:t>”). To the knowledge of Acquiror, with respect to the Sponsor, the HEC Forward Purchase Agreement is in full force and effect and has not been withdrawn or terminated, or otherwise amended or modified, in any respect, and no withdrawal, termination, amendment or modification is contemplated by Acquiror. The HEC Forward Purchase Agreement is a legal, valid and binding obligation of Acquiror and, to the knowledge of Acquiror, the Sponsor, and neither the execution or delivery by any party thereto nor the performance of any party’s obligations under the HEC Forward Purchase Agreement violates or will violate any Laws. The HEC Forward Purchase Agreement provide that the Company is a third-party beneficiary thereof and is entitled to enforce such agreements against the Sponsor. There are no other agreements, side letters, or arrangements between Acquiror and the Sponsor that could affect the obligation of the Sponsor to contribute to Acquiror the applicable portion of the Forward Purchase Amount in accordance with the HEC Forward Purchase Agreement, and, as of the date hereof, Acquiror does not know of any facts or circumstances that may reasonably be expected to result in any of the conditions set forth in any HEC Forward Purchase Agreement not being satisfied, or the Forward Purchase Amount not being available to Acquiror, on the Closing Date. No event has occurred that, with or without notice, lapse of time or both, would constitute a default or breach on the part of Acquiror under any material term or condition of the HEC Forward Purchase Agreement. The HEC Forward Purchase Agreement contains all of the conditions precedent (other than the conditions contained in this Agreement) to the obligations of the Sponsor to contribute to Acquiror the applicable portion of the Forward Purchase Amount set forth in the HEC Forward Purchase Agreement on the terms therein.</w:t>
      </w:r>
    </w:p>
    <w:p>
      <w:pPr>
        <w:spacing w:after="0" w:line="19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described in the SEC Reports or in connection with the PIPE Investment, there are no transactions, Contracts, side letters, arrangements or understandings between any Acquiror Party, on the one hand, and any director, officer, employee, stockholder, warrant holder or Affiliate of such Acquiror Party.</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Acquiror nor any of its Subsidiaries is an “investment company” within the meaning of the Investment Company Act of 1940, as amended.</w:t>
      </w:r>
    </w:p>
    <w:p>
      <w:pPr>
        <w:spacing w:after="0" w:line="170"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 xml:space="preserve">Section 6.16 </w:t>
      </w:r>
      <w:r>
        <w:rPr>
          <w:rFonts w:ascii="Arial" w:cs="Arial" w:eastAsia="Arial" w:hAnsi="Arial"/>
          <w:sz w:val="17"/>
          <w:szCs w:val="17"/>
          <w:u w:val="single" w:color="auto"/>
          <w:color w:val="auto"/>
        </w:rPr>
        <w:t>Interest in Competitors</w:t>
      </w:r>
      <w:r>
        <w:rPr>
          <w:rFonts w:ascii="Arial" w:cs="Arial" w:eastAsia="Arial" w:hAnsi="Arial"/>
          <w:sz w:val="17"/>
          <w:szCs w:val="17"/>
          <w:color w:val="auto"/>
        </w:rPr>
        <w:t>. No Acquiror Party owns any interest, nor does any of its Affiliates insofar as such Affiliate-owned interests would be attributed to such Acquiror Party under the HSR Act or any other antitrust Law, in any entity or Person that derives revenues from any lines of products, services or business within any of the Company’s or any of its Subsidiaries’ lines of products, services or business.</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Acquiror Stockholders</w:t>
      </w:r>
      <w:r>
        <w:rPr>
          <w:rFonts w:ascii="Arial" w:cs="Arial" w:eastAsia="Arial" w:hAnsi="Arial"/>
          <w:sz w:val="18"/>
          <w:szCs w:val="18"/>
          <w:color w:val="auto"/>
        </w:rPr>
        <w:t>. No foreign person (as defined in 31 C.F.R. Part 800.224) in which the national or subnational governments of a single foreign state have a substantial interest (as defined in 31 C.F.R.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Part 800.244) will acquire a substantial interest in the Company as a result of the Transaction such that a declaration to the Committee on Foreign Investment in the United States would be mandatory under 31 C.F.R. Part 800.401, and no foreign person will have control (as defined in 31 C.F.R. Part 800.208) over the Company post-Closing.</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Registration Statement, Proxy Statement and Proxy Statement/Registration Statement</w:t>
      </w:r>
      <w:r>
        <w:rPr>
          <w:rFonts w:ascii="Arial" w:cs="Arial" w:eastAsia="Arial" w:hAnsi="Arial"/>
          <w:sz w:val="17"/>
          <w:szCs w:val="17"/>
          <w:color w:val="auto"/>
        </w:rPr>
        <w:t>. On the effective date of the Registration Statement, the Registration Statement, and when first filed in accordance with Rule 424(b) of the Securities Act and/or filed pursuant to Section 14A of the Exchange Act, the Proxy Statement and the Proxy Statement/Registration Statement (or any amendment or supplement thereto), shall comply in all material respects with the applicable requirements of the Securities Act and the Exchange Act. On the effective date of the Registration Statement, the Registration Statement will not contain any untrue statement of a material fact or omit to state any material fact required to be stated therein or necessary in order to make the statements therein not misleading. On the date of any filing in accordance with Rule 424(b) of the Securities Act and/or pursuant to Section 14A of the Exchange Act, the date the Proxy Statement/Registration Statement and the Proxy Statement, as applicable, is first mailed to the Acquiror Stockholders and certain of the Company’s stockholders, as applicable, and at the time of the Special Meeting, the Proxy Statement/Registration Statement and the Proxy Statement, as applicable, together with any amendments or supplements thereto, will not include any untrue statement of a material fact or omit to state a material fact necessary in order to make the statements therein, in the light of the circumstances under which they were made, not misleading; provided, however, that Acquiror makes no representations or warranties as to the information contained in or omitted from the Registration Statement, Proxy Statement or the Proxy Statement/Registration Statement in reliance upon and in conformity with information furnished in writing to Acquiror by or on behalf of the Company specifically for inclusion in the Registration Statement, Proxy Statement or the Proxy Statement/Registration Statement.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No Additional Representations or Warranties</w:t>
      </w:r>
      <w:r>
        <w:rPr>
          <w:rFonts w:ascii="Arial" w:cs="Arial" w:eastAsia="Arial" w:hAnsi="Arial"/>
          <w:sz w:val="18"/>
          <w:szCs w:val="18"/>
          <w:color w:val="auto"/>
        </w:rPr>
        <w:t>. Except as provided in and this Article VI, neither the Acquiror nor any of its Affiliates, nor any of their respective directors, managers, officers, employees, equityholders, partners, members or Representatives has made, or is making, any representation or warranty whatsoever to the Company or its Affiliates and no such party shall be liable in respect of the accuracy or completeness of any information provided to the Company or its Affiliates.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 OF THE COMPANY</w:t>
      </w:r>
    </w:p>
    <w:p>
      <w:pPr>
        <w:spacing w:after="0" w:line="21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From the date of this Agreement until the earlier of the Closing or the termination of this Agreement in accordance with its terms (the “</w:t>
      </w:r>
      <w:r>
        <w:rPr>
          <w:rFonts w:ascii="Arial" w:cs="Arial" w:eastAsia="Arial" w:hAnsi="Arial"/>
          <w:sz w:val="17"/>
          <w:szCs w:val="17"/>
          <w:u w:val="single" w:color="auto"/>
          <w:color w:val="auto"/>
        </w:rPr>
        <w:t>Interim Period</w:t>
      </w:r>
      <w:r>
        <w:rPr>
          <w:rFonts w:ascii="Arial" w:cs="Arial" w:eastAsia="Arial" w:hAnsi="Arial"/>
          <w:sz w:val="17"/>
          <w:szCs w:val="17"/>
          <w:color w:val="auto"/>
        </w:rPr>
        <w:t xml:space="preserve">”), the Company shall, and shall cause its Subsidiaries to, except as required by this Agreement, required by applicable Law, as contemplated by the Pre-Closing Restructuring Plan or otherwise in connection with the Pre-Closing Restructuring, set forth on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Company Disclosure Letter or consented to in writing by Acquiror (which consent shall not be unreasonably conditioned, withheld, delayed or denied), use its reasonable efforts to operate its business in the ordinary course of business consistent with past practice (including, for the avoidance of doubt, recent past practice in light of COVID-19 Measures; provided that, any action taken, or omitted to be taken, that relates to, or arises out of, COVID-19 Measures shall be deemed to be in the ordinary course of business). Without limiting the generality of the foregoing, except as required by Law, as required by this Agreement, as contemplated by the Pre-Closing Restructuring Plan or otherwise in connection with the Pre-Closing Restructuring, as set forth on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Company Disclosure Letter or as consented to in writing by Acquiror (which consent shall not be unreasonably conditioned, withheld, delayed or denied), the Company shall not, and the Company shall cause its Subsidiaries not to, during the Interim Period:</w:t>
      </w:r>
    </w:p>
    <w:p>
      <w:pPr>
        <w:spacing w:after="0" w:line="74" w:lineRule="exact"/>
        <w:rPr>
          <w:sz w:val="20"/>
          <w:szCs w:val="20"/>
          <w:color w:val="auto"/>
        </w:rPr>
      </w:pPr>
    </w:p>
    <w:p>
      <w:pPr>
        <w:ind w:left="1220" w:hanging="241"/>
        <w:spacing w:after="0"/>
        <w:tabs>
          <w:tab w:leader="none" w:pos="12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change or amend the Governing Documents of the Company or any of its Subsidiaries;</w:t>
      </w:r>
    </w:p>
    <w:p>
      <w:pPr>
        <w:spacing w:after="0" w:line="117" w:lineRule="exact"/>
        <w:rPr>
          <w:rFonts w:ascii="Arial" w:cs="Arial" w:eastAsia="Arial" w:hAnsi="Arial"/>
          <w:sz w:val="18"/>
          <w:szCs w:val="18"/>
          <w:color w:val="auto"/>
        </w:rPr>
      </w:pPr>
    </w:p>
    <w:p>
      <w:pPr>
        <w:ind w:left="560" w:right="280" w:firstLine="419"/>
        <w:spacing w:after="0" w:line="308" w:lineRule="auto"/>
        <w:tabs>
          <w:tab w:leader="none" w:pos="1238" w:val="left"/>
        </w:tabs>
        <w:numPr>
          <w:ilvl w:val="0"/>
          <w:numId w:val="382"/>
        </w:numPr>
        <w:rPr>
          <w:rFonts w:ascii="Arial" w:cs="Arial" w:eastAsia="Arial" w:hAnsi="Arial"/>
          <w:sz w:val="17"/>
          <w:szCs w:val="17"/>
          <w:color w:val="auto"/>
        </w:rPr>
      </w:pPr>
      <w:r>
        <w:rPr>
          <w:rFonts w:ascii="Arial" w:cs="Arial" w:eastAsia="Arial" w:hAnsi="Arial"/>
          <w:sz w:val="17"/>
          <w:szCs w:val="17"/>
          <w:color w:val="auto"/>
        </w:rPr>
        <w:t>make, declare, set aside, establish a record date for or pay any dividend or distribution, other than any dividends or distributions from any wholly owned Subsidiary of the Company to the Company or any other wholly owned Subsidiaries of the Company;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19"/>
        <w:spacing w:after="0" w:line="296" w:lineRule="auto"/>
        <w:tabs>
          <w:tab w:leader="none" w:pos="1228" w:val="left"/>
        </w:tabs>
        <w:numPr>
          <w:ilvl w:val="1"/>
          <w:numId w:val="383"/>
        </w:numPr>
        <w:rPr>
          <w:rFonts w:ascii="Arial" w:cs="Arial" w:eastAsia="Arial" w:hAnsi="Arial"/>
          <w:sz w:val="16"/>
          <w:szCs w:val="16"/>
          <w:color w:val="auto"/>
        </w:rPr>
      </w:pPr>
      <w:r>
        <w:rPr>
          <w:rFonts w:ascii="Arial" w:cs="Arial" w:eastAsia="Arial" w:hAnsi="Arial"/>
          <w:sz w:val="16"/>
          <w:szCs w:val="16"/>
          <w:color w:val="auto"/>
        </w:rPr>
        <w:t>(i) issue, deliver, sell, transfer, pledge, dispose of or place any Lien (other than a Permitted Lien) on any shares of capital stock or any other equity or voting securities of the Company or any of its Subsidiaries or (ii) issue, grant or agree to provide any options, warrants or other rights to purchase or obtain any shares of capital stock or any other equity or equity-based or voting securities of the Company, except, in any case, for the issuance of shares of capital stock of the Company in connection with the exercise of Company Options that are outstanding as of the date hereof and that are either vested as of the date hereof or are required to vest following the date hereof pursuant to their terms;</w:t>
      </w:r>
    </w:p>
    <w:p>
      <w:pPr>
        <w:spacing w:after="0" w:line="53" w:lineRule="exact"/>
        <w:rPr>
          <w:rFonts w:ascii="Arial" w:cs="Arial" w:eastAsia="Arial" w:hAnsi="Arial"/>
          <w:sz w:val="16"/>
          <w:szCs w:val="16"/>
          <w:color w:val="auto"/>
        </w:rPr>
      </w:pPr>
    </w:p>
    <w:p>
      <w:pPr>
        <w:ind w:left="560" w:firstLine="419"/>
        <w:spacing w:after="0" w:line="255" w:lineRule="auto"/>
        <w:tabs>
          <w:tab w:leader="none" w:pos="1238" w:val="left"/>
        </w:tabs>
        <w:numPr>
          <w:ilvl w:val="1"/>
          <w:numId w:val="383"/>
        </w:numPr>
        <w:rPr>
          <w:rFonts w:ascii="Arial" w:cs="Arial" w:eastAsia="Arial" w:hAnsi="Arial"/>
          <w:sz w:val="18"/>
          <w:szCs w:val="18"/>
          <w:color w:val="auto"/>
        </w:rPr>
      </w:pPr>
      <w:r>
        <w:rPr>
          <w:rFonts w:ascii="Arial" w:cs="Arial" w:eastAsia="Arial" w:hAnsi="Arial"/>
          <w:sz w:val="18"/>
          <w:szCs w:val="18"/>
          <w:color w:val="auto"/>
        </w:rPr>
        <w:t>sell, assign, transfer, convey, lease, license, abandon, allow to lapse or expire, subject to or grant any Lien (other than Permitted Liens) on, or otherwise dispose of, any material assets or properties of the Company and its Subsidiaries, taken as a whole, other than (i) the sale of goods and services to customers, or the sale or other disposition of assets or equipment deemed by the Company in its good faith reasonable business judgment to be obsolete or no longer be material to the business of the Company and its Subsidiaries taken as a whole, in each such case, in the ordinary course of business and (ii) transactions between the Company and any wholly owned Subsidiary of the Company or between wholly owned Subsidiaries of the Company;</w:t>
      </w:r>
    </w:p>
    <w:p>
      <w:pPr>
        <w:spacing w:after="0" w:line="84" w:lineRule="exact"/>
        <w:rPr>
          <w:rFonts w:ascii="Arial" w:cs="Arial" w:eastAsia="Arial" w:hAnsi="Arial"/>
          <w:sz w:val="18"/>
          <w:szCs w:val="18"/>
          <w:color w:val="auto"/>
        </w:rPr>
      </w:pPr>
    </w:p>
    <w:p>
      <w:pPr>
        <w:ind w:left="1220" w:hanging="241"/>
        <w:spacing w:after="0"/>
        <w:tabs>
          <w:tab w:leader="none" w:pos="1220" w:val="left"/>
        </w:tabs>
        <w:numPr>
          <w:ilvl w:val="1"/>
          <w:numId w:val="383"/>
        </w:numPr>
        <w:rPr>
          <w:rFonts w:ascii="Arial" w:cs="Arial" w:eastAsia="Arial" w:hAnsi="Arial"/>
          <w:sz w:val="17"/>
          <w:szCs w:val="17"/>
          <w:color w:val="auto"/>
        </w:rPr>
      </w:pPr>
      <w:r>
        <w:rPr>
          <w:rFonts w:ascii="Arial" w:cs="Arial" w:eastAsia="Arial" w:hAnsi="Arial"/>
          <w:sz w:val="17"/>
          <w:szCs w:val="17"/>
          <w:color w:val="auto"/>
        </w:rPr>
        <w:t>(i) cancel or compromise any claim or Indebtedness owed to the Company or any of its Subsidiaries or (ii) settle any pending or</w:t>
      </w:r>
    </w:p>
    <w:p>
      <w:pPr>
        <w:spacing w:after="0" w:line="34" w:lineRule="exact"/>
        <w:rPr>
          <w:rFonts w:ascii="Arial" w:cs="Arial" w:eastAsia="Arial" w:hAnsi="Arial"/>
          <w:sz w:val="17"/>
          <w:szCs w:val="17"/>
          <w:color w:val="auto"/>
        </w:rPr>
      </w:pPr>
    </w:p>
    <w:p>
      <w:pPr>
        <w:ind w:left="560" w:right="20"/>
        <w:spacing w:after="0" w:line="253" w:lineRule="auto"/>
        <w:rPr>
          <w:rFonts w:ascii="Arial" w:cs="Arial" w:eastAsia="Arial" w:hAnsi="Arial"/>
          <w:sz w:val="17"/>
          <w:szCs w:val="17"/>
          <w:color w:val="auto"/>
        </w:rPr>
      </w:pPr>
      <w:r>
        <w:rPr>
          <w:rFonts w:ascii="Arial" w:cs="Arial" w:eastAsia="Arial" w:hAnsi="Arial"/>
          <w:sz w:val="18"/>
          <w:szCs w:val="18"/>
          <w:color w:val="auto"/>
        </w:rPr>
        <w:t>threatened Action (A) if such settlement would require payment by the Company and/or its Subsidiaries in an amount greater than $1,000,000, (B) to the extent such settlement includes an agreement by the Company and/or its Subsidiaries to accept or concede injunctive relief or (C) to the extent such settlement is adverse to the Company and/or its Subsidiaries and involves an Action brought by a Governmental Authority or alleged criminal wrongdoing;</w:t>
      </w:r>
    </w:p>
    <w:p>
      <w:pPr>
        <w:spacing w:after="0" w:line="84" w:lineRule="exact"/>
        <w:rPr>
          <w:rFonts w:ascii="Arial" w:cs="Arial" w:eastAsia="Arial" w:hAnsi="Arial"/>
          <w:sz w:val="17"/>
          <w:szCs w:val="17"/>
          <w:color w:val="auto"/>
        </w:rPr>
      </w:pPr>
    </w:p>
    <w:p>
      <w:pPr>
        <w:ind w:left="560" w:firstLine="419"/>
        <w:spacing w:after="0" w:line="283" w:lineRule="auto"/>
        <w:tabs>
          <w:tab w:leader="none" w:pos="1208" w:val="left"/>
        </w:tabs>
        <w:numPr>
          <w:ilvl w:val="1"/>
          <w:numId w:val="383"/>
        </w:numPr>
        <w:rPr>
          <w:rFonts w:ascii="Arial" w:cs="Arial" w:eastAsia="Arial" w:hAnsi="Arial"/>
          <w:sz w:val="16"/>
          <w:szCs w:val="16"/>
          <w:color w:val="auto"/>
        </w:rPr>
      </w:pPr>
      <w:r>
        <w:rPr>
          <w:rFonts w:ascii="Arial" w:cs="Arial" w:eastAsia="Arial" w:hAnsi="Arial"/>
          <w:sz w:val="16"/>
          <w:szCs w:val="16"/>
          <w:color w:val="auto"/>
        </w:rPr>
        <w:t xml:space="preserve">except as required by applicable Law or the terms of any existing Company Benefit Plans as in effect on the date hereof and set forth on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Company Disclosure Letter, (i) materially increase the compensation or benefits of any Company Employee except for increases in salary or hourly wage rates made in the ordinary course of business to Company Employees with annual base salary less than $200,000 or for ordinary course annual salary increases for 2021 for all employees that do not exceed, in the aggregate, 4% of the aggregate salary paid by the Company and its Subsidiaries in calendar year 2020, (ii) make any grant or promise of any severance, retention, incentive or termination payment to any Person, except severance or termination payments in connection with the termination of any employee in the ordinary course of business and consistent with past practice, (iii) make any change in the key management structure of the Company or any of its Subsidiaries, including the hiring of additional officers or the termination (other than for “cause”) of existing officers, (iv) hire any employee of the Company or its Subsidiaries or any other individual who is providing or will provide services to the Company or its Subsidiaries other than any employee with an annual base salary of less than $200,000 in the ordinary course of business that would not otherwise violate subsection</w:t>
      </w:r>
    </w:p>
    <w:p>
      <w:pPr>
        <w:spacing w:after="0" w:line="4" w:lineRule="exact"/>
        <w:rPr>
          <w:rFonts w:ascii="Arial" w:cs="Arial" w:eastAsia="Arial" w:hAnsi="Arial"/>
          <w:sz w:val="16"/>
          <w:szCs w:val="16"/>
          <w:color w:val="auto"/>
        </w:rPr>
      </w:pPr>
    </w:p>
    <w:p>
      <w:pPr>
        <w:ind w:left="560" w:right="100" w:hanging="4"/>
        <w:spacing w:after="0" w:line="255" w:lineRule="auto"/>
        <w:tabs>
          <w:tab w:leader="none" w:pos="87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or (v) except in the ordinary course of business and as would not otherwise violate subsections (i)-(iv), establish, adopt, enter into, amend in any material respect or terminate any Company Benefit Plan or any plan, agreement, program, policy, trust, fund or other arrangement that would be a Company Benefit Plan if it were in existence as of the date of this Agreement;</w:t>
      </w:r>
    </w:p>
    <w:p>
      <w:pPr>
        <w:spacing w:after="0" w:line="81" w:lineRule="exact"/>
        <w:rPr>
          <w:rFonts w:ascii="Arial" w:cs="Arial" w:eastAsia="Arial" w:hAnsi="Arial"/>
          <w:sz w:val="18"/>
          <w:szCs w:val="18"/>
          <w:color w:val="auto"/>
        </w:rPr>
      </w:pPr>
    </w:p>
    <w:p>
      <w:pPr>
        <w:ind w:left="560" w:right="100" w:firstLine="419"/>
        <w:spacing w:after="0" w:line="263" w:lineRule="auto"/>
        <w:tabs>
          <w:tab w:leader="none" w:pos="123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a substantially all or a material portion of the assets of, or by purchasing all of or a substantial equity interest in, any business or any corporation, partnership, limited liability company, joint venture, association or other entity or Person or division thereof;</w:t>
      </w:r>
    </w:p>
    <w:p>
      <w:pPr>
        <w:spacing w:after="0" w:line="75" w:lineRule="exact"/>
        <w:rPr>
          <w:rFonts w:ascii="Arial" w:cs="Arial" w:eastAsia="Arial" w:hAnsi="Arial"/>
          <w:sz w:val="18"/>
          <w:szCs w:val="18"/>
          <w:color w:val="auto"/>
        </w:rPr>
      </w:pPr>
    </w:p>
    <w:p>
      <w:pPr>
        <w:jc w:val="both"/>
        <w:ind w:left="560" w:right="320" w:firstLine="419"/>
        <w:spacing w:after="0" w:line="291" w:lineRule="auto"/>
        <w:tabs>
          <w:tab w:leader="none" w:pos="1238" w:val="left"/>
        </w:tabs>
        <w:numPr>
          <w:ilvl w:val="1"/>
          <w:numId w:val="384"/>
        </w:numPr>
        <w:rPr>
          <w:rFonts w:ascii="Arial" w:cs="Arial" w:eastAsia="Arial" w:hAnsi="Arial"/>
          <w:sz w:val="16"/>
          <w:szCs w:val="16"/>
          <w:color w:val="auto"/>
        </w:rPr>
      </w:pPr>
      <w:r>
        <w:rPr>
          <w:rFonts w:ascii="Arial" w:cs="Arial" w:eastAsia="Arial" w:hAnsi="Arial"/>
          <w:sz w:val="16"/>
          <w:szCs w:val="16"/>
          <w:color w:val="auto"/>
        </w:rPr>
        <w:t>make any loans or advance any money or other property to any Person, except for (A) advances in the ordinary course of business to employees or officers of the Company or any of its Subsidiaries for expenses not to exceed $50,000 individually or $500,000 in the aggregate,</w:t>
      </w:r>
    </w:p>
    <w:p>
      <w:pPr>
        <w:ind w:left="560" w:right="340"/>
        <w:spacing w:after="0" w:line="260" w:lineRule="auto"/>
        <w:rPr>
          <w:rFonts w:ascii="Arial" w:cs="Arial" w:eastAsia="Arial" w:hAnsi="Arial"/>
          <w:sz w:val="16"/>
          <w:szCs w:val="16"/>
          <w:color w:val="auto"/>
        </w:rPr>
      </w:pPr>
      <w:r>
        <w:rPr>
          <w:rFonts w:ascii="Arial" w:cs="Arial" w:eastAsia="Arial" w:hAnsi="Arial"/>
          <w:sz w:val="18"/>
          <w:szCs w:val="18"/>
          <w:color w:val="auto"/>
        </w:rPr>
        <w:t>(B) prepayments and deposits paid to suppliers of the Company or any of its Subsidiaries in the ordinary course of business or (C) trade credit extended to customers of the Company or any of its Subsidiaries in the ordinary course of business;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firstLine="419"/>
        <w:spacing w:after="0" w:line="287" w:lineRule="auto"/>
        <w:tabs>
          <w:tab w:leader="none" w:pos="1198" w:val="left"/>
        </w:tabs>
        <w:numPr>
          <w:ilvl w:val="1"/>
          <w:numId w:val="385"/>
        </w:numPr>
        <w:rPr>
          <w:rFonts w:ascii="Arial" w:cs="Arial" w:eastAsia="Arial" w:hAnsi="Arial"/>
          <w:sz w:val="16"/>
          <w:szCs w:val="16"/>
          <w:color w:val="auto"/>
        </w:rPr>
      </w:pPr>
      <w:r>
        <w:rPr>
          <w:rFonts w:ascii="Arial" w:cs="Arial" w:eastAsia="Arial" w:hAnsi="Arial"/>
          <w:sz w:val="16"/>
          <w:szCs w:val="16"/>
          <w:color w:val="auto"/>
        </w:rPr>
        <w:t>redeem, purchase or otherwise acquire, any shares of capital stock (or other equity interests) of the Company or any of its Subsidiaries or any securities or obligations convertible (whether currently convertible or convertible only after the passage of time or the occurrence of certain events) into or exchangeable for any shares of capital stock (or other equity interests) of the Company or any of its Subsidiaries, except for</w:t>
      </w:r>
    </w:p>
    <w:p>
      <w:pPr>
        <w:spacing w:after="0" w:line="2" w:lineRule="exact"/>
        <w:rPr>
          <w:rFonts w:ascii="Arial" w:cs="Arial" w:eastAsia="Arial" w:hAnsi="Arial"/>
          <w:sz w:val="16"/>
          <w:szCs w:val="16"/>
          <w:color w:val="auto"/>
        </w:rPr>
      </w:pPr>
    </w:p>
    <w:p>
      <w:pPr>
        <w:ind w:left="560" w:hanging="4"/>
        <w:spacing w:after="0" w:line="292" w:lineRule="auto"/>
        <w:tabs>
          <w:tab w:leader="none" w:pos="77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acquisitions of shares of capital stock of the Company in connection with the exercise of Company Options solely as the result of net settlement for taxes and/or exercise price to the extent the Company is so required by the terms of the Company Option, (ii) the acquisition by the Company or any of its Subsidiaries of any shares of capital stock, membership interests or other equity interests (other than the Company Options pursuant to subsection (i)) of the Company or its Subsidiaries in connection with the forfeiture or cancellation of such interests, and (iii) transactions between the Company and any wholly owned Subsidiary of the Company or between wholly owned Subsidiaries of the Company;</w:t>
      </w:r>
    </w:p>
    <w:p>
      <w:pPr>
        <w:spacing w:after="0" w:line="54" w:lineRule="exact"/>
        <w:rPr>
          <w:rFonts w:ascii="Arial" w:cs="Arial" w:eastAsia="Arial" w:hAnsi="Arial"/>
          <w:sz w:val="16"/>
          <w:szCs w:val="16"/>
          <w:color w:val="auto"/>
        </w:rPr>
      </w:pPr>
    </w:p>
    <w:p>
      <w:pPr>
        <w:ind w:left="560" w:right="160" w:firstLine="419"/>
        <w:spacing w:after="0" w:line="277" w:lineRule="auto"/>
        <w:tabs>
          <w:tab w:leader="none" w:pos="119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adjust, split, combine, subdivide, recapitalize, reclassify or otherwise effect any change in respect of any shares of capital stock or other equity interests or securities of the Company;</w:t>
      </w:r>
    </w:p>
    <w:p>
      <w:pPr>
        <w:spacing w:after="0" w:line="62" w:lineRule="exact"/>
        <w:rPr>
          <w:rFonts w:ascii="Arial" w:cs="Arial" w:eastAsia="Arial" w:hAnsi="Arial"/>
          <w:sz w:val="18"/>
          <w:szCs w:val="18"/>
          <w:color w:val="auto"/>
        </w:rPr>
      </w:pPr>
    </w:p>
    <w:p>
      <w:pPr>
        <w:ind w:left="560" w:right="140" w:firstLine="419"/>
        <w:spacing w:after="0" w:line="263" w:lineRule="auto"/>
        <w:tabs>
          <w:tab w:leader="none" w:pos="123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make any change in its customary accounting principles or methods of accounting materially affecting the reported consolidated assets, liabilities or results of operations of the Company and its Subsidiaries, other than as may be required by applicable Law, GAAP or regulatory guidelines;</w:t>
      </w:r>
    </w:p>
    <w:p>
      <w:pPr>
        <w:spacing w:after="0" w:line="75" w:lineRule="exact"/>
        <w:rPr>
          <w:rFonts w:ascii="Arial" w:cs="Arial" w:eastAsia="Arial" w:hAnsi="Arial"/>
          <w:sz w:val="18"/>
          <w:szCs w:val="18"/>
          <w:color w:val="auto"/>
        </w:rPr>
      </w:pPr>
    </w:p>
    <w:p>
      <w:pPr>
        <w:ind w:left="560" w:right="360" w:firstLine="419"/>
        <w:spacing w:after="0" w:line="277" w:lineRule="auto"/>
        <w:tabs>
          <w:tab w:leader="none" w:pos="119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merger, consolidation, restructuring, recapitalization or other reorganization of the Company or its Subsidiaries;</w:t>
      </w:r>
    </w:p>
    <w:p>
      <w:pPr>
        <w:spacing w:after="0" w:line="62" w:lineRule="exact"/>
        <w:rPr>
          <w:rFonts w:ascii="Arial" w:cs="Arial" w:eastAsia="Arial" w:hAnsi="Arial"/>
          <w:sz w:val="18"/>
          <w:szCs w:val="18"/>
          <w:color w:val="auto"/>
        </w:rPr>
      </w:pPr>
    </w:p>
    <w:p>
      <w:pPr>
        <w:ind w:left="560" w:right="40" w:firstLine="419"/>
        <w:spacing w:after="0" w:line="290" w:lineRule="auto"/>
        <w:tabs>
          <w:tab w:leader="none" w:pos="1288" w:val="left"/>
        </w:tabs>
        <w:numPr>
          <w:ilvl w:val="1"/>
          <w:numId w:val="386"/>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a material amount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Acquiror, the Company or any of its Subsidiaries;</w:t>
      </w:r>
    </w:p>
    <w:p>
      <w:pPr>
        <w:spacing w:after="0" w:line="57" w:lineRule="exact"/>
        <w:rPr>
          <w:rFonts w:ascii="Arial" w:cs="Arial" w:eastAsia="Arial" w:hAnsi="Arial"/>
          <w:sz w:val="16"/>
          <w:szCs w:val="16"/>
          <w:color w:val="auto"/>
        </w:rPr>
      </w:pPr>
    </w:p>
    <w:p>
      <w:pPr>
        <w:ind w:left="560" w:right="200" w:firstLine="419"/>
        <w:spacing w:after="0" w:line="263" w:lineRule="auto"/>
        <w:tabs>
          <w:tab w:leader="none" w:pos="123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issue any debt securities, incur indebtedness for borrowed money in excess of $1,000,000 other than in the ordinary course of business consistent with past practice, or assume, guarantee or endorse, or otherwise become responsible for, the obligations of any Person for Indebtedness;</w:t>
      </w:r>
    </w:p>
    <w:p>
      <w:pPr>
        <w:spacing w:after="0" w:line="75" w:lineRule="exact"/>
        <w:rPr>
          <w:rFonts w:ascii="Arial" w:cs="Arial" w:eastAsia="Arial" w:hAnsi="Arial"/>
          <w:sz w:val="18"/>
          <w:szCs w:val="18"/>
          <w:color w:val="auto"/>
        </w:rPr>
      </w:pPr>
    </w:p>
    <w:p>
      <w:pPr>
        <w:ind w:left="560" w:right="460" w:firstLine="419"/>
        <w:spacing w:after="0" w:line="308" w:lineRule="auto"/>
        <w:tabs>
          <w:tab w:leader="none" w:pos="1238"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terminate without replacement or amend in a manner materially detrimental to the Company and its Subsidiaries, taken as a whole, material insurance policies covering the Company and its Subsidiaries and their respective properties, assets and businesses;</w:t>
      </w:r>
    </w:p>
    <w:p>
      <w:pPr>
        <w:spacing w:after="0" w:line="38" w:lineRule="exact"/>
        <w:rPr>
          <w:rFonts w:ascii="Arial" w:cs="Arial" w:eastAsia="Arial" w:hAnsi="Arial"/>
          <w:sz w:val="17"/>
          <w:szCs w:val="17"/>
          <w:color w:val="auto"/>
        </w:rPr>
      </w:pPr>
    </w:p>
    <w:p>
      <w:pPr>
        <w:ind w:left="560" w:right="140" w:firstLine="419"/>
        <w:spacing w:after="0" w:line="259" w:lineRule="auto"/>
        <w:tabs>
          <w:tab w:leader="none" w:pos="123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enter into any agreement that materially restricts the ability of the Company or its Subsidiaries to engage or compete in any line of business or enter into a new line of business, except where such restriction does not, and would not be reasonably likely to, individually or in the aggregate, materially and adversely affect, or materially disrupt, the ordinary course operation of the businesses of the Company and its Subsidiaries, taken as a whole;</w:t>
      </w:r>
    </w:p>
    <w:p>
      <w:pPr>
        <w:spacing w:after="0" w:line="78" w:lineRule="exact"/>
        <w:rPr>
          <w:rFonts w:ascii="Arial" w:cs="Arial" w:eastAsia="Arial" w:hAnsi="Arial"/>
          <w:sz w:val="18"/>
          <w:szCs w:val="18"/>
          <w:color w:val="auto"/>
        </w:rPr>
      </w:pPr>
    </w:p>
    <w:p>
      <w:pPr>
        <w:ind w:left="560" w:right="60" w:firstLine="419"/>
        <w:spacing w:after="0" w:line="277" w:lineRule="auto"/>
        <w:tabs>
          <w:tab w:leader="none" w:pos="123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enter into, assume, assign, partially or completely amend any material term of or terminate (excluding any expiration in accordance with its terms) any collective bargaining or similar agreement, other than as required by applicable Law;</w:t>
      </w:r>
    </w:p>
    <w:p>
      <w:pPr>
        <w:spacing w:after="0" w:line="62" w:lineRule="exact"/>
        <w:rPr>
          <w:rFonts w:ascii="Arial" w:cs="Arial" w:eastAsia="Arial" w:hAnsi="Arial"/>
          <w:sz w:val="18"/>
          <w:szCs w:val="18"/>
          <w:color w:val="auto"/>
        </w:rPr>
      </w:pPr>
    </w:p>
    <w:p>
      <w:pPr>
        <w:ind w:left="560" w:right="180" w:firstLine="419"/>
        <w:spacing w:after="0" w:line="263" w:lineRule="auto"/>
        <w:tabs>
          <w:tab w:leader="none" w:pos="120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 xml:space="preserve">enter into, modify in any material respect, waive any material rights under or terminate any Contract that is (or would be if entered into prior to the date of this Agreement) a Material Contract of the type described in clauses (i), (iii), (iv), (vi), (viii) or (x) of </w:t>
      </w:r>
      <w:r>
        <w:rPr>
          <w:rFonts w:ascii="Arial" w:cs="Arial" w:eastAsia="Arial" w:hAnsi="Arial"/>
          <w:sz w:val="18"/>
          <w:szCs w:val="18"/>
          <w:u w:val="single" w:color="auto"/>
          <w:color w:val="auto"/>
        </w:rPr>
        <w:t>Section 5.12(a)</w:t>
      </w:r>
      <w:r>
        <w:rPr>
          <w:rFonts w:ascii="Arial" w:cs="Arial" w:eastAsia="Arial" w:hAnsi="Arial"/>
          <w:sz w:val="18"/>
          <w:szCs w:val="18"/>
          <w:color w:val="auto"/>
        </w:rPr>
        <w:t>, other than in the ordinary course of business consistent with past practice or as required by Law;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20" w:hanging="241"/>
        <w:spacing w:after="0"/>
        <w:tabs>
          <w:tab w:leader="none" w:pos="12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acquire any ownership interest in any real property;</w:t>
      </w:r>
    </w:p>
    <w:p>
      <w:pPr>
        <w:spacing w:after="0" w:line="117" w:lineRule="exact"/>
        <w:rPr>
          <w:rFonts w:ascii="Arial" w:cs="Arial" w:eastAsia="Arial" w:hAnsi="Arial"/>
          <w:sz w:val="18"/>
          <w:szCs w:val="18"/>
          <w:color w:val="auto"/>
        </w:rPr>
      </w:pPr>
    </w:p>
    <w:p>
      <w:pPr>
        <w:ind w:left="560" w:right="120" w:firstLine="419"/>
        <w:spacing w:after="0" w:line="259" w:lineRule="auto"/>
        <w:tabs>
          <w:tab w:leader="none" w:pos="1198" w:val="left"/>
        </w:tabs>
        <w:numPr>
          <w:ilvl w:val="0"/>
          <w:numId w:val="387"/>
        </w:numPr>
        <w:rPr>
          <w:rFonts w:ascii="Arial" w:cs="Arial" w:eastAsia="Arial" w:hAnsi="Arial"/>
          <w:sz w:val="18"/>
          <w:szCs w:val="18"/>
          <w:color w:val="auto"/>
        </w:rPr>
      </w:pPr>
      <w:r>
        <w:rPr>
          <w:rFonts w:ascii="Arial" w:cs="Arial" w:eastAsia="Arial" w:hAnsi="Arial"/>
          <w:sz w:val="18"/>
          <w:szCs w:val="18"/>
          <w:color w:val="auto"/>
        </w:rPr>
        <w:t>fail to maintain, dedicate to the public, allow to lapse, or abandon, including by failure to pay the required fees in any jurisdiction, any material Owned Intellectual Property, excluding any failures, dedications, or allowances made by the Company or its Subsidiaries in the ordinary course of business, or for any Owned Intellectual Property that is not used or useful in the business of the Company and its Subsidiaries or is not in the Company’s reasonable business judgment, commercially practical to maintain;</w:t>
      </w:r>
    </w:p>
    <w:p>
      <w:pPr>
        <w:spacing w:after="0" w:line="78" w:lineRule="exact"/>
        <w:rPr>
          <w:rFonts w:ascii="Arial" w:cs="Arial" w:eastAsia="Arial" w:hAnsi="Arial"/>
          <w:sz w:val="18"/>
          <w:szCs w:val="18"/>
          <w:color w:val="auto"/>
        </w:rPr>
      </w:pPr>
    </w:p>
    <w:p>
      <w:pPr>
        <w:ind w:left="560" w:firstLine="419"/>
        <w:spacing w:after="0" w:line="311" w:lineRule="auto"/>
        <w:tabs>
          <w:tab w:leader="none" w:pos="1238" w:val="left"/>
        </w:tabs>
        <w:numPr>
          <w:ilvl w:val="0"/>
          <w:numId w:val="387"/>
        </w:numPr>
        <w:rPr>
          <w:rFonts w:ascii="Arial" w:cs="Arial" w:eastAsia="Arial" w:hAnsi="Arial"/>
          <w:sz w:val="16"/>
          <w:szCs w:val="16"/>
          <w:color w:val="auto"/>
        </w:rPr>
      </w:pPr>
      <w:r>
        <w:rPr>
          <w:rFonts w:ascii="Arial" w:cs="Arial" w:eastAsia="Arial" w:hAnsi="Arial"/>
          <w:sz w:val="16"/>
          <w:szCs w:val="16"/>
          <w:color w:val="auto"/>
        </w:rPr>
        <w:t>make any change in any material respect to the policies or practices of the Company and its Subsidiaries regarding the payment of accounts payable, the collection of accounts receivable, including accelerating the receipt of amounts due with respect to any accounts receivables, or lengthening the period for payment of accounts payable, except for changes in the ordinary course of business consistent with past practice; or</w:t>
      </w:r>
    </w:p>
    <w:p>
      <w:pPr>
        <w:spacing w:after="0" w:line="40" w:lineRule="exact"/>
        <w:rPr>
          <w:rFonts w:ascii="Arial" w:cs="Arial" w:eastAsia="Arial" w:hAnsi="Arial"/>
          <w:sz w:val="16"/>
          <w:szCs w:val="16"/>
          <w:color w:val="auto"/>
        </w:rPr>
      </w:pPr>
    </w:p>
    <w:p>
      <w:pPr>
        <w:ind w:left="1240" w:hanging="261"/>
        <w:spacing w:after="0"/>
        <w:tabs>
          <w:tab w:leader="none" w:pos="12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enter into any agreement, or otherwise become obligated, to do any action prohibited under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Subject to confidentiality obligations and similar restrictions that may be applicable to information furnished to the Company or any of its Subsidiaries by third parties that may be in the Company’s or any of its Subsidiaries’ possession from time to time, and except for any information which (x) relates to interactions with prospective buyers of the Company or the negotiation of this Agreement or the Transactions, (y) is prohibited from being disclosed by applicable Law or (z) on the advice of legal counsel of the Company would result in the loss of attorney-client privilege or other privilege from disclosure, during the Interim Period the Company shall, and shall cause its Subsidiaries to, afford to Acquiror and its Representatives reasonable access during normal business hours and with reasonable advance notice, in such manner as to not unreasonably interfere with the normal operation of the Company and its Subsidiaries and so long as permissible under applicable Law, to their respective properties, assets, books, Contracts, commitments, Tax Returns, records and appropriate officers and employees of the Company and its Subsidiaries, and shall use its and their reasonable efforts to furnish such Representatives with financial and operating data and other information concerning the business and affairs of the Company and its Subsidiaries that are in the possession of the Company or its Subsidiaries, in each case, as Acquiror and its Representatives may reasonably request solely for purposes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Acquiror shall not be permitted to perform any environmental sampling or testing at any Leased Real Property, including sampling of soil, groundwater, surface water, building materials, or air or wastewater emissions;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remote access may be provided by the Company and its Subsidiaries in lieu of physical access in response to COVID-19 to the extent reasonably necessary (1) to protect the health and safety of such officers and employees or (2) in order to comply with any applicable COVID-19 Measures. The Parties shall use reasonable efforts to make alternative arrangements for such disclosure where the restrictions in the preceding sentence apply. Any request, and the provision of access or information, in each case pursuant to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be made in a time and manner so as not to materially delay the Closing. All information obtained by Acquiror and its Representatives under this Agreement shall be subject to the Confidentiality Agreement prior to the Closing.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HSR Act and Approvals</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96" w:lineRule="auto"/>
        <w:tabs>
          <w:tab w:leader="none" w:pos="122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In connection with the Transactions, the Company shall comply promptly but in no event later than ten Business Days after the date hereof with the notification and reporting requirements of the HSR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Federal Trade Commission and/or the U.S. Department of Justice is closed or not accepting such filings under the HSR Act (a “</w:t>
      </w:r>
      <w:r>
        <w:rPr>
          <w:rFonts w:ascii="Arial" w:cs="Arial" w:eastAsia="Arial" w:hAnsi="Arial"/>
          <w:sz w:val="16"/>
          <w:szCs w:val="16"/>
          <w:u w:val="single" w:color="auto"/>
          <w:color w:val="auto"/>
        </w:rPr>
        <w:t>Government Closure</w:t>
      </w:r>
      <w:r>
        <w:rPr>
          <w:rFonts w:ascii="Arial" w:cs="Arial" w:eastAsia="Arial" w:hAnsi="Arial"/>
          <w:sz w:val="16"/>
          <w:szCs w:val="16"/>
          <w:color w:val="auto"/>
        </w:rPr>
        <w:t>”), such days shall be extended day-for-day, for each Business Day the Government Closure is in effect. The Company shall (i) use its reasonable best efforts to substantially comply with any Information or Document Requests and (ii) request early termination of any waiting period under the HSR Act.</w:t>
      </w:r>
    </w:p>
    <w:p>
      <w:pPr>
        <w:spacing w:after="0" w:line="53" w:lineRule="exact"/>
        <w:rPr>
          <w:rFonts w:ascii="Arial" w:cs="Arial" w:eastAsia="Arial" w:hAnsi="Arial"/>
          <w:sz w:val="16"/>
          <w:szCs w:val="16"/>
          <w:color w:val="auto"/>
        </w:rPr>
      </w:pPr>
    </w:p>
    <w:p>
      <w:pPr>
        <w:ind w:left="560" w:right="80" w:firstLine="419"/>
        <w:spacing w:after="0" w:line="277" w:lineRule="auto"/>
        <w:tabs>
          <w:tab w:leader="none" w:pos="123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Company shall promptly furnish to Acquiror copies of any material notices or written communications received by the Company or any of its Subsidiaries from any third party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 xml:space="preserve">Governmental Authority, and detail any substantive oral communications between the Company or any of its Subsidiaries and any Governmental Authority, with respect to the approval of the Transactions, and the Company shall permit counsel to Acquiror an opportunity to review in advance, and the Company shall consider in good faith the views of such counsel in connection with, any proposed written communications by the Company and/or its Subsidiaries to any Governmental Authority concerning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not extend any waiting period or comparable period under the HSR Act or enter into any agreement with any Governmental Authority without the written consent of Acquiror. The Company agrees to provide, to the extent permitted by the applicable Governmental Authority, Acquiror and its counsel the opportunity, on reasonable advance notice, to participate in any substantive meetings or discussions, either in person or by telephone, between the Company and/or any of its Subsidiaries, agents or advisors, on the one hand, and any Governmental Authority, on the other hand, concerning or in connection with the Transactions.</w:t>
      </w:r>
    </w:p>
    <w:p>
      <w:pPr>
        <w:spacing w:after="0" w:line="18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No Claim Against the Trust Account</w:t>
      </w:r>
      <w:r>
        <w:rPr>
          <w:rFonts w:ascii="Arial" w:cs="Arial" w:eastAsia="Arial" w:hAnsi="Arial"/>
          <w:sz w:val="17"/>
          <w:szCs w:val="17"/>
          <w:color w:val="auto"/>
        </w:rPr>
        <w:t xml:space="preserve">. The Company acknowledges that it has read the Final Prospectus and other SEC Reports, the Acquiror Organizational Documents, and the Trust Agreement and understands that Acquiror has established the Trust Account described therein for the benefit of Acquiror’s public stockholders and that disbursements from the Trust Account are available only in the limited circumstances set forth in the Trust Agreement. The Company further acknowledges that, if the Transactions, or, in the event of a termination of this Agreement, another Business Combination, are not consummated by June 11, 2022 or such later date as approved by the stockholders of Acquiror to complete a Business Combination, Acquiror will be obligated to return to its stockholders the amounts being held in the Trust Account. Accordingly, the Company (on behalf of itself and its controlled Affiliates) hereby waives any past, present or future claim of any kind against, and any right to access, the Trust Account or to collect from the Trust Account any monies that may be owed to them by Acquiror or any of its Affiliates for any reason whatsoever, and will not seek recourse against the Trust Account at any time for any reason whatsoever. Notwithstanding the foregoing,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not serve to limit or prohibit the Company’s or its controlled Affiliates’ rights to pursue a claim against Acquiror or any of its Affiliates for legal relief against assets held outside the Trust Account (including from and after the consummation of a Business Combination other than as contemplated by this Agreement) or pursuant to </w:t>
      </w:r>
      <w:r>
        <w:rPr>
          <w:rFonts w:ascii="Arial" w:cs="Arial" w:eastAsia="Arial" w:hAnsi="Arial"/>
          <w:sz w:val="17"/>
          <w:szCs w:val="17"/>
          <w:u w:val="single" w:color="auto"/>
          <w:color w:val="auto"/>
        </w:rPr>
        <w:t>Section 12.13</w:t>
      </w:r>
      <w:r>
        <w:rPr>
          <w:rFonts w:ascii="Arial" w:cs="Arial" w:eastAsia="Arial" w:hAnsi="Arial"/>
          <w:sz w:val="17"/>
          <w:szCs w:val="17"/>
          <w:color w:val="auto"/>
        </w:rPr>
        <w:t xml:space="preserve"> for specific performance or other injunctive relief.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survive the termination of this Agreement for any reason.</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FIRPTA</w:t>
      </w:r>
      <w:r>
        <w:rPr>
          <w:rFonts w:ascii="Arial" w:cs="Arial" w:eastAsia="Arial" w:hAnsi="Arial"/>
          <w:sz w:val="18"/>
          <w:szCs w:val="18"/>
          <w:color w:val="auto"/>
        </w:rPr>
        <w:t xml:space="preserve">. At the Closing, the Company shall deliver to Acquiror the certification and notice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Code Section 280G</w:t>
      </w:r>
      <w:r>
        <w:rPr>
          <w:rFonts w:ascii="Arial" w:cs="Arial" w:eastAsia="Arial" w:hAnsi="Arial"/>
          <w:sz w:val="16"/>
          <w:szCs w:val="16"/>
          <w:color w:val="auto"/>
        </w:rPr>
        <w:t>. To the extent that any “disqualified individual” (within the meaning of Section 280G(c) of the Code and the regulations thereunder) of the Company has the right to receive or retain any payments or benefits that could be deemed to constitute “parachute payments” (within the meaning of Section 280G(b)(2)(A) of the Code and the regulations thereunder), then, the Company will: (a) no later than seven days prior to the Closing Date, solicit and use its commercially reasonable best efforts to obtain from each such “disqualified individual” a waiver of such disqualified individual’s rights to some or all of such payments or benefits (the “</w:t>
      </w:r>
      <w:r>
        <w:rPr>
          <w:rFonts w:ascii="Arial" w:cs="Arial" w:eastAsia="Arial" w:hAnsi="Arial"/>
          <w:sz w:val="16"/>
          <w:szCs w:val="16"/>
          <w:u w:val="single" w:color="auto"/>
          <w:color w:val="auto"/>
        </w:rPr>
        <w:t>Waived 280G Benefits</w:t>
      </w:r>
      <w:r>
        <w:rPr>
          <w:rFonts w:ascii="Arial" w:cs="Arial" w:eastAsia="Arial" w:hAnsi="Arial"/>
          <w:sz w:val="16"/>
          <w:szCs w:val="16"/>
          <w:color w:val="auto"/>
        </w:rPr>
        <w:t>”) so that any remaining payments and/or benefits shall not be deemed to be “excess parachute payments” (within the meaning of Section 280G of the Code and the regulations thereunder); and</w:t>
      </w:r>
    </w:p>
    <w:p>
      <w:pPr>
        <w:spacing w:after="0" w:line="4" w:lineRule="exact"/>
        <w:rPr>
          <w:sz w:val="20"/>
          <w:szCs w:val="20"/>
          <w:color w:val="auto"/>
        </w:rPr>
      </w:pPr>
    </w:p>
    <w:p>
      <w:pPr>
        <w:ind w:left="120" w:right="20" w:hanging="4"/>
        <w:spacing w:after="0" w:line="268" w:lineRule="auto"/>
        <w:tabs>
          <w:tab w:leader="none" w:pos="37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no later than five days prior to the Closing Date, with respect to each individual who agrees to the waiver described in clause (a), submit to a vote of the stockholders of the Company entitled to vote on such matters, in the manner required under Section 280G(b)(5) of the Code and the regulations promulgated thereunder, along with adequate disclosure intended to satisfy such requirements (including Q&amp;A 7 of Section 1.280G-1 of such regulations), the right of any such “disqualified individual” to receive the Waived 280G Benefits. Prior to, and in no event later than three days prior to soliciting such waivers and approval, the Company shall provide drafts of such waivers and approval materials to Acquiror for its reasonable review and comment, and the Company shall consider in good faith any changes reasonably requested by Acquiror. No later than five days prior to soliciting the waivers, the Company shall provide Acquiror with the calculations and related documentation to determine whether and to what extent the vote described in this Section 7.06 is necessary in order to avoid the imposition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Taxes under Section 4999 of the Code. Prior to the Closing Date, the Company shall deliver to Acquiror evidence that a vote of the stockholders of the Company was solicited in accordance with the foregoing and whether the requisite number of votes of the stockholders of the Company was obtained with respect to the Waived 280G Benefits or that the vote did not pass and the Waived 280G Benefits will not be paid or retained. Notwithstanding the foregoing, to the extent that any contract, agreement, term sheet, plan or other arrangement (whether written or unwritten) is entered into by Acquiror, the Surviving Corporation, the Surviving Entity or any of their respective Affiliates and a “disqualified individual” in connection with the transactions contemplated by this Agreement prior to the Closing Date (the “</w:t>
      </w:r>
      <w:r>
        <w:rPr>
          <w:rFonts w:ascii="Arial" w:cs="Arial" w:eastAsia="Arial" w:hAnsi="Arial"/>
          <w:sz w:val="16"/>
          <w:szCs w:val="16"/>
          <w:u w:val="single" w:color="auto"/>
          <w:color w:val="auto"/>
        </w:rPr>
        <w:t>Acquiror Arrangements</w:t>
      </w:r>
      <w:r>
        <w:rPr>
          <w:rFonts w:ascii="Arial" w:cs="Arial" w:eastAsia="Arial" w:hAnsi="Arial"/>
          <w:sz w:val="16"/>
          <w:szCs w:val="16"/>
          <w:color w:val="auto"/>
        </w:rPr>
        <w:t xml:space="preserve">”), Acquiror shall provide a copy of such contract, agreement, plan or summary of such other arrangement to the Company at least fifteen days prior to the Closing Date and shall cooperate with the Company or its counsel in good faith in order to calculate or determine the value (for purposes of Section 280G of the Code) of any payments or benefits granted or contemplated therein, which may be paid, granted or provided in connection with the transactions contemplated by this Agreement that could constitute a “parachute payment” under Section 280G of the Code; provided, however, that the Company’s failure to include the Acquiror Arrangements as Waived 280G Benefits shall not result in a breach of the covenants set forth in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if Acquiror fails to provide a copy of such contract, agreement, plan or summary of such other arrangement to the Company at least fifteen days before the Closing Date and/or fails to cooperate with the Company or its counsel in good faith in order to calculate or determine the value as required pursuant to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In no event shall the Company be deemed in breach of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if any “disqualified individual” refuses to execute a waiver or the stockholder vote is not obtained due to the Company’s stockholder not approving such Waived 280G Benefits. With respect to each time period set forth in this </w:t>
      </w:r>
      <w:r>
        <w:rPr>
          <w:rFonts w:ascii="Arial" w:cs="Arial" w:eastAsia="Arial" w:hAnsi="Arial"/>
          <w:sz w:val="16"/>
          <w:szCs w:val="16"/>
          <w:u w:val="single" w:color="auto"/>
          <w:color w:val="auto"/>
        </w:rPr>
        <w:t>Section 7.06</w:t>
      </w:r>
      <w:r>
        <w:rPr>
          <w:rFonts w:ascii="Arial" w:cs="Arial" w:eastAsia="Arial" w:hAnsi="Arial"/>
          <w:sz w:val="16"/>
          <w:szCs w:val="16"/>
          <w:color w:val="auto"/>
        </w:rPr>
        <w:t>, such period may be shorter as agreed by the Parties, with such agreement not to be unreasonably withheld.</w:t>
      </w:r>
    </w:p>
    <w:p>
      <w:pPr>
        <w:spacing w:after="0" w:line="176"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Company shall (i) obtain and deliver to Acquiror, the Company Stockholder Approvals, (A) in the form of a written consent executed by each of the Requisite Company Stockholders (pursuant to the Company Holders Support Agreement), as soon as reasonably practicable after the Registration Statement is declared effective under the Securities Act and delivered or otherwise made available to stockholders, and in any event within forty-eight (48) hours after the Registration Statement is declared effective and delivered or otherwise made available to stockholders, and (B) in accordance with the terms and subject to the conditions of the Company’s Governing Documents, and (ii) take all other action necessary or advisable to secure the Company Stockholder Approvals and, if applicable, any additional consents or approvals of its stockholders related thereto.</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xml:space="preserve">. The Company shall take those actions set forth, and otherwise in the manner described, on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Company Disclosure Letter (such actions, the “</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and such section of the Company Disclosure Letter, the “</w:t>
      </w:r>
      <w:r>
        <w:rPr>
          <w:rFonts w:ascii="Arial" w:cs="Arial" w:eastAsia="Arial" w:hAnsi="Arial"/>
          <w:sz w:val="18"/>
          <w:szCs w:val="18"/>
          <w:u w:val="single" w:color="auto"/>
          <w:color w:val="auto"/>
        </w:rPr>
        <w:t>Pre-Closing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Restructuring Plan</w:t>
      </w:r>
      <w:r>
        <w:rPr>
          <w:rFonts w:ascii="Arial" w:cs="Arial" w:eastAsia="Arial" w:hAnsi="Arial"/>
          <w:sz w:val="18"/>
          <w:szCs w:val="18"/>
          <w:color w:val="auto"/>
        </w:rPr>
        <w:t>”).</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Prior to the Closing, the Company shall terminate, or cause to be terminated, without liability to Acquiror, the Company or any of the Company’s Subsidiaries, all Affiliate Agreements and obtain evidence reasonably satisfactory to Acquiror that such Affiliate Agreements have been terminated effective prior to the Closing.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 OF ACQUIROR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HSR Act and Regulatory Approvals</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9" w:lineRule="auto"/>
        <w:tabs>
          <w:tab w:leader="none" w:pos="122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In connection with the Transactions, Acquiror shall comply promptly but in no event later than ten Business Days after the date hereof with the notification and reporting requirements of the HSR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there is a Government Closure, such days shall be extended day-for-day, for each Business Day the Government Closure is in effect. Acquiror shall substantially comply with any Information or Document Requests.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40" w:hanging="261"/>
        <w:spacing w:after="0"/>
        <w:tabs>
          <w:tab w:leader="none" w:pos="124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Acquiror shall request early termination of any waiting period under the HSR Act and undertake promptly any and all action required to</w:t>
      </w:r>
    </w:p>
    <w:p>
      <w:pPr>
        <w:spacing w:after="0" w:line="46" w:lineRule="exact"/>
        <w:rPr>
          <w:rFonts w:ascii="Arial" w:cs="Arial" w:eastAsia="Arial" w:hAnsi="Arial"/>
          <w:sz w:val="16"/>
          <w:szCs w:val="16"/>
          <w:color w:val="auto"/>
        </w:rPr>
      </w:pPr>
    </w:p>
    <w:p>
      <w:pPr>
        <w:ind w:left="560" w:right="60" w:hanging="4"/>
        <w:spacing w:after="0" w:line="277" w:lineRule="auto"/>
        <w:tabs>
          <w:tab w:leader="none" w:pos="775" w:val="left"/>
        </w:tabs>
        <w:numPr>
          <w:ilvl w:val="0"/>
          <w:numId w:val="392"/>
        </w:numPr>
        <w:rPr>
          <w:rFonts w:ascii="Arial" w:cs="Arial" w:eastAsia="Arial" w:hAnsi="Arial"/>
          <w:sz w:val="17"/>
          <w:szCs w:val="17"/>
          <w:color w:val="auto"/>
        </w:rPr>
      </w:pPr>
      <w:r>
        <w:rPr>
          <w:rFonts w:ascii="Arial" w:cs="Arial" w:eastAsia="Arial" w:hAnsi="Arial"/>
          <w:sz w:val="17"/>
          <w:szCs w:val="17"/>
          <w:color w:val="auto"/>
        </w:rPr>
        <w:t>obtain termination or expiration of the waiting period under the HSR Act, (ii) prevent the entry in any Action brought by a Regulatory Consent Authority or any other Person of any Governmental Order which would prohibit, make unlawful or delay the consummation of the Transactions and (iii) if any such Governmental Order is issued in any such Action, cause such Governmental Order to be lifted.</w:t>
      </w:r>
    </w:p>
    <w:p>
      <w:pPr>
        <w:spacing w:after="0" w:line="64" w:lineRule="exact"/>
        <w:rPr>
          <w:rFonts w:ascii="Arial" w:cs="Arial" w:eastAsia="Arial" w:hAnsi="Arial"/>
          <w:sz w:val="17"/>
          <w:szCs w:val="17"/>
          <w:color w:val="auto"/>
        </w:rPr>
      </w:pPr>
    </w:p>
    <w:p>
      <w:pPr>
        <w:ind w:left="560" w:firstLine="419"/>
        <w:spacing w:after="0" w:line="268" w:lineRule="auto"/>
        <w:tabs>
          <w:tab w:leader="none" w:pos="1228"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Acquiror shall cooperate in good faith with the Regulatory Consent Authorities and undertake promptly any and all action required to complete lawfully the Transactions as soon as practicable (but in any event prior to the Termination Date) and, with the prior written consent of the Company, all action necessary or advisable to avoid, prevent, eliminate or remove the actual or threatened commencement of any proceeding in any forum by or on behalf of any Regulatory Consent Authority or the issuance of any Governmental Order that would delay, enjoin, prevent, restrain or otherwise prohibit the consummation of the Transactions, including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on or prior to the Termination Date. The entry by any Governmental Authority in any Action of a Governmental Order permitting the consummation of the Transactions but requiring any of the assets or lines of business of Acquiror to be sold, licensed or otherwise disposed or held separate thereafter (including the business and assets of the Company and its Subsidiaries) shall not be deemed a failure to satisfy any condition specified in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560" w:right="160" w:firstLine="419"/>
        <w:spacing w:after="0" w:line="253" w:lineRule="auto"/>
        <w:tabs>
          <w:tab w:leader="none" w:pos="1238"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Acquiror shall promptly furnish to the Company copies of any material notices or written communications received by Acquiror or any of its Affiliates from any third party or any Governmental Authority with respect to the Transactions, and Acquiror shall permit counsel to the Company an opportunity to review in advance, and Acquiror shall consider in good faith the views of such counsel in connection with, any proposed written communications by Acquiror and/or its Affiliates to any Governmental Authority concerning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Acquiror shall not extend any waiting period or comparable period under the HSR Act or enter into any agreement with any Governmental Authority without the written consent of the Company. Acquiror agrees to provide the Company and its counsel the opportunity, on reasonable advance notice, to participate in any substantive meetings or discussions, either in person or by telephone, between Acquiror and/or any of its Affiliates, agents or advisors, on the one hand, and any Governmental Authority, on the other hand, concerning or in connection with the Transactions.</w:t>
      </w:r>
    </w:p>
    <w:p>
      <w:pPr>
        <w:spacing w:after="0" w:line="88" w:lineRule="exact"/>
        <w:rPr>
          <w:rFonts w:ascii="Arial" w:cs="Arial" w:eastAsia="Arial" w:hAnsi="Arial"/>
          <w:sz w:val="18"/>
          <w:szCs w:val="18"/>
          <w:color w:val="auto"/>
        </w:rPr>
      </w:pPr>
    </w:p>
    <w:p>
      <w:pPr>
        <w:ind w:left="560" w:right="300" w:firstLine="419"/>
        <w:spacing w:after="0" w:line="263" w:lineRule="auto"/>
        <w:tabs>
          <w:tab w:leader="none" w:pos="1228" w:val="left"/>
        </w:tabs>
        <w:numPr>
          <w:ilvl w:val="1"/>
          <w:numId w:val="392"/>
        </w:numPr>
        <w:rPr>
          <w:rFonts w:ascii="Arial" w:cs="Arial" w:eastAsia="Arial" w:hAnsi="Arial"/>
          <w:sz w:val="18"/>
          <w:szCs w:val="18"/>
          <w:color w:val="auto"/>
        </w:rPr>
      </w:pPr>
      <w:r>
        <w:rPr>
          <w:rFonts w:ascii="Arial" w:cs="Arial" w:eastAsia="Arial" w:hAnsi="Arial"/>
          <w:sz w:val="18"/>
          <w:szCs w:val="18"/>
          <w:color w:val="auto"/>
        </w:rPr>
        <w:t>Except as required by this Agreement, Acquiror shall not engage in any action or enter into any transaction or permit any action to be taken or transaction to be entered into, that would reasonably be expected to materially impair or delay Acquiror’s ability to consummate the Transactions or perform its obligations hereunder.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93" w:lineRule="auto"/>
        <w:tabs>
          <w:tab w:leader="none" w:pos="1228" w:val="left"/>
        </w:tabs>
        <w:numPr>
          <w:ilvl w:val="0"/>
          <w:numId w:val="393"/>
        </w:numPr>
        <w:rPr>
          <w:rFonts w:ascii="Arial" w:cs="Arial" w:eastAsia="Arial" w:hAnsi="Arial"/>
          <w:sz w:val="16"/>
          <w:szCs w:val="16"/>
          <w:color w:val="auto"/>
        </w:rPr>
      </w:pPr>
      <w:r>
        <w:rPr>
          <w:rFonts w:ascii="Arial" w:cs="Arial" w:eastAsia="Arial" w:hAnsi="Arial"/>
          <w:sz w:val="16"/>
          <w:szCs w:val="16"/>
          <w:color w:val="auto"/>
        </w:rPr>
        <w:t>From and after the First Effective Time, Acquiror agrees that it shall indemnify and hold harmless each present and former director, manager and officer of the Company and Acquiror and each of their respective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First Effective Time, whether asserted or claimed prior to, at or after the First Effective Time, to the fullest extent that the Company, Acquiror or their respective Subsidiaries, as the case may be, would have been permitted under applicable Law and their respective Governing Documents in effect on the date of this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73" w:lineRule="auto"/>
        <w:rPr>
          <w:sz w:val="20"/>
          <w:szCs w:val="20"/>
          <w:color w:val="auto"/>
        </w:rPr>
      </w:pPr>
      <w:r>
        <w:rPr>
          <w:rFonts w:ascii="Arial" w:cs="Arial" w:eastAsia="Arial" w:hAnsi="Arial"/>
          <w:sz w:val="17"/>
          <w:szCs w:val="17"/>
          <w:color w:val="auto"/>
        </w:rPr>
        <w:t>Agreement to indemnify such Person (including the advancing of expenses as incurred to the fullest extent permitted under applicable Law). Without limiting the foregoing, Acquiror shall cause the Surviving Entity and each of its Subsidiaries to, (i) maintain for a period of not less than six years from the First Effective Time provisions in its Governing Documents concerning the indemnification and exoneration (including provisions relating to expense advancement) of officers and directors/managers that are no less favorable to those Persons than the provisions of such Governing Documents as of the date of this Agreement and (ii) not amend, repeal or otherwise modify such provisions in any respect that would adversely affect the rights of those Persons thereunder, in each case, except as required by Law.</w:t>
      </w:r>
    </w:p>
    <w:p>
      <w:pPr>
        <w:spacing w:after="0" w:line="70" w:lineRule="exact"/>
        <w:rPr>
          <w:sz w:val="20"/>
          <w:szCs w:val="20"/>
          <w:color w:val="auto"/>
        </w:rPr>
      </w:pPr>
    </w:p>
    <w:p>
      <w:pPr>
        <w:ind w:left="560" w:firstLine="419"/>
        <w:spacing w:after="0" w:line="287" w:lineRule="auto"/>
        <w:tabs>
          <w:tab w:leader="none" w:pos="1238"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For a period of six years from the First Effective Time, Acquiror shall, or shall cause one or more of its Subsidiaries to, maintain in effect directors’ and officers’ liability insurance covering those Persons who are currently covered by Acquiror’s, the Company’s or any of their respective Subsidiaries’ directors’ and officers’ liability insurance policies (true, correct and complete copies of which have been heretofore made available to Acquiror or its agents or Representatives) on terms not less favorable than the terms of such current insurance coverage;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Acquiror may cause coverage to be extended under the current directors’ and officers’ liability insurance by obtaining a six-year “tail” policy containing terms not materially less favorable than the terms of such current insurance coverage with respect to claims existing or occurring at or prior to the First Effective Time (a “</w:t>
      </w:r>
      <w:r>
        <w:rPr>
          <w:rFonts w:ascii="Arial" w:cs="Arial" w:eastAsia="Arial" w:hAnsi="Arial"/>
          <w:sz w:val="16"/>
          <w:szCs w:val="16"/>
          <w:u w:val="single" w:color="auto"/>
          <w:color w:val="auto"/>
        </w:rPr>
        <w:t>D&amp;O Tail</w:t>
      </w:r>
      <w:r>
        <w:rPr>
          <w:rFonts w:ascii="Arial" w:cs="Arial" w:eastAsia="Arial" w:hAnsi="Arial"/>
          <w:sz w:val="16"/>
          <w:szCs w:val="16"/>
          <w:color w:val="auto"/>
        </w:rPr>
        <w:t xml:space="preserve">”) and (ii) if any claim is asserted or made within such six-year period, any insurance required to be maintained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be continued in respect of such claim until the final disposition thereof. Notwithstanding the foregoing, in no event shall Acquiror be required to expend an annual premium for such D&amp;O Tail in excess of 300% of the last annual payment made by the Company or any of their respective Affiliates for such directors’ and officers’ liability insurance policies currently in effect as of the date hereof and, in such event, Acquiror shall purchase the maximum coverage available for 300% of the most recent annual premium paid by the Company and/or its Subsidiaries prior to the date of this Agreement.</w:t>
      </w:r>
    </w:p>
    <w:p>
      <w:pPr>
        <w:spacing w:after="0" w:line="59" w:lineRule="exact"/>
        <w:rPr>
          <w:rFonts w:ascii="Arial" w:cs="Arial" w:eastAsia="Arial" w:hAnsi="Arial"/>
          <w:sz w:val="16"/>
          <w:szCs w:val="16"/>
          <w:color w:val="auto"/>
        </w:rPr>
      </w:pPr>
    </w:p>
    <w:p>
      <w:pPr>
        <w:ind w:left="560" w:right="40" w:firstLine="419"/>
        <w:spacing w:after="0" w:line="286" w:lineRule="auto"/>
        <w:tabs>
          <w:tab w:leader="none" w:pos="1228"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Acquiror and the Company hereby acknowledge (on behalf of themselves and their respective Subsidiaries) that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may have certain rights to indemnification, advancement of expenses and/or insurance provided by current stockholders, members, or other Affiliates of such stockholders or members (“</w:t>
      </w:r>
      <w:r>
        <w:rPr>
          <w:rFonts w:ascii="Arial" w:cs="Arial" w:eastAsia="Arial" w:hAnsi="Arial"/>
          <w:sz w:val="16"/>
          <w:szCs w:val="16"/>
          <w:u w:val="single" w:color="auto"/>
          <w:color w:val="auto"/>
        </w:rPr>
        <w:t>Indemnitee Affiliates</w:t>
      </w:r>
      <w:r>
        <w:rPr>
          <w:rFonts w:ascii="Arial" w:cs="Arial" w:eastAsia="Arial" w:hAnsi="Arial"/>
          <w:sz w:val="16"/>
          <w:szCs w:val="16"/>
          <w:color w:val="auto"/>
        </w:rPr>
        <w:t xml:space="preserve">”) separate from the indemnification obligations of the Acquiror, the Company and their respective Subsidiaries hereunder. The Parties hereby agree (i) that the Acquiror, the Company and their respective Subsidiaries are the indemnitors of first resort (i.e., its obligations to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are primary and any obligation of any Indemnitee Affiliate to advance expenses or to provide indemnification for the same expenses or liabilities incurred by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are secondary), (ii) that the Acquiror, the Company and their respective Subsidiaries shall be required to advance the full amount of expenses incurred by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shall be liable for the full amount of all expenses, judgments, penalties, fines and amounts paid in settlement to the extent legally permitted and required by the Acquiror’s, the Company’s and their respective Subsidiaries’ Governing Documents or any director or officer indemnification agreements, without regard to any rights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may have against any Indemnitee Affiliate, and (iii) that the Parties (on behalf of themselves and their respective Subsidiaries) irrevocably waive, relinquish and release the Indemnitee Affiliates from any and all claims against the Indemnitee Affiliates for contribution, subrogation or any other recovery of any kind in respect thereof.</w:t>
      </w:r>
    </w:p>
    <w:p>
      <w:pPr>
        <w:spacing w:after="0" w:line="65" w:lineRule="exact"/>
        <w:rPr>
          <w:rFonts w:ascii="Arial" w:cs="Arial" w:eastAsia="Arial" w:hAnsi="Arial"/>
          <w:sz w:val="16"/>
          <w:szCs w:val="16"/>
          <w:color w:val="auto"/>
        </w:rPr>
      </w:pPr>
    </w:p>
    <w:p>
      <w:pPr>
        <w:ind w:left="560" w:right="40" w:firstLine="419"/>
        <w:spacing w:after="0" w:line="293" w:lineRule="auto"/>
        <w:tabs>
          <w:tab w:leader="none" w:pos="1238"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survive the consummation of the First Merger indefinitely and shall be binding, jointly and severally, on Acquiror, the Surviving Corporation and the Surviving Entity and all successors and assigns of Acquiror, the Surviving Corporation and the Surviving Entity. In the event that Acquiror, the Surviving Corporation or the Surviving Entity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Acquiror, the Surviving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Corporation or the Surviving Entity, as the case may be, shall succeed to the obligations set forth in this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Conduct of Acquiror During the Interim Period</w:t>
      </w:r>
      <w:r>
        <w:rPr>
          <w:rFonts w:ascii="Arial" w:cs="Arial" w:eastAsia="Arial" w:hAnsi="Arial"/>
          <w:sz w:val="18"/>
          <w:szCs w:val="18"/>
          <w:color w:val="auto"/>
        </w:rPr>
        <w:t>.</w:t>
      </w:r>
    </w:p>
    <w:p>
      <w:pPr>
        <w:spacing w:after="0" w:line="117" w:lineRule="exact"/>
        <w:rPr>
          <w:sz w:val="20"/>
          <w:szCs w:val="20"/>
          <w:color w:val="auto"/>
        </w:rPr>
      </w:pPr>
    </w:p>
    <w:p>
      <w:pPr>
        <w:jc w:val="both"/>
        <w:ind w:left="560" w:right="60" w:firstLine="419"/>
        <w:spacing w:after="0" w:line="259" w:lineRule="auto"/>
        <w:tabs>
          <w:tab w:leader="none" w:pos="122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During the Interim Period, except as set forth on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of the Acquiror Disclosure Letter, as required by this Agreement, as required by applicable Law or as consented to by the Company in writing (which consent shall not be unreasonably conditioned, withheld, delayed or denied, except, in the case of as (i), (ii), (iv), (vi) and (vii) below, as to which the Company’s consent may be granted or withheld in its sole discretion), Acquiror shall not, and shall cause each of its Subsidiaries not to:</w:t>
      </w:r>
    </w:p>
    <w:p>
      <w:pPr>
        <w:spacing w:after="0" w:line="78" w:lineRule="exact"/>
        <w:rPr>
          <w:rFonts w:ascii="Arial" w:cs="Arial" w:eastAsia="Arial" w:hAnsi="Arial"/>
          <w:sz w:val="18"/>
          <w:szCs w:val="18"/>
          <w:color w:val="auto"/>
        </w:rPr>
      </w:pPr>
    </w:p>
    <w:p>
      <w:pPr>
        <w:ind w:left="1100" w:right="40" w:firstLine="408"/>
        <w:spacing w:after="0" w:line="277" w:lineRule="auto"/>
        <w:tabs>
          <w:tab w:leader="none" w:pos="1716" w:val="left"/>
        </w:tabs>
        <w:numPr>
          <w:ilvl w:val="2"/>
          <w:numId w:val="395"/>
        </w:numPr>
        <w:rPr>
          <w:rFonts w:ascii="Arial" w:cs="Arial" w:eastAsia="Arial" w:hAnsi="Arial"/>
          <w:sz w:val="18"/>
          <w:szCs w:val="18"/>
          <w:color w:val="auto"/>
        </w:rPr>
      </w:pPr>
      <w:r>
        <w:rPr>
          <w:rFonts w:ascii="Arial" w:cs="Arial" w:eastAsia="Arial" w:hAnsi="Arial"/>
          <w:sz w:val="18"/>
          <w:szCs w:val="18"/>
          <w:color w:val="auto"/>
        </w:rPr>
        <w:t>change, modify, supplement, restate or amend the Trust Agreement, the Acquiror Organizational Documents or the organizational documents of First Merger Sub or Second Merger Sub;</w:t>
      </w:r>
    </w:p>
    <w:p>
      <w:pPr>
        <w:spacing w:after="0" w:line="62" w:lineRule="exact"/>
        <w:rPr>
          <w:rFonts w:ascii="Arial" w:cs="Arial" w:eastAsia="Arial" w:hAnsi="Arial"/>
          <w:sz w:val="18"/>
          <w:szCs w:val="18"/>
          <w:color w:val="auto"/>
        </w:rPr>
      </w:pPr>
    </w:p>
    <w:p>
      <w:pPr>
        <w:ind w:left="1100" w:right="20" w:firstLine="408"/>
        <w:spacing w:after="0" w:line="257" w:lineRule="auto"/>
        <w:tabs>
          <w:tab w:leader="none" w:pos="1766" w:val="left"/>
        </w:tabs>
        <w:numPr>
          <w:ilvl w:val="2"/>
          <w:numId w:val="395"/>
        </w:numPr>
        <w:rPr>
          <w:rFonts w:ascii="Arial" w:cs="Arial" w:eastAsia="Arial" w:hAnsi="Arial"/>
          <w:sz w:val="18"/>
          <w:szCs w:val="18"/>
          <w:color w:val="auto"/>
        </w:rPr>
      </w:pPr>
      <w:r>
        <w:rPr>
          <w:rFonts w:ascii="Arial" w:cs="Arial" w:eastAsia="Arial" w:hAnsi="Arial"/>
          <w:sz w:val="18"/>
          <w:szCs w:val="18"/>
          <w:color w:val="auto"/>
        </w:rPr>
        <w:t>(A) declare, set aside or pay any dividends on, or make any other distribution in respect of any outstanding capital stock of, or other equity interests in, Acquiror; (B) split, combine or reclassify any capital stock of, or other equity interests in, Acquiror; or (C) other than in connection with the Acquiror Stockholder Redemption or as otherwise required by Acquiror’s Organizational Documents in order to consummate the Transactions, repurchase, redeem or otherwise acquire, or offer to repurchase, redeem or otherwise acquire, any capital stock of, or other equity interests in, Acquiror;</w:t>
      </w:r>
    </w:p>
    <w:p>
      <w:pPr>
        <w:spacing w:after="0" w:line="79" w:lineRule="exact"/>
        <w:rPr>
          <w:rFonts w:ascii="Arial" w:cs="Arial" w:eastAsia="Arial" w:hAnsi="Arial"/>
          <w:sz w:val="18"/>
          <w:szCs w:val="18"/>
          <w:color w:val="auto"/>
        </w:rPr>
      </w:pPr>
    </w:p>
    <w:p>
      <w:pPr>
        <w:ind w:left="1100" w:right="100" w:firstLine="408"/>
        <w:spacing w:after="0" w:line="270" w:lineRule="auto"/>
        <w:tabs>
          <w:tab w:leader="none" w:pos="1816" w:val="left"/>
        </w:tabs>
        <w:numPr>
          <w:ilvl w:val="2"/>
          <w:numId w:val="395"/>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a material amount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Acquiror, the Company or any of its Subsidiaries;</w:t>
      </w:r>
    </w:p>
    <w:p>
      <w:pPr>
        <w:spacing w:after="0" w:line="72" w:lineRule="exact"/>
        <w:rPr>
          <w:rFonts w:ascii="Arial" w:cs="Arial" w:eastAsia="Arial" w:hAnsi="Arial"/>
          <w:sz w:val="17"/>
          <w:szCs w:val="17"/>
          <w:color w:val="auto"/>
        </w:rPr>
      </w:pPr>
    </w:p>
    <w:p>
      <w:pPr>
        <w:ind w:left="1100" w:right="380" w:firstLine="408"/>
        <w:spacing w:after="0" w:line="311" w:lineRule="auto"/>
        <w:tabs>
          <w:tab w:leader="none" w:pos="1806" w:val="left"/>
        </w:tabs>
        <w:numPr>
          <w:ilvl w:val="2"/>
          <w:numId w:val="395"/>
        </w:numPr>
        <w:rPr>
          <w:rFonts w:ascii="Arial" w:cs="Arial" w:eastAsia="Arial" w:hAnsi="Arial"/>
          <w:sz w:val="16"/>
          <w:szCs w:val="16"/>
          <w:color w:val="auto"/>
        </w:rPr>
      </w:pPr>
      <w:r>
        <w:rPr>
          <w:rFonts w:ascii="Arial" w:cs="Arial" w:eastAsia="Arial" w:hAnsi="Arial"/>
          <w:sz w:val="16"/>
          <w:szCs w:val="16"/>
          <w:color w:val="auto"/>
        </w:rPr>
        <w:t>enter into, renew, modify, supplement or amend any transaction or Contract with an Affiliate of Acquiror (including, for the avoidance of doubt, the Sponsor, and, where applicable, (x) anyone related by blood, marriage or adoption to the Sponsor or (y) any Person in which the Sponsor has a direct or indirect legal, contractual or beneficial ownership interest of 5% or greater);</w:t>
      </w:r>
    </w:p>
    <w:p>
      <w:pPr>
        <w:spacing w:after="0" w:line="40" w:lineRule="exact"/>
        <w:rPr>
          <w:rFonts w:ascii="Arial" w:cs="Arial" w:eastAsia="Arial" w:hAnsi="Arial"/>
          <w:sz w:val="16"/>
          <w:szCs w:val="16"/>
          <w:color w:val="auto"/>
        </w:rPr>
      </w:pPr>
    </w:p>
    <w:p>
      <w:pPr>
        <w:ind w:left="1760" w:hanging="252"/>
        <w:spacing w:after="0"/>
        <w:tabs>
          <w:tab w:leader="none" w:pos="176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waive, release, compromise, settle or satisfy any pending or threatened Action or compromise or settle any liability;</w:t>
      </w:r>
    </w:p>
    <w:p>
      <w:pPr>
        <w:spacing w:after="0" w:line="117" w:lineRule="exact"/>
        <w:rPr>
          <w:rFonts w:ascii="Arial" w:cs="Arial" w:eastAsia="Arial" w:hAnsi="Arial"/>
          <w:sz w:val="18"/>
          <w:szCs w:val="18"/>
          <w:color w:val="auto"/>
        </w:rPr>
      </w:pPr>
    </w:p>
    <w:p>
      <w:pPr>
        <w:ind w:left="1820" w:hanging="312"/>
        <w:spacing w:after="0"/>
        <w:tabs>
          <w:tab w:leader="none" w:pos="182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incur, guarantee or otherwise become liable for (whether directly, contingently or otherwise) any Indebtedness;</w:t>
      </w:r>
    </w:p>
    <w:p>
      <w:pPr>
        <w:spacing w:after="0" w:line="117" w:lineRule="exact"/>
        <w:rPr>
          <w:rFonts w:ascii="Arial" w:cs="Arial" w:eastAsia="Arial" w:hAnsi="Arial"/>
          <w:sz w:val="18"/>
          <w:szCs w:val="18"/>
          <w:color w:val="auto"/>
        </w:rPr>
      </w:pPr>
    </w:p>
    <w:p>
      <w:pPr>
        <w:ind w:left="1100" w:firstLine="408"/>
        <w:spacing w:after="0" w:line="286" w:lineRule="auto"/>
        <w:tabs>
          <w:tab w:leader="none" w:pos="1856" w:val="left"/>
        </w:tabs>
        <w:numPr>
          <w:ilvl w:val="2"/>
          <w:numId w:val="395"/>
        </w:numPr>
        <w:rPr>
          <w:rFonts w:ascii="Arial" w:cs="Arial" w:eastAsia="Arial" w:hAnsi="Arial"/>
          <w:sz w:val="16"/>
          <w:szCs w:val="16"/>
          <w:color w:val="auto"/>
        </w:rPr>
      </w:pPr>
      <w:r>
        <w:rPr>
          <w:rFonts w:ascii="Arial" w:cs="Arial" w:eastAsia="Arial" w:hAnsi="Arial"/>
          <w:sz w:val="16"/>
          <w:szCs w:val="16"/>
          <w:color w:val="auto"/>
        </w:rPr>
        <w:t>(A) offer, issue, deliver, grant or sell, or authorize or propose to offer, issue, deliver, grant or sell, any capital stock of, other equity interests, equity equivalents, stock appreciation rights, phantom stock ownership interests or similar rights in, Acquiror or any of its Subsidiaries or any securities convertible into, or any rights, warrants or options to acquire, any such capital stock or equity interests, other than (x) issuance of Acquiror Common Stock in connection with the exercise of any Acquiror Warrants outstanding on the date hereof or</w:t>
      </w:r>
    </w:p>
    <w:p>
      <w:pPr>
        <w:spacing w:after="0" w:line="1" w:lineRule="exact"/>
        <w:rPr>
          <w:rFonts w:ascii="Arial" w:cs="Arial" w:eastAsia="Arial" w:hAnsi="Arial"/>
          <w:sz w:val="16"/>
          <w:szCs w:val="16"/>
          <w:color w:val="auto"/>
        </w:rPr>
      </w:pPr>
    </w:p>
    <w:p>
      <w:pPr>
        <w:ind w:left="1100" w:right="80" w:firstLine="7"/>
        <w:spacing w:after="0" w:line="295" w:lineRule="auto"/>
        <w:tabs>
          <w:tab w:leader="none" w:pos="1355" w:val="left"/>
        </w:tabs>
        <w:numPr>
          <w:ilvl w:val="1"/>
          <w:numId w:val="395"/>
        </w:numPr>
        <w:rPr>
          <w:rFonts w:ascii="Arial" w:cs="Arial" w:eastAsia="Arial" w:hAnsi="Arial"/>
          <w:sz w:val="16"/>
          <w:szCs w:val="16"/>
          <w:color w:val="auto"/>
        </w:rPr>
      </w:pPr>
      <w:r>
        <w:rPr>
          <w:rFonts w:ascii="Arial" w:cs="Arial" w:eastAsia="Arial" w:hAnsi="Arial"/>
          <w:sz w:val="16"/>
          <w:szCs w:val="16"/>
          <w:color w:val="auto"/>
        </w:rPr>
        <w:t>issuance of Acquiror Common Stock at not less than $10 per share and issuance of up to 2,500,000 Acquiror Warrants at an exercise price per share of not less than $11.50 per share, in each case on the terms set forth in the Subscription Agreements and the HEC Forward Purchase Agreement, as applicable, or (B) amend, modify or waive any of the terms or rights set forth in, any Acquiror Warrant or the Warrant Agreement, including any amendment, modification or reduction of the warrant price set forth therein; or</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00"/>
          </w:cols>
          <w:pgMar w:left="320" w:top="459" w:right="47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20" w:hanging="412"/>
        <w:spacing w:after="0"/>
        <w:tabs>
          <w:tab w:leader="none" w:pos="19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 xml:space="preserve">enter into any agreement, or otherwise become obligated, to take any action prohibited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80" w:firstLine="419"/>
        <w:spacing w:after="0" w:line="263" w:lineRule="auto"/>
        <w:tabs>
          <w:tab w:leader="none" w:pos="123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During the Interim Period, Acquiror shall, and shall cause its Subsidiaries to comply with, and continue performing under, as applicable, the Acquiror Organizational Documents, the Trust Agreement, the Transaction Agreements and all other agreements or Contracts to which Acquiror or its Subsidiaries may be a party.</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PIPE Investment; HEC Forward Purchase Agreement</w:t>
      </w:r>
      <w:r>
        <w:rPr>
          <w:rFonts w:ascii="Arial" w:cs="Arial" w:eastAsia="Arial" w:hAnsi="Arial"/>
          <w:sz w:val="17"/>
          <w:szCs w:val="17"/>
          <w:color w:val="auto"/>
        </w:rPr>
        <w:t>. Unless otherwise approved in writing by the Company, Acquiror shall not permit any amendment or modification to be made to, any waiver (in whole or in part) of, or provide consent to modify (including consent to terminate), any provision or remedy under, or any replacements of, any of the Subscription Agreements or the HEC Forward Purchase Agreement. Subject to the immediately preceding sentence, Acquiror shall take, or cause to be taken, all actions and do, or cause to be done, all things required, necessary, proper or advisable to consummate the transactions contemplated by the Subscription Agreements and the HEC Forward Purchase Agreement on the terms and conditions described therein, including by enforcing its rights (a) under the Subscription Agreements to cause the PIPE Investors to pay to (or as directed by) Acquiror the applicable purchase price under each PIPE Investor’s applicable Subscription Agreement in accordance with its terms and (b) under the HEC Forward Purchase Agreement to cause the Sponsor to pay to (or as directed by) Acquiror the applicable purchase price under the HEC Forward Purchase Agreement in accordance with its terms.</w:t>
      </w:r>
    </w:p>
    <w:p>
      <w:pPr>
        <w:spacing w:after="0" w:line="18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Subject to confidentiality obligations and similar restrictions that may be applicable to information furnished to Acquiror or its Subsidiaries by third parties that may be in Acquiror’s or its Subsidiaries’ possession from time to time, and except for any information which on the advice of legal counsel of Acquiror would result in the loss of attorney-client privilege or other privilege from disclosure, Acquiror shall, and shall cause its Subsidiaries to, afford to the Company, its Affiliates and their respective Representatives reasonable access during the Interim Period, during normal business hours and with reasonable advance notice, to their respective properties and assets, books, Contracts, commitments, Tax Returns, records and appropriate officers and employees of Acquiror and its Subsidiaries, and shall use its and their reasonable efforts to furnish such Representatives with all financial and operating data and other information concerning the business and affairs of Acquiror and its Subsidiaries that are in the possession of Acquiror or its Subsidiaries, in each case as the Company and its Representatives may reasonably request solely for purposes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remote access may be provided by Acquiror lieu of physical access in response to COVID-19 to the extent reasonably necessary (a) to protect the health and safety of such officers and employees or (b) in order to comply with any applicable COVID-19 Measures. The Parties shall use reasonable efforts to make alternative arrangements for such disclosure where the restrictions in the preceding sentence apply. Any request, and the provision of access or information, in each case pursuant to this </w:t>
      </w:r>
      <w:r>
        <w:rPr>
          <w:rFonts w:ascii="Arial" w:cs="Arial" w:eastAsia="Arial" w:hAnsi="Arial"/>
          <w:sz w:val="16"/>
          <w:szCs w:val="16"/>
          <w:u w:val="single" w:color="auto"/>
          <w:color w:val="auto"/>
        </w:rPr>
        <w:t>Section 8.05</w:t>
      </w:r>
      <w:r>
        <w:rPr>
          <w:rFonts w:ascii="Arial" w:cs="Arial" w:eastAsia="Arial" w:hAnsi="Arial"/>
          <w:sz w:val="16"/>
          <w:szCs w:val="16"/>
          <w:color w:val="auto"/>
        </w:rPr>
        <w:t>, shall be made in a time and manner so as not to materially delay the Closing. All information obtained by the Company, its Affiliates and their respective Representatives under this Agreement shall be subject to the Confidentiality Agreement prior to the Second Effective Time.</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Acquiror Nasdaq Listing</w:t>
      </w:r>
      <w:r>
        <w:rPr>
          <w:rFonts w:ascii="Arial" w:cs="Arial" w:eastAsia="Arial" w:hAnsi="Arial"/>
          <w:sz w:val="18"/>
          <w:szCs w:val="18"/>
          <w:color w:val="auto"/>
        </w:rPr>
        <w:t>. From the date hereof through the Closing, Acquiror shall use reasonable efforts to ensure Acquiror remains listed as a public company on, and for shares of Acquiror Common Stock and Acquiror Warrants (but, in the case of Acquiror Warrants, only to the extent issued as of the date hereof) to be listed on, Nasdaq.</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Acquiror Public Filings</w:t>
      </w:r>
      <w:r>
        <w:rPr>
          <w:rFonts w:ascii="Arial" w:cs="Arial" w:eastAsia="Arial" w:hAnsi="Arial"/>
          <w:sz w:val="16"/>
          <w:szCs w:val="16"/>
          <w:color w:val="auto"/>
        </w:rPr>
        <w:t>. From the date hereof through the Closing, Acquiror shall keep current and timely file all reports required to be filed or furnished with the SEC and otherwise comply in all material respects with its reporting obligations under applicable Securities Laws.</w:t>
      </w:r>
    </w:p>
    <w:p>
      <w:pPr>
        <w:spacing w:after="0" w:line="12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First Effective Time, Acquiror shall take all reasonable steps as may be required (to the extent permitted under applicable Law) to cause any acquisition or disposition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40"/>
          </w:cols>
          <w:pgMar w:left="320" w:top="459" w:right="43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Acquiror Common Stock or any derivative thereof that occurs or is deemed to occur by reason of or pursuant to the Transactions by each Person who is or will be or may be subject to the reporting requirements of Section 16(a) of the Exchange Act with respect to Acquiror to be exempt under Rule 16b-3 promulgated under the Exchange Act, including by taking steps in accordance with the No-Action Letter, dated January 12, 1999, issued by the SEC regarding such matters.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Acquiror Board of Directors, Committees and Officers</w:t>
      </w:r>
      <w:r>
        <w:rPr>
          <w:rFonts w:ascii="Arial" w:cs="Arial" w:eastAsia="Arial" w:hAnsi="Arial"/>
          <w:sz w:val="18"/>
          <w:szCs w:val="18"/>
          <w:color w:val="auto"/>
        </w:rPr>
        <w:t>.</w:t>
      </w:r>
    </w:p>
    <w:p>
      <w:pPr>
        <w:spacing w:after="0" w:line="117" w:lineRule="exact"/>
        <w:rPr>
          <w:sz w:val="20"/>
          <w:szCs w:val="20"/>
          <w:color w:val="auto"/>
        </w:rPr>
      </w:pPr>
    </w:p>
    <w:p>
      <w:pPr>
        <w:ind w:left="560" w:right="140" w:firstLine="419"/>
        <w:spacing w:after="0" w:line="277" w:lineRule="auto"/>
        <w:tabs>
          <w:tab w:leader="none" w:pos="122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The Parties shall take all actions necessary to ensure that the individuals listed on </w:t>
      </w:r>
      <w:r>
        <w:rPr>
          <w:rFonts w:ascii="Arial" w:cs="Arial" w:eastAsia="Arial" w:hAnsi="Arial"/>
          <w:sz w:val="18"/>
          <w:szCs w:val="18"/>
          <w:u w:val="single" w:color="auto"/>
          <w:color w:val="auto"/>
        </w:rPr>
        <w:t>Section 8.09(a)</w:t>
      </w:r>
      <w:r>
        <w:rPr>
          <w:rFonts w:ascii="Arial" w:cs="Arial" w:eastAsia="Arial" w:hAnsi="Arial"/>
          <w:sz w:val="18"/>
          <w:szCs w:val="18"/>
          <w:color w:val="auto"/>
        </w:rPr>
        <w:t xml:space="preserve"> of the Company Disclosure Letter are elected and appointed as directors of Acquiror effective at the Closing.</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officers of the Company as of immediately prior to the Closing shall be the officers of Acquiror effective at the Closing.</w:t>
      </w:r>
    </w:p>
    <w:p>
      <w:pPr>
        <w:spacing w:after="0" w:line="225"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Incentive Equity Plan and ESPP</w:t>
      </w:r>
      <w:r>
        <w:rPr>
          <w:rFonts w:ascii="Arial" w:cs="Arial" w:eastAsia="Arial" w:hAnsi="Arial"/>
          <w:sz w:val="16"/>
          <w:szCs w:val="16"/>
          <w:color w:val="auto"/>
        </w:rPr>
        <w:t xml:space="preserve">. Prior to the Closing Date, Acquiror shall approve, and subject to approval of the stockholders of Acquiror, adopt, (i) a management incentive equity plan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providing for the issuance of the number of shares of Acquiror Common Stock set forth therein (with such changes as may be agreed to in writing by Acquiror and the Company), (the “</w:t>
      </w:r>
      <w:r>
        <w:rPr>
          <w:rFonts w:ascii="Arial" w:cs="Arial" w:eastAsia="Arial" w:hAnsi="Arial"/>
          <w:sz w:val="16"/>
          <w:szCs w:val="16"/>
          <w:u w:val="single" w:color="auto"/>
          <w:color w:val="auto"/>
        </w:rPr>
        <w:t>Incentive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and (ii) an employee stock purchase plan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providing for the issuance of the number of shares of Acquiror Common Stock set forth therein (with such changes as may be agreed to in writing by Acquiror and the Company) (the “</w:t>
      </w:r>
      <w:r>
        <w:rPr>
          <w:rFonts w:ascii="Arial" w:cs="Arial" w:eastAsia="Arial" w:hAnsi="Arial"/>
          <w:sz w:val="16"/>
          <w:szCs w:val="16"/>
          <w:u w:val="single" w:color="auto"/>
          <w:color w:val="auto"/>
        </w:rPr>
        <w:t>ESPP</w:t>
      </w:r>
      <w:r>
        <w:rPr>
          <w:rFonts w:ascii="Arial" w:cs="Arial" w:eastAsia="Arial" w:hAnsi="Arial"/>
          <w:sz w:val="16"/>
          <w:szCs w:val="16"/>
          <w:color w:val="auto"/>
        </w:rPr>
        <w:t>”). Within five</w:t>
      </w:r>
    </w:p>
    <w:p>
      <w:pPr>
        <w:spacing w:after="0" w:line="2" w:lineRule="exact"/>
        <w:rPr>
          <w:sz w:val="20"/>
          <w:szCs w:val="20"/>
          <w:color w:val="auto"/>
        </w:rPr>
      </w:pPr>
    </w:p>
    <w:p>
      <w:pPr>
        <w:ind w:left="120" w:right="60" w:hanging="4"/>
        <w:spacing w:after="0" w:line="271" w:lineRule="auto"/>
        <w:tabs>
          <w:tab w:leader="none" w:pos="375" w:val="left"/>
        </w:tabs>
        <w:numPr>
          <w:ilvl w:val="0"/>
          <w:numId w:val="399"/>
        </w:numPr>
        <w:rPr>
          <w:rFonts w:ascii="Arial" w:cs="Arial" w:eastAsia="Arial" w:hAnsi="Arial"/>
          <w:sz w:val="17"/>
          <w:szCs w:val="17"/>
          <w:color w:val="auto"/>
        </w:rPr>
      </w:pPr>
      <w:r>
        <w:rPr>
          <w:rFonts w:ascii="Arial" w:cs="Arial" w:eastAsia="Arial" w:hAnsi="Arial"/>
          <w:sz w:val="17"/>
          <w:szCs w:val="17"/>
          <w:color w:val="auto"/>
        </w:rPr>
        <w:t>Business Days following the expiration of the sixty (60) day period following the date Acquiror has filed current Form 10 information with the SEC reflecting its status as an entity that is not a shell company, Acquiror shall file an effective registration statement on Form S-8 (or other applicable form) with respect to the Acquiror Common Stock issuable under the Incentive Equity Plan and the ESPP, and Acquiror shall use reasonable efforts to maintain the effectiveness of such registration statement(s) (and maintain the current status of the prospectus or prospectuses contained therein) for so long as awards granted pursuant to the Incentive Equity Plan and the ESPP remain outstanding.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Qualification as an Emerging Growth Company</w:t>
      </w:r>
      <w:r>
        <w:rPr>
          <w:rFonts w:ascii="Arial" w:cs="Arial" w:eastAsia="Arial" w:hAnsi="Arial"/>
          <w:sz w:val="16"/>
          <w:szCs w:val="16"/>
          <w:color w:val="auto"/>
        </w:rPr>
        <w:t>. Acquiror shall, at all times during the period from the date hereof until the Closing:</w:t>
      </w:r>
    </w:p>
    <w:p>
      <w:pPr>
        <w:spacing w:after="0" w:line="46" w:lineRule="exact"/>
        <w:rPr>
          <w:sz w:val="20"/>
          <w:szCs w:val="20"/>
          <w:color w:val="auto"/>
        </w:rPr>
      </w:pPr>
    </w:p>
    <w:p>
      <w:pPr>
        <w:ind w:left="120" w:right="20" w:hanging="4"/>
        <w:spacing w:after="0" w:line="255" w:lineRule="auto"/>
        <w:tabs>
          <w:tab w:leader="none" w:pos="36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take all actions necessary to continue to qualify as an “emerging growth company” within the meaning of the Jumpstart Our Business Startups Act of 2012 (“</w:t>
      </w:r>
      <w:r>
        <w:rPr>
          <w:rFonts w:ascii="Arial" w:cs="Arial" w:eastAsia="Arial" w:hAnsi="Arial"/>
          <w:sz w:val="18"/>
          <w:szCs w:val="18"/>
          <w:u w:val="single" w:color="auto"/>
          <w:color w:val="auto"/>
        </w:rPr>
        <w:t>JOBS Act</w:t>
      </w:r>
      <w:r>
        <w:rPr>
          <w:rFonts w:ascii="Arial" w:cs="Arial" w:eastAsia="Arial" w:hAnsi="Arial"/>
          <w:sz w:val="18"/>
          <w:szCs w:val="18"/>
          <w:color w:val="auto"/>
        </w:rPr>
        <w:t>”); and (b) not take any action that would cause Acquiror to not qualify as an “emerging growth company” within the meaning of the JOBS Act.</w:t>
      </w:r>
    </w:p>
    <w:p>
      <w:pPr>
        <w:spacing w:after="0" w:line="19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Stockholder Litigation</w:t>
      </w:r>
      <w:r>
        <w:rPr>
          <w:rFonts w:ascii="Arial" w:cs="Arial" w:eastAsia="Arial" w:hAnsi="Arial"/>
          <w:sz w:val="18"/>
          <w:szCs w:val="18"/>
          <w:color w:val="auto"/>
        </w:rPr>
        <w:t>. In the event that any litigation related to this Agreement, the other Transaction Agreements or any or the transactions contemplated hereby or thereby is brought, or, to the knowledge of Acquiror, threatened in writing, against Acquiror or the Board of Directors of Acquiror by any of Acquiror Stockholders prior to the Closing, Acquiror shall promptly notify the Company of any such litigation and keep the Company reasonably informed with respect to the status thereof. Acquiror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prior written consent of the Company, such consent not to be unreasonably withheld, conditioned or delayed.</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Other Compensation Matters</w:t>
      </w:r>
      <w:r>
        <w:rPr>
          <w:rFonts w:ascii="Arial" w:cs="Arial" w:eastAsia="Arial" w:hAnsi="Arial"/>
          <w:sz w:val="18"/>
          <w:szCs w:val="18"/>
          <w:color w:val="auto"/>
        </w:rPr>
        <w:t>. Following the date of this Agreement and prior to the Closing Date, the Acquiror will utilize the services of an independent compensation consultant to review and make recommendations with respect to post-Closing compensation arrangements, and the Parties will work together to review the Company’s existing compensation arrangements for purposes of developing post-Closing market-based compensation arrangements, including terms and conditions relating to initial awards under the Incentive Equity Plan and customary employment agreements for key employees, taking into account such recommendations.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20"/>
          </w:cols>
          <w:pgMar w:left="320" w:top="459" w:right="45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JOINT COVENANTS</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Support of Transaction</w:t>
      </w:r>
      <w:r>
        <w:rPr>
          <w:rFonts w:ascii="Arial" w:cs="Arial" w:eastAsia="Arial" w:hAnsi="Arial"/>
          <w:sz w:val="16"/>
          <w:szCs w:val="16"/>
          <w:color w:val="auto"/>
        </w:rPr>
        <w:t xml:space="preserve">. Without limiting any covenant contained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including the obligations of the Company and Acquiror with respect to the notifications, filings, reaffirmations and applications described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respectively, which obligations shall control to the extent of any conflict with the succeeding provisions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Acquiror and the Company shall each, and shall each cause their respective Subsidiaries to: (a) use reasonable efforts to assemble, prepare and file any information (and, as needed, to supplement such information) as may be reasonably necessary to obtain as promptly as practicable all governmental and regulatory consents required to be obtained in connection with the Transactions, (b) use reasonable efforts to obtain all material consents and approvals of third parties that any of Acquiror, the Company, or their respective Affiliates are required to obtain in order to consummate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agreed to by Acquiror, the Company shall not be required to seek any such required consents or approvals of third-party counterparties to Material Contracts with the Company or its Subsidiaries, and (c) take such other action as may reasonably be necessary or as another Party may reasonably request to satisfy the conditions of the other Party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to comply with this Agreement and to consummate the Transactions as soon as practicable. Notwithstanding the foregoing, in no event shall Acquiror, First Merger Sub, Second Merger Sub, the Company or any of its Subsidiaries be obligated to bear any material expense or pay any material fee or grant any material concession in connection with obtaining any consents, authorizations or approvals pursuant to the terms of any Contract to which the Company or any of its Subsidiaries is a party or otherwise required in connection with the consummation of the Transactions.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Proxy Statement/Registration Statement; Acquiror Special Meeting</w:t>
      </w:r>
      <w:r>
        <w:rPr>
          <w:rFonts w:ascii="Arial" w:cs="Arial" w:eastAsia="Arial" w:hAnsi="Arial"/>
          <w:sz w:val="18"/>
          <w:szCs w:val="18"/>
          <w:color w:val="auto"/>
        </w:rPr>
        <w:t>.</w:t>
      </w:r>
    </w:p>
    <w:p>
      <w:pPr>
        <w:spacing w:after="0" w:line="117" w:lineRule="exact"/>
        <w:rPr>
          <w:sz w:val="20"/>
          <w:szCs w:val="20"/>
          <w:color w:val="auto"/>
        </w:rPr>
      </w:pPr>
    </w:p>
    <w:p>
      <w:pPr>
        <w:ind w:left="1220" w:hanging="241"/>
        <w:spacing w:after="0"/>
        <w:tabs>
          <w:tab w:leader="none" w:pos="12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100" w:firstLine="408"/>
        <w:spacing w:after="0" w:line="286" w:lineRule="auto"/>
        <w:tabs>
          <w:tab w:leader="none" w:pos="1716" w:val="left"/>
        </w:tabs>
        <w:numPr>
          <w:ilvl w:val="2"/>
          <w:numId w:val="401"/>
        </w:numPr>
        <w:rPr>
          <w:rFonts w:ascii="Arial" w:cs="Arial" w:eastAsia="Arial" w:hAnsi="Arial"/>
          <w:sz w:val="16"/>
          <w:szCs w:val="16"/>
          <w:color w:val="auto"/>
        </w:rPr>
      </w:pPr>
      <w:r>
        <w:rPr>
          <w:rFonts w:ascii="Arial" w:cs="Arial" w:eastAsia="Arial" w:hAnsi="Arial"/>
          <w:sz w:val="16"/>
          <w:szCs w:val="16"/>
          <w:color w:val="auto"/>
        </w:rPr>
        <w:t xml:space="preserve">As promptly as practicable following the execution and delivery of this Agreement, (x) Acquiror and the Company shall, in accordance with this </w:t>
      </w:r>
      <w:r>
        <w:rPr>
          <w:rFonts w:ascii="Arial" w:cs="Arial" w:eastAsia="Arial" w:hAnsi="Arial"/>
          <w:sz w:val="16"/>
          <w:szCs w:val="16"/>
          <w:u w:val="single" w:color="auto"/>
          <w:color w:val="auto"/>
        </w:rPr>
        <w:t>Section 9.02(a)</w:t>
      </w:r>
      <w:r>
        <w:rPr>
          <w:rFonts w:ascii="Arial" w:cs="Arial" w:eastAsia="Arial" w:hAnsi="Arial"/>
          <w:sz w:val="16"/>
          <w:szCs w:val="16"/>
          <w:color w:val="auto"/>
        </w:rPr>
        <w:t>, jointly prepare and Acquiror shall file with the SEC, mutually acceptable materials which shall include the proxy statement to be filed with the SEC as part of the Registration Statement and sent to the Acquiror Stockholders relating to the Special Meeting (such proxy statement, together with any amendments or supplements thereto,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100" w:right="60" w:firstLine="7"/>
        <w:spacing w:after="0" w:line="266" w:lineRule="auto"/>
        <w:tabs>
          <w:tab w:leader="none" w:pos="1345" w:val="left"/>
        </w:tabs>
        <w:numPr>
          <w:ilvl w:val="1"/>
          <w:numId w:val="401"/>
        </w:numPr>
        <w:rPr>
          <w:rFonts w:ascii="Arial" w:cs="Arial" w:eastAsia="Arial" w:hAnsi="Arial"/>
          <w:sz w:val="17"/>
          <w:szCs w:val="17"/>
          <w:color w:val="auto"/>
        </w:rPr>
      </w:pPr>
      <w:r>
        <w:rPr>
          <w:rFonts w:ascii="Arial" w:cs="Arial" w:eastAsia="Arial" w:hAnsi="Arial"/>
          <w:sz w:val="17"/>
          <w:szCs w:val="17"/>
          <w:color w:val="auto"/>
        </w:rPr>
        <w:t>Acquiror shall prepare (with the Company’s reasonable cooperation (including causing its Subsidiaries and Representatives to cooperate)) and file with the SEC the Registration Statement, in which the Proxy Statement will be included as a prospectus (the “</w:t>
      </w:r>
      <w:r>
        <w:rPr>
          <w:rFonts w:ascii="Arial" w:cs="Arial" w:eastAsia="Arial" w:hAnsi="Arial"/>
          <w:sz w:val="17"/>
          <w:szCs w:val="17"/>
          <w:u w:val="single" w:color="auto"/>
          <w:color w:val="auto"/>
        </w:rPr>
        <w:t>Proxy</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Statement/Registration Statement</w:t>
      </w:r>
      <w:r>
        <w:rPr>
          <w:rFonts w:ascii="Arial" w:cs="Arial" w:eastAsia="Arial" w:hAnsi="Arial"/>
          <w:sz w:val="17"/>
          <w:szCs w:val="17"/>
          <w:color w:val="auto"/>
        </w:rPr>
        <w:t>”), in connection with the registration under the Securities Act of (A) the shares of Acquiror Common Stock that constitute the Closing Share Consideration and (B) the shares of Acquiror Common Stock that are subject to Acquiror Options (collectively, the “</w:t>
      </w:r>
      <w:r>
        <w:rPr>
          <w:rFonts w:ascii="Arial" w:cs="Arial" w:eastAsia="Arial" w:hAnsi="Arial"/>
          <w:sz w:val="17"/>
          <w:szCs w:val="17"/>
          <w:u w:val="single" w:color="auto"/>
          <w:color w:val="auto"/>
        </w:rPr>
        <w:t>Registration Statement Securities</w:t>
      </w:r>
      <w:r>
        <w:rPr>
          <w:rFonts w:ascii="Arial" w:cs="Arial" w:eastAsia="Arial" w:hAnsi="Arial"/>
          <w:sz w:val="17"/>
          <w:szCs w:val="17"/>
          <w:color w:val="auto"/>
        </w:rPr>
        <w:t>”). Each of Acquiror and the Company shall use its reasonable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Acquiror also agrees to use its reasonable efforts to obtain all necessary state Securities Law or “Blue Sky” Permits required to carry out the Transactions, and the Company shall furnish all information concerning the Company, its Subsidiaries and any of their respective members or stockholders as may be reasonably requested in connection with any such action. Each of Acquiror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Nasdaq) in connection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00"/>
          </w:cols>
          <w:pgMar w:left="320" w:top="459" w:right="47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with the Mergers and the other Transactions (the “</w:t>
      </w:r>
      <w:r>
        <w:rPr>
          <w:rFonts w:ascii="Arial" w:cs="Arial" w:eastAsia="Arial" w:hAnsi="Arial"/>
          <w:sz w:val="18"/>
          <w:szCs w:val="18"/>
          <w:u w:val="single" w:color="auto"/>
          <w:color w:val="auto"/>
        </w:rPr>
        <w:t>Offer Documents</w:t>
      </w:r>
      <w:r>
        <w:rPr>
          <w:rFonts w:ascii="Arial" w:cs="Arial" w:eastAsia="Arial" w:hAnsi="Arial"/>
          <w:sz w:val="18"/>
          <w:szCs w:val="18"/>
          <w:color w:val="auto"/>
        </w:rPr>
        <w:t>”). Acquiror will cause the Proxy Statement/Registration Statement to be mailed to the Acquiror Stockholders in each case promptly after the Registration Statement is declared effective under the Securities Act.</w:t>
      </w:r>
    </w:p>
    <w:p>
      <w:pPr>
        <w:spacing w:after="0" w:line="76" w:lineRule="exact"/>
        <w:rPr>
          <w:sz w:val="20"/>
          <w:szCs w:val="20"/>
          <w:color w:val="auto"/>
        </w:rPr>
      </w:pPr>
    </w:p>
    <w:p>
      <w:pPr>
        <w:ind w:left="1100" w:right="100" w:firstLine="408"/>
        <w:spacing w:after="0" w:line="286" w:lineRule="auto"/>
        <w:tabs>
          <w:tab w:leader="none" w:pos="1766" w:val="left"/>
        </w:tabs>
        <w:numPr>
          <w:ilvl w:val="1"/>
          <w:numId w:val="402"/>
        </w:numPr>
        <w:rPr>
          <w:rFonts w:ascii="Arial" w:cs="Arial" w:eastAsia="Arial" w:hAnsi="Arial"/>
          <w:sz w:val="16"/>
          <w:szCs w:val="16"/>
          <w:color w:val="auto"/>
        </w:rPr>
      </w:pPr>
      <w:r>
        <w:rPr>
          <w:rFonts w:ascii="Arial" w:cs="Arial" w:eastAsia="Arial" w:hAnsi="Arial"/>
          <w:sz w:val="16"/>
          <w:szCs w:val="16"/>
          <w:color w:val="auto"/>
        </w:rPr>
        <w:t>To the extent not prohibited by Law, Acquiror will advise the Company, reasonably promptly after Acquiror receives notice thereof, of the time when the Proxy Statement/Registration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Statement/Registration Statement or for additional information. To the extent not prohibited by Law, the Company and its counsel shall be given a reasonable opportunity to review and comment on the Proxy Statement/Registration Statement and any Offer Document each time before any such document is filed with the SEC, and Acquiror shall give reasonable and good faith consideration to any comments made by the Company and its counsel. To the extent not prohibited by Law, Acquiror shall provide the Company and its counsel with (A) any comments or other communications, whether written or oral, that Acquiror or its counsel may receive from time to time from the SEC or its staff with respect to the Proxy Statement/Registration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65" w:lineRule="exact"/>
        <w:rPr>
          <w:rFonts w:ascii="Arial" w:cs="Arial" w:eastAsia="Arial" w:hAnsi="Arial"/>
          <w:sz w:val="16"/>
          <w:szCs w:val="16"/>
          <w:color w:val="auto"/>
        </w:rPr>
      </w:pPr>
    </w:p>
    <w:p>
      <w:pPr>
        <w:ind w:left="1100" w:right="20" w:firstLine="408"/>
        <w:spacing w:after="0" w:line="272" w:lineRule="auto"/>
        <w:tabs>
          <w:tab w:leader="none" w:pos="1816" w:val="left"/>
        </w:tabs>
        <w:numPr>
          <w:ilvl w:val="1"/>
          <w:numId w:val="402"/>
        </w:numPr>
        <w:rPr>
          <w:rFonts w:ascii="Arial" w:cs="Arial" w:eastAsia="Arial" w:hAnsi="Arial"/>
          <w:sz w:val="17"/>
          <w:szCs w:val="17"/>
          <w:color w:val="auto"/>
        </w:rPr>
      </w:pPr>
      <w:r>
        <w:rPr>
          <w:rFonts w:ascii="Arial" w:cs="Arial" w:eastAsia="Arial" w:hAnsi="Arial"/>
          <w:sz w:val="17"/>
          <w:szCs w:val="17"/>
          <w:color w:val="auto"/>
        </w:rPr>
        <w:t>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Stockholders and at the time of the Special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69" w:lineRule="exact"/>
        <w:rPr>
          <w:rFonts w:ascii="Arial" w:cs="Arial" w:eastAsia="Arial" w:hAnsi="Arial"/>
          <w:sz w:val="17"/>
          <w:szCs w:val="17"/>
          <w:color w:val="auto"/>
        </w:rPr>
      </w:pPr>
    </w:p>
    <w:p>
      <w:pPr>
        <w:ind w:left="1100" w:firstLine="408"/>
        <w:spacing w:after="0" w:line="272" w:lineRule="auto"/>
        <w:tabs>
          <w:tab w:leader="none" w:pos="1806" w:val="left"/>
        </w:tabs>
        <w:numPr>
          <w:ilvl w:val="1"/>
          <w:numId w:val="402"/>
        </w:numPr>
        <w:rPr>
          <w:rFonts w:ascii="Arial" w:cs="Arial" w:eastAsia="Arial" w:hAnsi="Arial"/>
          <w:sz w:val="17"/>
          <w:szCs w:val="17"/>
          <w:color w:val="auto"/>
        </w:rPr>
      </w:pPr>
      <w:r>
        <w:rPr>
          <w:rFonts w:ascii="Arial" w:cs="Arial" w:eastAsia="Arial" w:hAnsi="Arial"/>
          <w:sz w:val="17"/>
          <w:szCs w:val="17"/>
          <w:color w:val="auto"/>
        </w:rPr>
        <w:t>If at any time prior to the First Effective Time any information relating to the Company, Acquiror or any of their respective Subsidiaries, Affiliates, directors or officers is discovered by the Company or Acquiror, which is required to be set forth in an amendment or supplement to the Proxy Statement or the 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Acquiror Stockholders.</w:t>
      </w:r>
    </w:p>
    <w:p>
      <w:pPr>
        <w:spacing w:after="0" w:line="69" w:lineRule="exact"/>
        <w:rPr>
          <w:rFonts w:ascii="Arial" w:cs="Arial" w:eastAsia="Arial" w:hAnsi="Arial"/>
          <w:sz w:val="17"/>
          <w:szCs w:val="17"/>
          <w:color w:val="auto"/>
        </w:rPr>
      </w:pPr>
    </w:p>
    <w:p>
      <w:pPr>
        <w:ind w:left="1100" w:right="140" w:firstLine="408"/>
        <w:spacing w:after="0" w:line="286" w:lineRule="auto"/>
        <w:tabs>
          <w:tab w:leader="none" w:pos="1755" w:val="left"/>
        </w:tabs>
        <w:numPr>
          <w:ilvl w:val="1"/>
          <w:numId w:val="402"/>
        </w:numPr>
        <w:rPr>
          <w:rFonts w:ascii="Arial" w:cs="Arial" w:eastAsia="Arial" w:hAnsi="Arial"/>
          <w:sz w:val="16"/>
          <w:szCs w:val="16"/>
          <w:color w:val="auto"/>
        </w:rPr>
      </w:pPr>
      <w:r>
        <w:rPr>
          <w:rFonts w:ascii="Arial" w:cs="Arial" w:eastAsia="Arial" w:hAnsi="Arial"/>
          <w:sz w:val="16"/>
          <w:szCs w:val="16"/>
          <w:u w:val="single" w:color="auto"/>
          <w:color w:val="auto"/>
        </w:rPr>
        <w:t>Acquiror Special Meeting</w:t>
      </w:r>
      <w:r>
        <w:rPr>
          <w:rFonts w:ascii="Arial" w:cs="Arial" w:eastAsia="Arial" w:hAnsi="Arial"/>
          <w:sz w:val="16"/>
          <w:szCs w:val="16"/>
          <w:color w:val="auto"/>
        </w:rPr>
        <w:t>. Acquiror shall, prior to or as promptly as practicable after the Registration Statement is declared effective under the Securities Act, establish a record date (which date shall be mutually agreed with the Company, acting reasonably) for, give notice of and duly call a meeting of the Acquiror Stockholders (the “</w:t>
      </w:r>
      <w:r>
        <w:rPr>
          <w:rFonts w:ascii="Arial" w:cs="Arial" w:eastAsia="Arial" w:hAnsi="Arial"/>
          <w:sz w:val="16"/>
          <w:szCs w:val="16"/>
          <w:u w:val="single" w:color="auto"/>
          <w:color w:val="auto"/>
        </w:rPr>
        <w:t>Special Meeting</w:t>
      </w:r>
      <w:r>
        <w:rPr>
          <w:rFonts w:ascii="Arial" w:cs="Arial" w:eastAsia="Arial" w:hAnsi="Arial"/>
          <w:sz w:val="16"/>
          <w:szCs w:val="16"/>
          <w:color w:val="auto"/>
        </w:rPr>
        <w:t>”), which meeting shall be held not more than thirty (30) days after the date on which the Registration Statement is declared effective, for the purpose of, among other things:</w:t>
      </w:r>
    </w:p>
    <w:p>
      <w:pPr>
        <w:spacing w:after="0" w:line="1" w:lineRule="exact"/>
        <w:rPr>
          <w:rFonts w:ascii="Arial" w:cs="Arial" w:eastAsia="Arial" w:hAnsi="Arial"/>
          <w:sz w:val="16"/>
          <w:szCs w:val="16"/>
          <w:color w:val="auto"/>
        </w:rPr>
      </w:pPr>
    </w:p>
    <w:p>
      <w:pPr>
        <w:ind w:left="1100" w:right="100" w:firstLine="7"/>
        <w:spacing w:after="0" w:line="281" w:lineRule="auto"/>
        <w:tabs>
          <w:tab w:leader="none" w:pos="139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providing Acquiror Stockholders with the opportunity to redeem shares of Acquiror Common Stock by tendering such shares for redemption not later than 5:00 p.m. Eastern Time on the date that is two (2) Business Days prior to the date of the Special Meeting (the “</w:t>
      </w:r>
      <w:r>
        <w:rPr>
          <w:rFonts w:ascii="Arial" w:cs="Arial" w:eastAsia="Arial" w:hAnsi="Arial"/>
          <w:sz w:val="16"/>
          <w:szCs w:val="16"/>
          <w:u w:val="single" w:color="auto"/>
          <w:color w:val="auto"/>
        </w:rPr>
        <w:t>Acquiror Stockholder Redemption</w:t>
      </w:r>
      <w:r>
        <w:rPr>
          <w:rFonts w:ascii="Arial" w:cs="Arial" w:eastAsia="Arial" w:hAnsi="Arial"/>
          <w:sz w:val="16"/>
          <w:szCs w:val="16"/>
          <w:color w:val="auto"/>
        </w:rPr>
        <w:t>”); and (B) soliciting proxies from holders of Acquiror Common Stock to vote at the Special Meeting, as adjourned or postponed, in favor of: (1) the adoption of this Agreement and approval of the Transactions (including the First Merger);</w:t>
      </w:r>
    </w:p>
    <w:p>
      <w:pPr>
        <w:spacing w:after="0" w:line="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(2) the issuance of shares of Acquiror Common Stock in connection with the First Merger (including as may be required under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3" w:lineRule="auto"/>
        <w:rPr>
          <w:sz w:val="20"/>
          <w:szCs w:val="20"/>
          <w:color w:val="auto"/>
        </w:rPr>
      </w:pPr>
      <w:r>
        <w:rPr>
          <w:rFonts w:ascii="Arial" w:cs="Arial" w:eastAsia="Arial" w:hAnsi="Arial"/>
          <w:sz w:val="16"/>
          <w:szCs w:val="16"/>
          <w:color w:val="auto"/>
        </w:rPr>
        <w:t xml:space="preserve">Nasdaq); (3) the amendment and restatement of the Certificate of Incorporation in the form of the Acquiror Charter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(4) the appointment of the individuals to the Acquiror’s board of directors in accordance with </w:t>
      </w:r>
      <w:r>
        <w:rPr>
          <w:rFonts w:ascii="Arial" w:cs="Arial" w:eastAsia="Arial" w:hAnsi="Arial"/>
          <w:sz w:val="16"/>
          <w:szCs w:val="16"/>
          <w:u w:val="single" w:color="auto"/>
          <w:color w:val="auto"/>
        </w:rPr>
        <w:t>Section 8.09</w:t>
      </w:r>
      <w:r>
        <w:rPr>
          <w:rFonts w:ascii="Arial" w:cs="Arial" w:eastAsia="Arial" w:hAnsi="Arial"/>
          <w:sz w:val="16"/>
          <w:szCs w:val="16"/>
          <w:color w:val="auto"/>
        </w:rPr>
        <w:t>, and the designation of the classes of such appointees to the Acquiror’s board of directors; (5) the approval of the adoption of the Incentive Equity Plan and the ESPP; (6) any other proposals as either the SEC or Nasdaq (or the respective staff members thereof) may indicate are necessary in its comments to the Registration Statement or in correspondence related thereto, or any other proposals the Parties agree are necessary or desirable to consummate the Transactions; and (7) adoption and approval of any other proposals as reasonably agreed by Acquiror and the Company to be necessary or appropriate in connection with the Transactions; and (8) the adjournment of the Special Meeting, if necessary, to permit further solicitation of proxies because there are not sufficient votes to approve and adopt any of the foregoing (collectively, the “</w:t>
      </w:r>
      <w:r>
        <w:rPr>
          <w:rFonts w:ascii="Arial" w:cs="Arial" w:eastAsia="Arial" w:hAnsi="Arial"/>
          <w:sz w:val="16"/>
          <w:szCs w:val="16"/>
          <w:u w:val="single" w:color="auto"/>
          <w:color w:val="auto"/>
        </w:rPr>
        <w:t>Acquiror Stockholder Matters</w:t>
      </w:r>
      <w:r>
        <w:rPr>
          <w:rFonts w:ascii="Arial" w:cs="Arial" w:eastAsia="Arial" w:hAnsi="Arial"/>
          <w:sz w:val="16"/>
          <w:szCs w:val="16"/>
          <w:color w:val="auto"/>
        </w:rPr>
        <w:t>”). Acquiror shall include the Acquiror Board Recommendation in the Proxy Statement. The board of directors of Acquiror shall not (and no committee or subgroup thereof shall) change, withdraw, withhold, qualify or modify, or publicly propose to change, withdraw, withhold, qualify or modify, the Acquiror Board Recommendation for any reason (together with any change, withdrawal, withholding, qualification or modification of its recommendation to the Acquiror Stockholders described in the Recitals hereto,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To the fullest extent permitted by applicable Law, (A) Acquiror agrees that its obligation to establish a record date for, duly call, give notice of, convene and hold the Special Meeting for the purpose of seeking the Acquiror Stockholder Approval shall not be affected by any Change in Recommendation or other intervening event or circumstance, (B) Acquiror agrees to establish a record date for, duly call, give notice of, convene and hold the Special Meeting and submit for the approval of its stockholders the Acquiror Stockholder Matters, in each case in accordance with this Agreement, regardless of any Change in Recommendation or other intervening event or circumstance, and (C) Acquiror agrees that if the Acquiror Stockholder Approval shall not have been obtained at any such Special Meeting, then Acquiror shall promptly continue to take all such necessary actions, including the actions required by this </w:t>
      </w:r>
      <w:r>
        <w:rPr>
          <w:rFonts w:ascii="Arial" w:cs="Arial" w:eastAsia="Arial" w:hAnsi="Arial"/>
          <w:sz w:val="16"/>
          <w:szCs w:val="16"/>
          <w:u w:val="single" w:color="auto"/>
          <w:color w:val="auto"/>
        </w:rPr>
        <w:t>Section 9.02(a)(v)</w:t>
      </w:r>
      <w:r>
        <w:rPr>
          <w:rFonts w:ascii="Arial" w:cs="Arial" w:eastAsia="Arial" w:hAnsi="Arial"/>
          <w:sz w:val="16"/>
          <w:szCs w:val="16"/>
          <w:color w:val="auto"/>
        </w:rPr>
        <w:t xml:space="preserve">, and hold additional Special Meetings in order to obtain such approval. Acquiror may only postpone or adjourn the Special Meeting (and, in the case of the following clauses (ii) and (iii), at the request of the Company, shall postpone or adjourn), for a period of no longer than fifteen (15) days and on a date no later than five (5) Business Days prior to the Termination Date: (i) to ensure that any supplement or amendment to the Proxy Statement that the board of directors of Acquiror has determined in good faith after consultation with outside legal counsel is required by applicable Law is disclosed to Acquiror Stockholders and for such supplement or amendment to be promptly disseminated to Acquiror Stockholders prior to the Special Meeting; (ii) if, as of the time for which the Special Meeting is originally scheduled (as set forth in the Proxy Statement), there are insufficient shares of Acquiror Common Stock represented (either in person or by proxy) to constitute a quorum necessary to conduct the business to be conducted at the Special Meeting; (iii) in order to solicit additional proxies from stockholders for purposes of obtaining the Acquiror Stockholder Approval; or (iv) only with the prior written consent of the Company, for purposes of satisfying the condition set forth in </w:t>
      </w:r>
      <w:r>
        <w:rPr>
          <w:rFonts w:ascii="Arial" w:cs="Arial" w:eastAsia="Arial" w:hAnsi="Arial"/>
          <w:sz w:val="16"/>
          <w:szCs w:val="16"/>
          <w:u w:val="single" w:color="auto"/>
          <w:color w:val="auto"/>
        </w:rPr>
        <w:t>Section 10.03(c)</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 longer adjournment or postponement period specified at the beginning of this sentence, in the event of any such postponement or adjournment, the Special Meeting shall be reconvened as promptly as practicable following such time as the matters described in such clauses have been resolved.</w:t>
      </w: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59" w:lineRule="auto"/>
        <w:tabs>
          <w:tab w:leader="none" w:pos="1228" w:val="left"/>
        </w:tabs>
        <w:numPr>
          <w:ilvl w:val="0"/>
          <w:numId w:val="404"/>
        </w:numPr>
        <w:rPr>
          <w:rFonts w:ascii="Arial" w:cs="Arial" w:eastAsia="Arial" w:hAnsi="Arial"/>
          <w:sz w:val="18"/>
          <w:szCs w:val="18"/>
          <w:color w:val="auto"/>
        </w:rPr>
      </w:pPr>
      <w:r>
        <w:rPr>
          <w:rFonts w:ascii="Arial" w:cs="Arial" w:eastAsia="Arial" w:hAnsi="Arial"/>
          <w:sz w:val="18"/>
          <w:szCs w:val="18"/>
          <w:color w:val="auto"/>
        </w:rPr>
        <w:t>During the Interim Period, the Company shall not take, and it shall direct its Affiliates and Representatives not to take, whether directly or indirectly, any action to (i) solicit, initiate, continue or engage in discussions or negotiations with, or enter into any agreement with, or knowingly encourage, respond to, or provide information to, any Person (other than Acquiror and/or any of its Affiliates or Representatives) concerning any merger, recapitalization or similar business combination transaction, or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00"/>
          </w:cols>
          <w:pgMar w:left="320" w:top="459" w:right="47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sale of substantially all of the assets involving the Company and its Subsidiaries, taken as a whole (each such acquisition transaction, but excluding the Transactions, an “</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xml:space="preserve">”) or (ii) commence, continue or renew any due diligence investigation regarding, or that is reasonably likely to give rise to or result in, any offer, inquiry, proposal or indication of interest, written or oral, with respect to, or which is reasonably likely to give rise to or result in, an Acquisition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execution, delivery and performance of this Agreement and the other Transaction Agreements and the consummation of the Transactions shall not be deemed a violation of this </w:t>
      </w:r>
      <w:r>
        <w:rPr>
          <w:rFonts w:ascii="Arial" w:cs="Arial" w:eastAsia="Arial" w:hAnsi="Arial"/>
          <w:sz w:val="16"/>
          <w:szCs w:val="16"/>
          <w:u w:val="single" w:color="auto"/>
          <w:color w:val="auto"/>
        </w:rPr>
        <w:t>Section 9.03(a)</w:t>
      </w:r>
      <w:r>
        <w:rPr>
          <w:rFonts w:ascii="Arial" w:cs="Arial" w:eastAsia="Arial" w:hAnsi="Arial"/>
          <w:sz w:val="16"/>
          <w:szCs w:val="16"/>
          <w:color w:val="auto"/>
        </w:rPr>
        <w:t>. The Company shall, and shall direct its Affiliates and Representatives to, immediately cease any and all existing discussions or negotiations with any Person conducted prior to the date hereof with respect to, or which is reasonably likely to give rise to or result in, an Acquisition Transaction.</w:t>
      </w:r>
    </w:p>
    <w:p>
      <w:pPr>
        <w:spacing w:after="0" w:line="58" w:lineRule="exact"/>
        <w:rPr>
          <w:sz w:val="20"/>
          <w:szCs w:val="20"/>
          <w:color w:val="auto"/>
        </w:rPr>
      </w:pPr>
    </w:p>
    <w:p>
      <w:pPr>
        <w:ind w:left="560" w:firstLine="419"/>
        <w:spacing w:after="0" w:line="253" w:lineRule="auto"/>
        <w:tabs>
          <w:tab w:leader="none" w:pos="123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During the Interim Period, Acquiror shall not take, nor shall it permit any of its Affiliates or Representatives to take, whether directly or indirectly, any action to solicit, initiate, continue or engage in discussions or negotiations with, or enter into any agreement with, or encourage, respond to, provide information to or commence due diligence with respect to, any Person (other than the Company, its shareholders and/or any of their Affiliates or Representatives), concerning, relating to or which is intended or is reasonably likely to give rise to or result in, any offer, inquiry, proposal or indication of interest, written or oral relating to any Business Combination (a “</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other than with the Company, its shareholders and their respective Affiliates and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execution, delivery and performance of this Agreement and the other Transaction Agreements and the consummation of the Transactions shall not be deemed a violation of this </w:t>
      </w:r>
      <w:r>
        <w:rPr>
          <w:rFonts w:ascii="Arial" w:cs="Arial" w:eastAsia="Arial" w:hAnsi="Arial"/>
          <w:sz w:val="18"/>
          <w:szCs w:val="18"/>
          <w:u w:val="single" w:color="auto"/>
          <w:color w:val="auto"/>
        </w:rPr>
        <w:t>Section 9.03(b)</w:t>
      </w:r>
      <w:r>
        <w:rPr>
          <w:rFonts w:ascii="Arial" w:cs="Arial" w:eastAsia="Arial" w:hAnsi="Arial"/>
          <w:sz w:val="18"/>
          <w:szCs w:val="18"/>
          <w:color w:val="auto"/>
        </w:rPr>
        <w:t>. Acquiror shall, and shall direct its Representatives to, immediately cease any and all existing discussions or negotiations with any Person conducted prior to the date hereof with respect to, or which is reasonably likely to give rise to or result in, a Business Combination Proposal.</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59" w:lineRule="auto"/>
        <w:tabs>
          <w:tab w:leader="none" w:pos="122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Acquiror shall pay all transfer, documentary, sales, use, stamp, registration, value-added or other similar Taxes incurred in connection with the Transactions (collectively “</w:t>
      </w:r>
      <w:r>
        <w:rPr>
          <w:rFonts w:ascii="Arial" w:cs="Arial" w:eastAsia="Arial" w:hAnsi="Arial"/>
          <w:sz w:val="18"/>
          <w:szCs w:val="18"/>
          <w:u w:val="single" w:color="auto"/>
          <w:color w:val="auto"/>
        </w:rPr>
        <w:t>Transfer Taxes</w:t>
      </w:r>
      <w:r>
        <w:rPr>
          <w:rFonts w:ascii="Arial" w:cs="Arial" w:eastAsia="Arial" w:hAnsi="Arial"/>
          <w:sz w:val="18"/>
          <w:szCs w:val="18"/>
          <w:color w:val="auto"/>
        </w:rPr>
        <w:t>”). Acquiror shall, at its own expense, file all necessary Tax Returns with respect to all such Taxes, and, if required by applicable Law, the Company will join in the execution of any such Tax Returns.</w:t>
      </w:r>
    </w:p>
    <w:p>
      <w:pPr>
        <w:spacing w:after="0" w:line="78" w:lineRule="exact"/>
        <w:rPr>
          <w:rFonts w:ascii="Arial" w:cs="Arial" w:eastAsia="Arial" w:hAnsi="Arial"/>
          <w:sz w:val="18"/>
          <w:szCs w:val="18"/>
          <w:color w:val="auto"/>
        </w:rPr>
      </w:pPr>
    </w:p>
    <w:p>
      <w:pPr>
        <w:ind w:left="560" w:right="20" w:firstLine="419"/>
        <w:spacing w:after="0" w:line="283" w:lineRule="auto"/>
        <w:tabs>
          <w:tab w:leader="none" w:pos="1238" w:val="left"/>
        </w:tabs>
        <w:numPr>
          <w:ilvl w:val="1"/>
          <w:numId w:val="406"/>
        </w:numPr>
        <w:rPr>
          <w:rFonts w:ascii="Arial" w:cs="Arial" w:eastAsia="Arial" w:hAnsi="Arial"/>
          <w:sz w:val="16"/>
          <w:szCs w:val="16"/>
          <w:color w:val="auto"/>
        </w:rPr>
      </w:pPr>
      <w:r>
        <w:rPr>
          <w:rFonts w:ascii="Arial" w:cs="Arial" w:eastAsia="Arial" w:hAnsi="Arial"/>
          <w:sz w:val="16"/>
          <w:szCs w:val="16"/>
          <w:color w:val="auto"/>
        </w:rPr>
        <w:t>For U.S. federal income tax purposes (and for purposes of any applicable state or local Income Tax that follows the U.S. federal income tax treatment of the Mergers), each of the Parties intends that the First Merger and the Second Merger, taken together, will constitute an integrated transaction that qualifies as a “reorganization” within the meaning of Section 368(a) of the Code and the Treasury Regulations thereunder to which each of the Acquiror and the Company are parties under Section 368(b) of the Code (collectively, the “</w:t>
      </w:r>
      <w:r>
        <w:rPr>
          <w:rFonts w:ascii="Arial" w:cs="Arial" w:eastAsia="Arial" w:hAnsi="Arial"/>
          <w:sz w:val="16"/>
          <w:szCs w:val="16"/>
          <w:u w:val="single" w:color="auto"/>
          <w:color w:val="auto"/>
        </w:rPr>
        <w:t>Intended Income Tax Treatment</w:t>
      </w:r>
      <w:r>
        <w:rPr>
          <w:rFonts w:ascii="Arial" w:cs="Arial" w:eastAsia="Arial" w:hAnsi="Arial"/>
          <w:sz w:val="16"/>
          <w:szCs w:val="16"/>
          <w:color w:val="auto"/>
        </w:rPr>
        <w:t>”). The Parties will prepare and file all Tax Returns consistent with the Intended Income Tax Treatment and will not take any inconsistent position on any Tax Return or during the course of any audit, litigation or other proceeding with respect to Taxes, except (i) if the Company has not elected the application of the Minimum Share Consideration and the Intended Income Tax Treatment does not satisfy a “more likely than not” Tax reporting standard because the Share Consideration Percentage is less than forty percent (40%) or (ii) as otherwise required by a change in applicable Law after the date hereof or a determination within the meaning of Section 1313(a) of the Code. Each of the Parties agrees to</w:t>
      </w:r>
    </w:p>
    <w:p>
      <w:pPr>
        <w:spacing w:after="0" w:line="5" w:lineRule="exact"/>
        <w:rPr>
          <w:rFonts w:ascii="Arial" w:cs="Arial" w:eastAsia="Arial" w:hAnsi="Arial"/>
          <w:sz w:val="16"/>
          <w:szCs w:val="16"/>
          <w:color w:val="auto"/>
        </w:rPr>
      </w:pPr>
    </w:p>
    <w:p>
      <w:pPr>
        <w:ind w:left="560" w:right="180" w:hanging="4"/>
        <w:spacing w:after="0" w:line="290" w:lineRule="auto"/>
        <w:tabs>
          <w:tab w:leader="none" w:pos="81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 xml:space="preserve">promptly notify all other Parties of any challenge to the Intended Income Tax Treatment by any Governmental Authority, and (y) cooperate with each other and their respective counsel to document and provide factual support for the Intended Income Tax Treatment, including by reasonably cooperating to provide factual support letters (except to the extent clause (i) of the prior sentence is applicable). For purposes of this </w:t>
      </w:r>
      <w:r>
        <w:rPr>
          <w:rFonts w:ascii="Arial" w:cs="Arial" w:eastAsia="Arial" w:hAnsi="Arial"/>
          <w:sz w:val="16"/>
          <w:szCs w:val="16"/>
          <w:u w:val="single" w:color="auto"/>
          <w:color w:val="auto"/>
        </w:rPr>
        <w:t>Section 9.04(b)</w:t>
      </w:r>
      <w:r>
        <w:rPr>
          <w:rFonts w:ascii="Arial" w:cs="Arial" w:eastAsia="Arial" w:hAnsi="Arial"/>
          <w:sz w:val="16"/>
          <w:szCs w:val="16"/>
          <w:color w:val="auto"/>
        </w:rPr>
        <w:t>: the “Share Consideration Percentage” shall mean a fraction, expressed as a percentage, (A) the numerator of which is the Share Consideration Value; and (B) the denominator of which is the sum of (I) the Share Consideration Value and (II) the portion of the Closing Cash Consideration paid to holders of Company Stock in the Mergers; and the “Share Consideration Value” shall mean the value as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00"/>
          </w:cols>
          <w:pgMar w:left="320" w:top="459" w:right="47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of the Closing Date of the Closing Share Consideration paid to holders of Company Stock in the Mergers, determined using the volume weighted average of trading prices of Acquiror Common Stock on the Closing Date (as reported by Bloomberg L.P., or, if not reported therein, in another authoritative source).</w:t>
      </w:r>
    </w:p>
    <w:p>
      <w:pPr>
        <w:spacing w:after="0" w:line="76" w:lineRule="exact"/>
        <w:rPr>
          <w:sz w:val="20"/>
          <w:szCs w:val="20"/>
          <w:color w:val="auto"/>
        </w:rPr>
      </w:pPr>
    </w:p>
    <w:p>
      <w:pPr>
        <w:ind w:left="560" w:right="40" w:firstLine="419"/>
        <w:spacing w:after="0" w:line="257" w:lineRule="auto"/>
        <w:tabs>
          <w:tab w:leader="none" w:pos="122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No Party shall take or cause to be taken any action, or fail to take or cause to be taken any action, which action or failure to act would reasonably be expected to prevent the First Merger and Second Merger from so qualifying for the Intended Income Tax Treatment (provided that, for the avoidance of doubt, nothing in this </w:t>
      </w:r>
      <w:r>
        <w:rPr>
          <w:rFonts w:ascii="Arial" w:cs="Arial" w:eastAsia="Arial" w:hAnsi="Arial"/>
          <w:sz w:val="18"/>
          <w:szCs w:val="18"/>
          <w:u w:val="single" w:color="auto"/>
          <w:color w:val="auto"/>
        </w:rPr>
        <w:t>Section 9.04(c)</w:t>
      </w:r>
      <w:r>
        <w:rPr>
          <w:rFonts w:ascii="Arial" w:cs="Arial" w:eastAsia="Arial" w:hAnsi="Arial"/>
          <w:sz w:val="18"/>
          <w:szCs w:val="18"/>
          <w:color w:val="auto"/>
        </w:rPr>
        <w:t xml:space="preserve"> or any other provision in this Agreement shall constitute a representation or warranty abut the Company making or not making, or shall place any limit on the Company’s choice regarding making or not making, the election to apply the Minimum Share Consideration).</w:t>
      </w:r>
    </w:p>
    <w:p>
      <w:pPr>
        <w:spacing w:after="0" w:line="79" w:lineRule="exact"/>
        <w:rPr>
          <w:rFonts w:ascii="Arial" w:cs="Arial" w:eastAsia="Arial" w:hAnsi="Arial"/>
          <w:sz w:val="18"/>
          <w:szCs w:val="18"/>
          <w:color w:val="auto"/>
        </w:rPr>
      </w:pPr>
    </w:p>
    <w:p>
      <w:pPr>
        <w:ind w:left="560" w:right="20" w:firstLine="419"/>
        <w:spacing w:after="0" w:line="277" w:lineRule="auto"/>
        <w:tabs>
          <w:tab w:leader="none" w:pos="123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Company, Acquiror, First Merger Sub and Second Merger Sub hereby adopt this Agreement as a “plan of reorganization” within the meaning of Treasury Regulation Sections 1.368-2(g) and 1.368-3(a).</w:t>
      </w:r>
    </w:p>
    <w:p>
      <w:pPr>
        <w:spacing w:after="0" w:line="62" w:lineRule="exact"/>
        <w:rPr>
          <w:rFonts w:ascii="Arial" w:cs="Arial" w:eastAsia="Arial" w:hAnsi="Arial"/>
          <w:sz w:val="18"/>
          <w:szCs w:val="18"/>
          <w:color w:val="auto"/>
        </w:rPr>
      </w:pPr>
    </w:p>
    <w:p>
      <w:pPr>
        <w:ind w:left="1220" w:hanging="241"/>
        <w:spacing w:after="0"/>
        <w:tabs>
          <w:tab w:leader="none" w:pos="122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Any and all Tax allocation or Tax sharing agreements between the Company or any of its Subsidiaries, on the one hand, and any</w:t>
      </w:r>
    </w:p>
    <w:p>
      <w:pPr>
        <w:spacing w:after="0" w:line="35" w:lineRule="exact"/>
        <w:rPr>
          <w:sz w:val="20"/>
          <w:szCs w:val="20"/>
          <w:color w:val="auto"/>
        </w:rPr>
      </w:pPr>
    </w:p>
    <w:p>
      <w:pPr>
        <w:ind w:left="560" w:right="80"/>
        <w:spacing w:after="0" w:line="252" w:lineRule="auto"/>
        <w:rPr>
          <w:sz w:val="20"/>
          <w:szCs w:val="20"/>
          <w:color w:val="auto"/>
        </w:rPr>
      </w:pPr>
      <w:r>
        <w:rPr>
          <w:rFonts w:ascii="Arial" w:cs="Arial" w:eastAsia="Arial" w:hAnsi="Arial"/>
          <w:sz w:val="18"/>
          <w:szCs w:val="18"/>
          <w:color w:val="auto"/>
        </w:rPr>
        <w:t>Pre-Closing Holder or any of its Affiliates (other than the Company and its Subsidiaries), on the other hand, shall be terminated as of the Closing Date and, from and after the Closing Date, neither the Company nor any of its Subsidiaries shall be obligated to make any payment pursuant to any such agreement for any past or future period. Any and all Tax allocation or Tax sharing agreements between Acquiror or any of its Subsidiaries, on the one hand, and any direct or indirect equityholder of Acquiror (or their Affiliates), on the other hand, shall be terminated as of the Closing Date and, from and after the Closing Date, neither Acquiror nor any of its Subsidiaries shall be obligated to make any payment pursuant to any such agreement for any past or future period.</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Confidentiality; Publicity</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4" w:lineRule="auto"/>
        <w:tabs>
          <w:tab w:leader="none" w:pos="1228"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Acquiror acknowledges that the information being provided to it in connection with this Agreement and the consummation of the transactions contemplated hereby and thereby is subject to the terms of the Confidentiality Agreement, the terms of which are incorporated herein by reference. The Confidentiality Agreement shall survive the execution and delivery of this Agreement and shall apply to all information furnished thereunder or hereunder and any other activities contemplated hereby and thereby. The Company acknowledges that, in connection with the PIPE Investment, Acquiror shall be entitled to disclose, pursuant to the Exchange Act, any information contained in any presentation to the PIPE Investors, which information may include Evaluation Material (as defined in the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Acquiror provides the Company with a reasonable opportunity to review and provide comments to such presentation and the Company consents to the contents thereof.</w:t>
      </w:r>
    </w:p>
    <w:p>
      <w:pPr>
        <w:spacing w:after="0" w:line="83" w:lineRule="exact"/>
        <w:rPr>
          <w:rFonts w:ascii="Arial" w:cs="Arial" w:eastAsia="Arial" w:hAnsi="Arial"/>
          <w:sz w:val="18"/>
          <w:szCs w:val="18"/>
          <w:color w:val="auto"/>
        </w:rPr>
      </w:pPr>
    </w:p>
    <w:p>
      <w:pPr>
        <w:ind w:left="560" w:firstLine="419"/>
        <w:spacing w:after="0" w:line="268" w:lineRule="auto"/>
        <w:tabs>
          <w:tab w:leader="none" w:pos="1238" w:val="left"/>
        </w:tabs>
        <w:numPr>
          <w:ilvl w:val="0"/>
          <w:numId w:val="409"/>
        </w:numPr>
        <w:rPr>
          <w:rFonts w:ascii="Arial" w:cs="Arial" w:eastAsia="Arial" w:hAnsi="Arial"/>
          <w:sz w:val="17"/>
          <w:szCs w:val="17"/>
          <w:color w:val="auto"/>
        </w:rPr>
      </w:pPr>
      <w:r>
        <w:rPr>
          <w:rFonts w:ascii="Arial" w:cs="Arial" w:eastAsia="Arial" w:hAnsi="Arial"/>
          <w:sz w:val="17"/>
          <w:szCs w:val="17"/>
          <w:color w:val="auto"/>
        </w:rPr>
        <w:t xml:space="preserve">The Company and the Acquiror shall reasonably cooperate to create and implement a communications plan regarding the Transactions promptly following the date hereof. Notwithstanding the foregoing, none of Acquiror, the Company or any of their respective Affiliates shall make any public announcement or issue any public communication regarding this Agreement or the Transactions, or any matter related to the foregoing, without first obtaining the prior consent of the Company or Acquiror, as applicable (which consent shall not be unreasonably withheld, conditioned or delayed), except (i) if such announcement or other communication is required by applicable Law or legal process (including pursuant to the Securities Laws or the rules of any national securities exchange), in which case Acquiror or the Company, as applicable, shall use their reasonable efforts to obtain such consent with respect to such announcement or communication with the other Party, prior to announcement or issuance; and (ii) subject to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each Party and its Affiliates may make announcements regarding the status and terms (including price terms) of this Agreement and the transactions contemplated hereby to their respective directors, officers, employees, direct and indirect current or prospective limited partners and investors or otherwise in the ordinary course of their respective businesses, in each case, so long as such recipients are obligated to keep such information confidential, without the consent of any other Party;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9.05</w:t>
      </w:r>
      <w:r>
        <w:rPr>
          <w:rFonts w:ascii="Arial" w:cs="Arial" w:eastAsia="Arial" w:hAnsi="Arial"/>
          <w:sz w:val="17"/>
          <w:szCs w:val="17"/>
          <w:color w:val="auto"/>
        </w:rPr>
        <w:t>, the foregoing shall not prohibit any Party from communicating with third parties to the extent necessary for the purpose of seeking any third party consent;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00"/>
          </w:cols>
          <w:pgMar w:left="320" w:top="459" w:right="47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in the foregoing in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(a) public announcements and communications that are consistent with public announcements and communications previously approved pursuant to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shall not require approval by either Party, and (b) subject to compliance with </w:t>
      </w:r>
      <w:r>
        <w:rPr>
          <w:rFonts w:ascii="Arial" w:cs="Arial" w:eastAsia="Arial" w:hAnsi="Arial"/>
          <w:sz w:val="18"/>
          <w:szCs w:val="18"/>
          <w:u w:val="single" w:color="auto"/>
          <w:color w:val="auto"/>
        </w:rPr>
        <w:t>Section 9.05(a)</w:t>
      </w:r>
      <w:r>
        <w:rPr>
          <w:rFonts w:ascii="Arial" w:cs="Arial" w:eastAsia="Arial" w:hAnsi="Arial"/>
          <w:sz w:val="18"/>
          <w:szCs w:val="18"/>
          <w:color w:val="auto"/>
        </w:rPr>
        <w:t xml:space="preserve">, communications by the Company with its customers, employees and other existing or prospective business relationships will not be considered public announcements or communications for purposes of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in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nothing herein shall modify or affect Acquiror’s obligations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84" w:lineRule="exact"/>
        <w:rPr>
          <w:sz w:val="20"/>
          <w:szCs w:val="20"/>
          <w:color w:val="auto"/>
        </w:rPr>
      </w:pPr>
    </w:p>
    <w:p>
      <w:pPr>
        <w:ind w:left="560" w:right="80" w:firstLine="419"/>
        <w:spacing w:after="0" w:line="263" w:lineRule="auto"/>
        <w:tabs>
          <w:tab w:leader="none" w:pos="122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shall be a joint press release in the form mutually agreed by the Company and Acquiror prior to the execution of this Agreement, and such initial press release shall be released as promptly as practicable after the execution of this Agreement.</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Post-Closing Cooperation; Further Assurances</w:t>
      </w:r>
      <w:r>
        <w:rPr>
          <w:rFonts w:ascii="Arial" w:cs="Arial" w:eastAsia="Arial" w:hAnsi="Arial"/>
          <w:sz w:val="18"/>
          <w:szCs w:val="18"/>
          <w:color w:val="auto"/>
        </w:rPr>
        <w:t>. Following the Closing, each Party shall, on the request of any other Party, execute such further documents, and perform such further acts, as may be reasonably necessary or appropriate to give full effect to the allocation of rights, benefits, obligations and liabilities contemplated by this Agreement and the Transactions.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left="560" w:right="300" w:firstLine="419"/>
        <w:spacing w:after="0" w:line="311" w:lineRule="auto"/>
        <w:tabs>
          <w:tab w:leader="none" w:pos="1228"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Following the Closing, Acquiror shall honor and perform in accordance with their terms all Company Benefit Plans, including all employment, severance, bonus, transaction, incentive and other compensation arrangements, provided, that such Company Benefit Plan was in effect immediately prior to the Closing and such Company Benefit Plan was disclosed on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Company Disclosure Letter.</w:t>
      </w:r>
    </w:p>
    <w:p>
      <w:pPr>
        <w:spacing w:after="0" w:line="40" w:lineRule="exact"/>
        <w:rPr>
          <w:rFonts w:ascii="Arial" w:cs="Arial" w:eastAsia="Arial" w:hAnsi="Arial"/>
          <w:sz w:val="16"/>
          <w:szCs w:val="16"/>
          <w:color w:val="auto"/>
        </w:rPr>
      </w:pPr>
    </w:p>
    <w:p>
      <w:pPr>
        <w:ind w:left="560" w:right="40" w:firstLine="419"/>
        <w:spacing w:after="0" w:line="270" w:lineRule="auto"/>
        <w:tabs>
          <w:tab w:leader="none" w:pos="1238" w:val="left"/>
        </w:tabs>
        <w:numPr>
          <w:ilvl w:val="0"/>
          <w:numId w:val="411"/>
        </w:numPr>
        <w:rPr>
          <w:rFonts w:ascii="Arial" w:cs="Arial" w:eastAsia="Arial" w:hAnsi="Arial"/>
          <w:sz w:val="17"/>
          <w:szCs w:val="17"/>
          <w:color w:val="auto"/>
        </w:rPr>
      </w:pPr>
      <w:r>
        <w:rPr>
          <w:rFonts w:ascii="Arial" w:cs="Arial" w:eastAsia="Arial" w:hAnsi="Arial"/>
          <w:sz w:val="17"/>
          <w:szCs w:val="17"/>
          <w:color w:val="auto"/>
        </w:rPr>
        <w:t>Except where applicable Law or the provisions of a Company Benefit Plan in effect as of the date hereof require more favorable treatment, Acquiror shall, or shall cause an Affiliate of Acquiror to, for the period lasting until twelve (12) months after the Closing Date (or, if earlier, until the date of the applicable employee’s termination of employment with Acquiror or its Affiliates), provide to each employee employed by the Company or any of its Subsidiaries immediately prior to the Closing (each a “</w:t>
      </w:r>
      <w:r>
        <w:rPr>
          <w:rFonts w:ascii="Arial" w:cs="Arial" w:eastAsia="Arial" w:hAnsi="Arial"/>
          <w:sz w:val="17"/>
          <w:szCs w:val="17"/>
          <w:u w:val="single" w:color="auto"/>
          <w:color w:val="auto"/>
        </w:rPr>
        <w:t>Continuing Employee</w:t>
      </w:r>
      <w:r>
        <w:rPr>
          <w:rFonts w:ascii="Arial" w:cs="Arial" w:eastAsia="Arial" w:hAnsi="Arial"/>
          <w:sz w:val="17"/>
          <w:szCs w:val="17"/>
          <w:color w:val="auto"/>
        </w:rPr>
        <w:t>”) (a) a base salary or wage rate and annual cash bonus opportunity that are no less favorable than the base salary or wage rate and annual cash bonus opportunity provided by the Company or any of its Subsidiaries to such Continuing Employee immediately prior to the Closing Date, and (b) employee benefits (excluding equity, defined benefit pension and retiree medical benefits, except as required by applicable Law or the provisions of a Company Benefit Plan) that are substantially comparable in the aggregate to those provided by the Company or any of its Subsidiaries to such Continuing Employee immediately prior to the Closing Date.</w:t>
      </w:r>
    </w:p>
    <w:p>
      <w:pPr>
        <w:spacing w:after="0" w:line="72" w:lineRule="exact"/>
        <w:rPr>
          <w:rFonts w:ascii="Arial" w:cs="Arial" w:eastAsia="Arial" w:hAnsi="Arial"/>
          <w:sz w:val="17"/>
          <w:szCs w:val="17"/>
          <w:color w:val="auto"/>
        </w:rPr>
      </w:pPr>
    </w:p>
    <w:p>
      <w:pPr>
        <w:ind w:left="560" w:firstLine="419"/>
        <w:spacing w:after="0" w:line="269" w:lineRule="auto"/>
        <w:tabs>
          <w:tab w:leader="none" w:pos="1228" w:val="left"/>
        </w:tabs>
        <w:numPr>
          <w:ilvl w:val="0"/>
          <w:numId w:val="411"/>
        </w:numPr>
        <w:rPr>
          <w:rFonts w:ascii="Arial" w:cs="Arial" w:eastAsia="Arial" w:hAnsi="Arial"/>
          <w:sz w:val="17"/>
          <w:szCs w:val="17"/>
          <w:color w:val="auto"/>
        </w:rPr>
      </w:pPr>
      <w:r>
        <w:rPr>
          <w:rFonts w:ascii="Arial" w:cs="Arial" w:eastAsia="Arial" w:hAnsi="Arial"/>
          <w:sz w:val="17"/>
          <w:szCs w:val="17"/>
          <w:color w:val="auto"/>
        </w:rPr>
        <w:t>Effective as of the Closing and thereafter, Acquiror and its Affiliates shall recognize, or shall cause the Companies and their Subsidiaries to recognize, each Continuing Employee’s employment or service with any Company or any of the Companies’ Subsidiaries (including any current or former Affiliate thereof or any predecessor of a Company or any of its Subsidiaries) prior to the Closing for all purposes, including for purposes of determining, as applicable, eligibility for participation, vesting and entitlement of the Continuing Employee under all employee benefit plans maintained by the Companies, their Subsidiaries, Acquiror or an Affiliate of Acquiror, including vacation plans or arrangements, 401(k) or other retirement plans and any severance or welfare plans (excluding benefit accruals under a defined benefit pension plan); provided, that no such credit will result in any duplication of benefits. With respect to any welfare benefit plan in which Continuing Employees participate in the plan year in which the Closing occurs, Acquiror shall cause each Continuing Employee (and any eligible dependent) to be able to participate without regard to preexisting condition limitations, waiting periods, evidence of insurability or other exclusions and shall credit the Continuing Employees with any expenses covered by a comparable plan prior to Closing for purposes of determining deductibles, co-pays and other applicable limits.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40"/>
          </w:cols>
          <w:pgMar w:left="320" w:top="459" w:right="43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4" w:lineRule="auto"/>
        <w:tabs>
          <w:tab w:leader="none" w:pos="123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be binding upon and inure solely to the benefit of each of the parties to this Agreement, and nothing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express or implied, shall confer upon any other Person (including, for the avoidance of doubt, any Company Employee or Continuing Employee) any rights (including third party beneficiary rights) or remedies of any nature whatsoever under or by reason of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Nothing contained herein, express or implied, shall be construed to establish, amend or modify any benefit plan, program, agreement or arrangement. The parties hereto acknowledge and agree that the terms set forth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not create any right in any employee or any other Person to any continued employment with Acquiror or any of its Affiliates for any specific period of time or compensation or benefits of any nature or kind whatsoever.</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TO OBLIGATIONS</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Conditions to Obligations of All Parties</w:t>
      </w:r>
      <w:r>
        <w:rPr>
          <w:rFonts w:ascii="Arial" w:cs="Arial" w:eastAsia="Arial" w:hAnsi="Arial"/>
          <w:sz w:val="18"/>
          <w:szCs w:val="18"/>
          <w:color w:val="auto"/>
        </w:rPr>
        <w:t>. The obligations of the Parties to consummate, or cause to be consummated, the Transactions are subject to the satisfaction of the following conditions, any one or more of which may be waived (if legally permitted) in writing by the Company and Acquiror:</w:t>
      </w:r>
    </w:p>
    <w:p>
      <w:pPr>
        <w:spacing w:after="0" w:line="76" w:lineRule="exact"/>
        <w:rPr>
          <w:sz w:val="20"/>
          <w:szCs w:val="20"/>
          <w:color w:val="auto"/>
        </w:rPr>
      </w:pPr>
    </w:p>
    <w:p>
      <w:pPr>
        <w:ind w:left="560" w:right="60" w:firstLine="419"/>
        <w:spacing w:after="0" w:line="263" w:lineRule="auto"/>
        <w:tabs>
          <w:tab w:leader="none" w:pos="1227"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applicable waiting period(s) under the HSR Act in respect of the Transactions (and any extension thereof, or any timing agreements, understandings or commitments obtained by request or other action of the U.S. Federal Trade Commission and/or the U.S. Department of Justice, as applicable) shall have expired or been terminated.</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No Prohibition</w:t>
      </w:r>
      <w:r>
        <w:rPr>
          <w:rFonts w:ascii="Arial" w:cs="Arial" w:eastAsia="Arial" w:hAnsi="Arial"/>
          <w:sz w:val="17"/>
          <w:szCs w:val="17"/>
          <w:color w:val="auto"/>
        </w:rPr>
        <w:t>. There shall not be in force any Governmental Order enjoining or prohibiting the consummation of the Transactions.</w:t>
      </w:r>
    </w:p>
    <w:p>
      <w:pPr>
        <w:spacing w:after="0" w:line="128" w:lineRule="exact"/>
        <w:rPr>
          <w:rFonts w:ascii="Arial" w:cs="Arial" w:eastAsia="Arial" w:hAnsi="Arial"/>
          <w:sz w:val="17"/>
          <w:szCs w:val="17"/>
          <w:color w:val="auto"/>
        </w:rPr>
      </w:pPr>
    </w:p>
    <w:p>
      <w:pPr>
        <w:ind w:left="560" w:right="120" w:firstLine="419"/>
        <w:spacing w:after="0" w:line="277" w:lineRule="auto"/>
        <w:tabs>
          <w:tab w:leader="none" w:pos="1227"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Net Tangible Assets</w:t>
      </w:r>
      <w:r>
        <w:rPr>
          <w:rFonts w:ascii="Arial" w:cs="Arial" w:eastAsia="Arial" w:hAnsi="Arial"/>
          <w:sz w:val="18"/>
          <w:szCs w:val="18"/>
          <w:color w:val="auto"/>
        </w:rPr>
        <w:t>. Acquiror shall have at least $5,000,001 of net tangible assets (as determined in accordance with Rule 3a51-1(g)(1) of the Exchange Act) remaining after the Acquiror Stockholder Redemption.</w:t>
      </w:r>
    </w:p>
    <w:p>
      <w:pPr>
        <w:spacing w:after="0" w:line="62"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 The Acquiror Stockholder Approval shall have been duly obtained in accordance with the DGCL, the Acquiror Organizational Documents and the rules and regulations of Nasdaq.</w:t>
      </w:r>
    </w:p>
    <w:p>
      <w:pPr>
        <w:spacing w:after="0" w:line="62" w:lineRule="exact"/>
        <w:rPr>
          <w:rFonts w:ascii="Arial" w:cs="Arial" w:eastAsia="Arial" w:hAnsi="Arial"/>
          <w:sz w:val="18"/>
          <w:szCs w:val="18"/>
          <w:color w:val="auto"/>
        </w:rPr>
      </w:pPr>
    </w:p>
    <w:p>
      <w:pPr>
        <w:ind w:left="560" w:right="120" w:firstLine="419"/>
        <w:spacing w:after="0" w:line="277" w:lineRule="auto"/>
        <w:tabs>
          <w:tab w:leader="none" w:pos="1227"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Stockholder Approval shall have been duly obtained in accordance with the DGCL and the Company’s Governing Documents.</w:t>
      </w:r>
    </w:p>
    <w:p>
      <w:pPr>
        <w:spacing w:after="0" w:line="62" w:lineRule="exact"/>
        <w:rPr>
          <w:rFonts w:ascii="Arial" w:cs="Arial" w:eastAsia="Arial" w:hAnsi="Arial"/>
          <w:sz w:val="18"/>
          <w:szCs w:val="18"/>
          <w:color w:val="auto"/>
        </w:rPr>
      </w:pPr>
    </w:p>
    <w:p>
      <w:pPr>
        <w:ind w:left="560" w:right="160" w:firstLine="419"/>
        <w:spacing w:after="0" w:line="263" w:lineRule="auto"/>
        <w:tabs>
          <w:tab w:leader="none" w:pos="1208"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75" w:lineRule="exact"/>
        <w:rPr>
          <w:rFonts w:ascii="Arial" w:cs="Arial" w:eastAsia="Arial" w:hAnsi="Arial"/>
          <w:sz w:val="18"/>
          <w:szCs w:val="18"/>
          <w:color w:val="auto"/>
        </w:rPr>
      </w:pPr>
    </w:p>
    <w:p>
      <w:pPr>
        <w:ind w:left="560" w:right="220" w:firstLine="419"/>
        <w:spacing w:after="0" w:line="277" w:lineRule="auto"/>
        <w:tabs>
          <w:tab w:leader="none" w:pos="1238"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Listing Approval</w:t>
      </w:r>
      <w:r>
        <w:rPr>
          <w:rFonts w:ascii="Arial" w:cs="Arial" w:eastAsia="Arial" w:hAnsi="Arial"/>
          <w:sz w:val="18"/>
          <w:szCs w:val="18"/>
          <w:color w:val="auto"/>
        </w:rPr>
        <w:t>. The shares of Acquiror Common Stock to be issued in connection with the Mergers and the other Transactions shall have been approved for listing on Nasdaq.</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Additional Conditions to Obligations of Acquiror Parties</w:t>
      </w:r>
      <w:r>
        <w:rPr>
          <w:rFonts w:ascii="Arial" w:cs="Arial" w:eastAsia="Arial" w:hAnsi="Arial"/>
          <w:sz w:val="18"/>
          <w:szCs w:val="18"/>
          <w:color w:val="auto"/>
        </w:rPr>
        <w:t>. The obligations of the Acquiror Parties to consummate, or cause to be consummated, the Transactions are subject to the satisfaction of the following additional conditions, any one or more of which may be waived in writing by Acquiror:</w:t>
      </w:r>
    </w:p>
    <w:p>
      <w:pPr>
        <w:spacing w:after="0" w:line="76" w:lineRule="exact"/>
        <w:rPr>
          <w:sz w:val="20"/>
          <w:szCs w:val="20"/>
          <w:color w:val="auto"/>
        </w:rPr>
      </w:pPr>
    </w:p>
    <w:p>
      <w:pPr>
        <w:ind w:left="1220" w:hanging="241"/>
        <w:spacing w:after="0"/>
        <w:tabs>
          <w:tab w:leader="none" w:pos="122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20" w:firstLine="408"/>
        <w:spacing w:after="0" w:line="257" w:lineRule="auto"/>
        <w:tabs>
          <w:tab w:leader="none" w:pos="171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the first and second sentences of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(Corporate Organization of the Company) and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(Due Authorization)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 </w:t>
      </w:r>
      <w:r>
        <w:rPr>
          <w:rFonts w:ascii="Arial" w:cs="Arial" w:eastAsia="Arial" w:hAnsi="Arial"/>
          <w:sz w:val="18"/>
          <w:szCs w:val="18"/>
          <w:u w:val="single" w:color="auto"/>
          <w:color w:val="auto"/>
        </w:rPr>
        <w:t>Section 5.06(a)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9" w:lineRule="auto"/>
        <w:rPr>
          <w:sz w:val="20"/>
          <w:szCs w:val="20"/>
          <w:color w:val="auto"/>
        </w:rPr>
      </w:pPr>
      <w:r>
        <w:rPr>
          <w:rFonts w:ascii="Arial" w:cs="Arial" w:eastAsia="Arial" w:hAnsi="Arial"/>
          <w:sz w:val="17"/>
          <w:szCs w:val="17"/>
          <w:color w:val="auto"/>
        </w:rPr>
        <w:t xml:space="preserve">and the first sentence of </w:t>
      </w:r>
      <w:r>
        <w:rPr>
          <w:rFonts w:ascii="Arial" w:cs="Arial" w:eastAsia="Arial" w:hAnsi="Arial"/>
          <w:sz w:val="17"/>
          <w:szCs w:val="17"/>
          <w:u w:val="single" w:color="auto"/>
          <w:color w:val="auto"/>
        </w:rPr>
        <w:t>Section 5.06(b)</w:t>
      </w:r>
      <w:r>
        <w:rPr>
          <w:rFonts w:ascii="Arial" w:cs="Arial" w:eastAsia="Arial" w:hAnsi="Arial"/>
          <w:sz w:val="17"/>
          <w:szCs w:val="17"/>
          <w:color w:val="auto"/>
        </w:rPr>
        <w:t xml:space="preserve"> (Current Capitalization) (collectively with the representations referred to in the immediately preceding sentence, the “</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shall be true and in all respects other than de minimis inaccuracies as of the Closing Date as though then made (except to the extent such representations and warranties expressly relate to an earlier date, and in such case, shall be true and correct on and as of such earlier date in all respects other than de minimis inaccuracies).</w:t>
      </w:r>
    </w:p>
    <w:p>
      <w:pPr>
        <w:spacing w:after="0" w:line="63" w:lineRule="exact"/>
        <w:rPr>
          <w:sz w:val="20"/>
          <w:szCs w:val="20"/>
          <w:color w:val="auto"/>
        </w:rPr>
      </w:pPr>
    </w:p>
    <w:p>
      <w:pPr>
        <w:ind w:left="1100" w:right="160" w:firstLine="408"/>
        <w:spacing w:after="0" w:line="277" w:lineRule="auto"/>
        <w:tabs>
          <w:tab w:leader="none" w:pos="1766" w:val="left"/>
        </w:tabs>
        <w:numPr>
          <w:ilvl w:val="2"/>
          <w:numId w:val="41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w:t>
      </w:r>
      <w:r>
        <w:rPr>
          <w:rFonts w:ascii="Arial" w:cs="Arial" w:eastAsia="Arial" w:hAnsi="Arial"/>
          <w:sz w:val="18"/>
          <w:szCs w:val="18"/>
          <w:u w:val="single" w:color="auto"/>
          <w:color w:val="auto"/>
        </w:rPr>
        <w:t>Section 5.22</w:t>
      </w:r>
      <w:r>
        <w:rPr>
          <w:rFonts w:ascii="Arial" w:cs="Arial" w:eastAsia="Arial" w:hAnsi="Arial"/>
          <w:sz w:val="18"/>
          <w:szCs w:val="18"/>
          <w:color w:val="auto"/>
        </w:rPr>
        <w:t xml:space="preserve"> (Absence of Changes) shall be true and correct in all respects as of the Closing Date.</w:t>
      </w:r>
    </w:p>
    <w:p>
      <w:pPr>
        <w:spacing w:after="0" w:line="62" w:lineRule="exact"/>
        <w:rPr>
          <w:rFonts w:ascii="Arial" w:cs="Arial" w:eastAsia="Arial" w:hAnsi="Arial"/>
          <w:sz w:val="18"/>
          <w:szCs w:val="18"/>
          <w:color w:val="auto"/>
        </w:rPr>
      </w:pPr>
    </w:p>
    <w:p>
      <w:pPr>
        <w:ind w:left="1100" w:firstLine="408"/>
        <w:spacing w:after="0" w:line="293" w:lineRule="auto"/>
        <w:tabs>
          <w:tab w:leader="none" w:pos="1816" w:val="left"/>
        </w:tabs>
        <w:numPr>
          <w:ilvl w:val="2"/>
          <w:numId w:val="41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the Specified Representations and the representations and warranties of the Company contained in </w:t>
      </w:r>
      <w:r>
        <w:rPr>
          <w:rFonts w:ascii="Arial" w:cs="Arial" w:eastAsia="Arial" w:hAnsi="Arial"/>
          <w:sz w:val="16"/>
          <w:szCs w:val="16"/>
          <w:u w:val="single" w:color="auto"/>
          <w:color w:val="auto"/>
        </w:rPr>
        <w:t>Section 5.22</w:t>
      </w:r>
      <w:r>
        <w:rPr>
          <w:rFonts w:ascii="Arial" w:cs="Arial" w:eastAsia="Arial" w:hAnsi="Arial"/>
          <w:sz w:val="16"/>
          <w:szCs w:val="16"/>
          <w:color w:val="auto"/>
        </w:rPr>
        <w:t>), shall be true and correct (without giving any effect to any limitation as to “materiality” or “Material Adverse Effect” or any similar limitation set forth therein) as of the Closing Date as though then made (except to the extent such representations and warranties expressly relate to an earlier date, and in such case, shall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56" w:lineRule="exact"/>
        <w:rPr>
          <w:rFonts w:ascii="Arial" w:cs="Arial" w:eastAsia="Arial" w:hAnsi="Arial"/>
          <w:sz w:val="16"/>
          <w:szCs w:val="16"/>
          <w:color w:val="auto"/>
        </w:rPr>
      </w:pPr>
    </w:p>
    <w:p>
      <w:pPr>
        <w:ind w:left="560" w:right="120" w:firstLine="419"/>
        <w:spacing w:after="0" w:line="296" w:lineRule="auto"/>
        <w:tabs>
          <w:tab w:leader="none" w:pos="1238"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xml:space="preserve">. The covenants and agreements of the Company in this Agreement to be performed as of or prior to the Closing shall have been performed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Section 10.02(b)</w:t>
      </w:r>
      <w:r>
        <w:rPr>
          <w:rFonts w:ascii="Arial" w:cs="Arial" w:eastAsia="Arial" w:hAnsi="Arial"/>
          <w:sz w:val="16"/>
          <w:szCs w:val="16"/>
          <w:color w:val="auto"/>
        </w:rPr>
        <w:t xml:space="preserve">, a covenant of the Company shall only be deemed to have not been performed if the Company has materially breached such covenant and failed to cure within twenty (20) days after written notice of such breach has been delivered to the Acquiror (or if earlier,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action that is contemplated by the Pre-Closing Restructuring Plan may be deemed to constitute nonperformance of such material covenant.</w:t>
      </w:r>
    </w:p>
    <w:p>
      <w:pPr>
        <w:spacing w:after="0" w:line="53" w:lineRule="exact"/>
        <w:rPr>
          <w:rFonts w:ascii="Arial" w:cs="Arial" w:eastAsia="Arial" w:hAnsi="Arial"/>
          <w:sz w:val="16"/>
          <w:szCs w:val="16"/>
          <w:color w:val="auto"/>
        </w:rPr>
      </w:pPr>
    </w:p>
    <w:p>
      <w:pPr>
        <w:ind w:left="560" w:right="60" w:firstLine="419"/>
        <w:spacing w:after="0" w:line="263" w:lineRule="auto"/>
        <w:tabs>
          <w:tab w:leader="none" w:pos="1227"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delivered to Acquiror a certificate signed by an officer of the Company, dated the Closing Date, certifying that, to the knowledge and belief of such officer, the conditions specified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have been fulfilled.</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Other Closing Deliverables</w:t>
      </w:r>
      <w:r>
        <w:rPr>
          <w:rFonts w:ascii="Arial" w:cs="Arial" w:eastAsia="Arial" w:hAnsi="Arial"/>
          <w:sz w:val="17"/>
          <w:szCs w:val="17"/>
          <w:color w:val="auto"/>
        </w:rPr>
        <w:t>. At or prior to the Closing, the Company shall have delivered, or caused to be delivered, to Acquiror</w:t>
      </w:r>
    </w:p>
    <w:p>
      <w:pPr>
        <w:spacing w:after="0" w:line="34" w:lineRule="exact"/>
        <w:rPr>
          <w:rFonts w:ascii="Arial" w:cs="Arial" w:eastAsia="Arial" w:hAnsi="Arial"/>
          <w:sz w:val="17"/>
          <w:szCs w:val="17"/>
          <w:color w:val="auto"/>
        </w:rPr>
      </w:pPr>
    </w:p>
    <w:p>
      <w:pPr>
        <w:ind w:left="560" w:right="120" w:hanging="4"/>
        <w:spacing w:after="0" w:line="255" w:lineRule="auto"/>
        <w:tabs>
          <w:tab w:leader="none" w:pos="77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certified copies of the amended (or amended and restated) Governing Documents of the Company, duly approved and adopted by the board of directors of the Company and the Company stockholders in connection with the Pre-Closing Restructuring and (ii) a copy of the Registration Rights Agreement, duly executed by each of the Pre-Closing Holders party thereto.</w:t>
      </w:r>
    </w:p>
    <w:p>
      <w:pPr>
        <w:spacing w:after="0" w:line="19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Additional Conditions to the Obligations of the Company</w:t>
      </w:r>
      <w:r>
        <w:rPr>
          <w:rFonts w:ascii="Arial" w:cs="Arial" w:eastAsia="Arial" w:hAnsi="Arial"/>
          <w:sz w:val="18"/>
          <w:szCs w:val="18"/>
          <w:color w:val="auto"/>
        </w:rPr>
        <w:t>. The obligation of the Company to consummate or cause to be consummated the Transactions is subject to the satisfaction of the following additional conditions, any one or more of which may be waived in writing by the Company:</w:t>
      </w:r>
    </w:p>
    <w:p>
      <w:pPr>
        <w:spacing w:after="0" w:line="76" w:lineRule="exact"/>
        <w:rPr>
          <w:sz w:val="20"/>
          <w:szCs w:val="20"/>
          <w:color w:val="auto"/>
        </w:rPr>
      </w:pPr>
    </w:p>
    <w:p>
      <w:pPr>
        <w:ind w:left="1220" w:hanging="241"/>
        <w:spacing w:after="0"/>
        <w:tabs>
          <w:tab w:leader="none" w:pos="122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100" w:firstLine="408"/>
        <w:spacing w:after="0" w:line="257" w:lineRule="auto"/>
        <w:tabs>
          <w:tab w:leader="none" w:pos="1716" w:val="left"/>
        </w:tabs>
        <w:numPr>
          <w:ilvl w:val="1"/>
          <w:numId w:val="418"/>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the Acquiror Parties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the representations and warranties of the Acquiror Parties contained in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(Capitalization))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79" w:lineRule="exact"/>
        <w:rPr>
          <w:rFonts w:ascii="Arial" w:cs="Arial" w:eastAsia="Arial" w:hAnsi="Arial"/>
          <w:sz w:val="18"/>
          <w:szCs w:val="18"/>
          <w:color w:val="auto"/>
        </w:rPr>
      </w:pPr>
    </w:p>
    <w:p>
      <w:pPr>
        <w:ind w:left="1100" w:right="340" w:firstLine="408"/>
        <w:spacing w:after="0" w:line="277" w:lineRule="auto"/>
        <w:tabs>
          <w:tab w:leader="none" w:pos="1766" w:val="left"/>
        </w:tabs>
        <w:numPr>
          <w:ilvl w:val="1"/>
          <w:numId w:val="41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Acquiror Parties contained in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(Capitalization) shall be true and correct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the Closing Date, as though then made.</w:t>
      </w:r>
    </w:p>
    <w:p>
      <w:pPr>
        <w:spacing w:after="0" w:line="62" w:lineRule="exact"/>
        <w:rPr>
          <w:rFonts w:ascii="Arial" w:cs="Arial" w:eastAsia="Arial" w:hAnsi="Arial"/>
          <w:sz w:val="18"/>
          <w:szCs w:val="18"/>
          <w:color w:val="auto"/>
        </w:rPr>
      </w:pPr>
    </w:p>
    <w:p>
      <w:pPr>
        <w:ind w:left="560" w:right="220" w:firstLine="419"/>
        <w:spacing w:after="0" w:line="277" w:lineRule="auto"/>
        <w:tabs>
          <w:tab w:leader="none" w:pos="1238"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The covenants and agreements of the Acquiror Parties in this Agreement to be performed as of or prior to the Closing shall have been performed in all material respects;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20"/>
          </w:cols>
          <w:pgMar w:left="320" w:top="459" w:right="45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2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10.03(b)</w:t>
      </w:r>
      <w:r>
        <w:rPr>
          <w:rFonts w:ascii="Arial" w:cs="Arial" w:eastAsia="Arial" w:hAnsi="Arial"/>
          <w:sz w:val="18"/>
          <w:szCs w:val="18"/>
          <w:color w:val="auto"/>
        </w:rPr>
        <w:t>, a covenant of the Acquiror Parties shall only be deemed to have not been performed if the Acquiror Parties have materially breached such covenant and failed to cure within twenty (20) days after written notice of such breach has been delivered to the Company (or if earlier, the Termination Date).</w:t>
      </w:r>
    </w:p>
    <w:p>
      <w:pPr>
        <w:spacing w:after="0" w:line="76" w:lineRule="exact"/>
        <w:rPr>
          <w:sz w:val="20"/>
          <w:szCs w:val="20"/>
          <w:color w:val="auto"/>
        </w:rPr>
      </w:pPr>
    </w:p>
    <w:p>
      <w:pPr>
        <w:ind w:left="1220" w:hanging="241"/>
        <w:spacing w:after="0"/>
        <w:tabs>
          <w:tab w:leader="none" w:pos="122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Available Closing Acquiror Cash</w:t>
      </w:r>
      <w:r>
        <w:rPr>
          <w:rFonts w:ascii="Arial" w:cs="Arial" w:eastAsia="Arial" w:hAnsi="Arial"/>
          <w:sz w:val="18"/>
          <w:szCs w:val="18"/>
          <w:color w:val="auto"/>
        </w:rPr>
        <w:t>. The Available Closing Acquiror Cash shall not be less than $400,000,000.</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Acquiror shall have delivered to the Company a certificate signed by an officer of Acquiror, dated the Closing Date, certifying that, to the knowledge and belief of such officer, the conditions specified in </w:t>
      </w:r>
      <w:r>
        <w:rPr>
          <w:rFonts w:ascii="Arial" w:cs="Arial" w:eastAsia="Arial" w:hAnsi="Arial"/>
          <w:sz w:val="18"/>
          <w:szCs w:val="18"/>
          <w:u w:val="single" w:color="auto"/>
          <w:color w:val="auto"/>
        </w:rPr>
        <w:t>Section 10.03(a)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10.03(c)</w:t>
      </w:r>
      <w:r>
        <w:rPr>
          <w:rFonts w:ascii="Arial" w:cs="Arial" w:eastAsia="Arial" w:hAnsi="Arial"/>
          <w:sz w:val="18"/>
          <w:szCs w:val="18"/>
          <w:color w:val="auto"/>
        </w:rPr>
        <w:t xml:space="preserve"> have been fulfilled.</w:t>
      </w:r>
    </w:p>
    <w:p>
      <w:pPr>
        <w:spacing w:after="0" w:line="75" w:lineRule="exact"/>
        <w:rPr>
          <w:rFonts w:ascii="Arial" w:cs="Arial" w:eastAsia="Arial" w:hAnsi="Arial"/>
          <w:sz w:val="18"/>
          <w:szCs w:val="18"/>
          <w:color w:val="auto"/>
        </w:rPr>
      </w:pPr>
    </w:p>
    <w:p>
      <w:pPr>
        <w:ind w:left="560" w:right="60" w:firstLine="419"/>
        <w:spacing w:after="0" w:line="263" w:lineRule="auto"/>
        <w:tabs>
          <w:tab w:leader="none" w:pos="1227"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Other Closing Deliverables</w:t>
      </w:r>
      <w:r>
        <w:rPr>
          <w:rFonts w:ascii="Arial" w:cs="Arial" w:eastAsia="Arial" w:hAnsi="Arial"/>
          <w:sz w:val="18"/>
          <w:szCs w:val="18"/>
          <w:color w:val="auto"/>
        </w:rPr>
        <w:t>. At or prior to the Closing, Acquiror shall have delivered, or caused to be delivered, to the Company a copy of the Registration Rights Agreement, duly executed by Acquiror and each Sponsor Party (as defined in the Registration Rights Agreement) party thereto.</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Frustration of Conditions</w:t>
      </w:r>
      <w:r>
        <w:rPr>
          <w:rFonts w:ascii="Arial" w:cs="Arial" w:eastAsia="Arial" w:hAnsi="Arial"/>
          <w:sz w:val="18"/>
          <w:szCs w:val="18"/>
          <w:color w:val="auto"/>
        </w:rPr>
        <w:t xml:space="preserve">. None of the Acquiror Parties or the Company may rely on the failure of any condition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be satisfied if such failure was caused by such Party’s failure to act in good faith or to take such actions as may be necessary to cause the conditions of the other Party to be satisfied, as required by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TERMINATION/EFFECTIVENESS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w:t>
      </w:r>
    </w:p>
    <w:p>
      <w:pPr>
        <w:spacing w:after="0" w:line="117" w:lineRule="exact"/>
        <w:rPr>
          <w:sz w:val="20"/>
          <w:szCs w:val="20"/>
          <w:color w:val="auto"/>
        </w:rPr>
      </w:pPr>
    </w:p>
    <w:p>
      <w:pPr>
        <w:ind w:left="1220" w:hanging="241"/>
        <w:spacing w:after="0"/>
        <w:tabs>
          <w:tab w:leader="none" w:pos="12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by mutual written consent of the Company and Acquiror;</w:t>
      </w:r>
    </w:p>
    <w:p>
      <w:pPr>
        <w:spacing w:after="0" w:line="117" w:lineRule="exact"/>
        <w:rPr>
          <w:rFonts w:ascii="Arial" w:cs="Arial" w:eastAsia="Arial" w:hAnsi="Arial"/>
          <w:sz w:val="18"/>
          <w:szCs w:val="18"/>
          <w:color w:val="auto"/>
        </w:rPr>
      </w:pPr>
    </w:p>
    <w:p>
      <w:pPr>
        <w:ind w:left="560" w:right="80" w:firstLine="419"/>
        <w:spacing w:after="0" w:line="284" w:lineRule="auto"/>
        <w:tabs>
          <w:tab w:leader="none" w:pos="1238" w:val="left"/>
        </w:tabs>
        <w:numPr>
          <w:ilvl w:val="1"/>
          <w:numId w:val="420"/>
        </w:numPr>
        <w:rPr>
          <w:rFonts w:ascii="Arial" w:cs="Arial" w:eastAsia="Arial" w:hAnsi="Arial"/>
          <w:sz w:val="16"/>
          <w:szCs w:val="16"/>
          <w:color w:val="auto"/>
        </w:rPr>
      </w:pPr>
      <w:r>
        <w:rPr>
          <w:rFonts w:ascii="Arial" w:cs="Arial" w:eastAsia="Arial" w:hAnsi="Arial"/>
          <w:sz w:val="16"/>
          <w:szCs w:val="16"/>
          <w:color w:val="auto"/>
        </w:rPr>
        <w:t xml:space="preserve">prior to the Closing, by written notice to the Company from Acquiror if (i) there is any breach of any representation, warranty, covenant or agreement on the part of the Company set forth in this Agreement, such that the conditions specified in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10.02(b)</w:t>
      </w:r>
      <w:r>
        <w:rPr>
          <w:rFonts w:ascii="Arial" w:cs="Arial" w:eastAsia="Arial" w:hAnsi="Arial"/>
          <w:sz w:val="16"/>
          <w:szCs w:val="16"/>
          <w:color w:val="auto"/>
        </w:rPr>
        <w:t xml:space="preserve"> would not be satisfied at the Closing (a “</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except that, if such Terminating Company Breach is curable by the Company through the exercise of its reasonable efforts, then, for a period of up to 30 days (or any shorter period of the time that remains between the date Acquiror provides written notice of such violation or breach and the Termination Date) after receipt by the Company of notice from Acquiror of such breach, but only as long as the Company continues to use its reasonable efforts to cure such Terminating Company Breach (the “</w:t>
      </w:r>
      <w:r>
        <w:rPr>
          <w:rFonts w:ascii="Arial" w:cs="Arial" w:eastAsia="Arial" w:hAnsi="Arial"/>
          <w:sz w:val="16"/>
          <w:szCs w:val="16"/>
          <w:u w:val="single" w:color="auto"/>
          <w:color w:val="auto"/>
        </w:rPr>
        <w:t>Company Cure Period</w:t>
      </w:r>
      <w:r>
        <w:rPr>
          <w:rFonts w:ascii="Arial" w:cs="Arial" w:eastAsia="Arial" w:hAnsi="Arial"/>
          <w:sz w:val="16"/>
          <w:szCs w:val="16"/>
          <w:color w:val="auto"/>
        </w:rPr>
        <w:t>”), such termination shall not be effective, and such termination shall become effective only if the Terminating Company Breach is not cured within the Company Cure Period, (ii) the Closing has not occurred on or before July 30, 2021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or</w:t>
      </w:r>
    </w:p>
    <w:p>
      <w:pPr>
        <w:ind w:left="560" w:right="40" w:hanging="4"/>
        <w:spacing w:after="0" w:line="253" w:lineRule="auto"/>
        <w:tabs>
          <w:tab w:leader="none" w:pos="87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consummation of the Mergers is permanently enjoined, prohibited or prevented by the terms of a final, non-appealable Governmental Order;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right to terminate this Agreement under subsection (i) or (ii) shall not be available if an Acquiror Party’s failure to fulfill any obligation under this Agreement has been the primary cause of, or primarily resulted in, the failure of the Closing to occur on or before such date;</w:t>
      </w:r>
    </w:p>
    <w:p>
      <w:pPr>
        <w:spacing w:after="0" w:line="84" w:lineRule="exact"/>
        <w:rPr>
          <w:rFonts w:ascii="Arial" w:cs="Arial" w:eastAsia="Arial" w:hAnsi="Arial"/>
          <w:sz w:val="18"/>
          <w:szCs w:val="18"/>
          <w:color w:val="auto"/>
        </w:rPr>
      </w:pPr>
    </w:p>
    <w:p>
      <w:pPr>
        <w:ind w:left="560" w:right="100" w:firstLine="419"/>
        <w:spacing w:after="0" w:line="291" w:lineRule="auto"/>
        <w:tabs>
          <w:tab w:leader="none" w:pos="1228" w:val="left"/>
        </w:tabs>
        <w:numPr>
          <w:ilvl w:val="1"/>
          <w:numId w:val="421"/>
        </w:numPr>
        <w:rPr>
          <w:rFonts w:ascii="Arial" w:cs="Arial" w:eastAsia="Arial" w:hAnsi="Arial"/>
          <w:sz w:val="16"/>
          <w:szCs w:val="16"/>
          <w:color w:val="auto"/>
        </w:rPr>
      </w:pPr>
      <w:r>
        <w:rPr>
          <w:rFonts w:ascii="Arial" w:cs="Arial" w:eastAsia="Arial" w:hAnsi="Arial"/>
          <w:sz w:val="16"/>
          <w:szCs w:val="16"/>
          <w:color w:val="auto"/>
        </w:rPr>
        <w:t xml:space="preserve">prior to the Closing, by written notice to Acquiror from the Company if (i) there is any breach of any representation, warranty, covenant or agreement on the part of any Acquiror Party set forth in this Agreement, such that the conditions specified in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or</w:t>
      </w:r>
    </w:p>
    <w:p>
      <w:pPr>
        <w:ind w:left="560" w:right="20"/>
        <w:spacing w:after="0" w:line="271" w:lineRule="auto"/>
        <w:rPr>
          <w:rFonts w:ascii="Arial" w:cs="Arial" w:eastAsia="Arial" w:hAnsi="Arial"/>
          <w:sz w:val="16"/>
          <w:szCs w:val="16"/>
          <w:color w:val="auto"/>
        </w:rPr>
      </w:pP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would not be satisfied at the Closing (a “</w:t>
      </w:r>
      <w:r>
        <w:rPr>
          <w:rFonts w:ascii="Arial" w:cs="Arial" w:eastAsia="Arial" w:hAnsi="Arial"/>
          <w:sz w:val="17"/>
          <w:szCs w:val="17"/>
          <w:u w:val="single" w:color="auto"/>
          <w:color w:val="auto"/>
        </w:rPr>
        <w:t>Terminating Acquiror Breach</w:t>
      </w:r>
      <w:r>
        <w:rPr>
          <w:rFonts w:ascii="Arial" w:cs="Arial" w:eastAsia="Arial" w:hAnsi="Arial"/>
          <w:sz w:val="17"/>
          <w:szCs w:val="17"/>
          <w:color w:val="auto"/>
        </w:rPr>
        <w:t>”), except that, if any such Terminating Acquiror Breach is curable by such Acquiror Party through the exercise of its reasonable efforts, then, for a period of up to 30 days (or any shorter period of the time that remains between the date the Company provides written notice of such violation or breach and the Termination Date) after receipt by Acquiror of notice from the Company of such breach, but only as long as Acquiror continues to exercise such reasonable efforts to cure such Terminating Acquiror Breach (the “</w:t>
      </w:r>
      <w:r>
        <w:rPr>
          <w:rFonts w:ascii="Arial" w:cs="Arial" w:eastAsia="Arial" w:hAnsi="Arial"/>
          <w:sz w:val="17"/>
          <w:szCs w:val="17"/>
          <w:u w:val="single" w:color="auto"/>
          <w:color w:val="auto"/>
        </w:rPr>
        <w:t>Acquiror Cure Period</w:t>
      </w:r>
      <w:r>
        <w:rPr>
          <w:rFonts w:ascii="Arial" w:cs="Arial" w:eastAsia="Arial" w:hAnsi="Arial"/>
          <w:sz w:val="17"/>
          <w:szCs w:val="17"/>
          <w:color w:val="auto"/>
        </w:rPr>
        <w:t>”), such termination shall not be effective,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20"/>
          </w:cols>
          <w:pgMar w:left="320" w:top="459" w:right="4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 xml:space="preserve">and such termination shall become effective only if the Terminating Acquiror Breach is not cured within the Acquiror Cure Period, (ii) the Closing has not occurred on or before the Termination Date, (iii) the consummation of the First Merger or the Second Merger is permanently enjoined, prohibited or prevented by the terms of a final, non-appealable Governmental Order; or (iv) if the Company does not deliver the Company Stockholder Approval duly executed by the Requisite Company Stockholders within forty-eight (48) hours after the Registration Statement is declared effective and delivered or otherwise made available to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 to terminate this Agreement under subsection</w:t>
      </w:r>
    </w:p>
    <w:p>
      <w:pPr>
        <w:spacing w:after="0" w:line="2" w:lineRule="exact"/>
        <w:rPr>
          <w:sz w:val="20"/>
          <w:szCs w:val="20"/>
          <w:color w:val="auto"/>
        </w:rPr>
      </w:pPr>
    </w:p>
    <w:p>
      <w:pPr>
        <w:ind w:left="560" w:right="100" w:hanging="4"/>
        <w:spacing w:after="0" w:line="260" w:lineRule="auto"/>
        <w:tabs>
          <w:tab w:leader="none" w:pos="77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or (ii) shall not be available if the Company’s failure to fulfill any obligation under this Agreement has been the primary cause of, or primarily resulted in, the failure of the Closing to occur on or before such date; or</w:t>
      </w:r>
    </w:p>
    <w:p>
      <w:pPr>
        <w:spacing w:after="0" w:line="77" w:lineRule="exact"/>
        <w:rPr>
          <w:rFonts w:ascii="Arial" w:cs="Arial" w:eastAsia="Arial" w:hAnsi="Arial"/>
          <w:sz w:val="18"/>
          <w:szCs w:val="18"/>
          <w:color w:val="auto"/>
        </w:rPr>
      </w:pPr>
    </w:p>
    <w:p>
      <w:pPr>
        <w:ind w:left="560" w:right="180" w:firstLine="419"/>
        <w:spacing w:after="0" w:line="308" w:lineRule="auto"/>
        <w:tabs>
          <w:tab w:leader="none" w:pos="1238" w:val="left"/>
        </w:tabs>
        <w:numPr>
          <w:ilvl w:val="1"/>
          <w:numId w:val="422"/>
        </w:numPr>
        <w:rPr>
          <w:rFonts w:ascii="Arial" w:cs="Arial" w:eastAsia="Arial" w:hAnsi="Arial"/>
          <w:sz w:val="17"/>
          <w:szCs w:val="17"/>
          <w:color w:val="auto"/>
        </w:rPr>
      </w:pPr>
      <w:r>
        <w:rPr>
          <w:rFonts w:ascii="Arial" w:cs="Arial" w:eastAsia="Arial" w:hAnsi="Arial"/>
          <w:sz w:val="17"/>
          <w:szCs w:val="17"/>
          <w:color w:val="auto"/>
        </w:rPr>
        <w:t>by written notice from the Company to the Acquiror if the Special Meeting has been held, Acquiror Stockholders have duly voted, and the Acquiror Stockholder Approval has not been obtained (subject to any adjournment, postponement or recess of the meeting).</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Except as otherwise set forth in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in the event of the termination of this Agreement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this Agreement shall forthwith become void and have no effect, without any liability on the part of any Party or its respective Affiliates, officers, directors, employees or stockholders, other than liability of any Party for any Fraud or intentional and willful breach of this Agreement by such Party occurring prior to such termination. The provisions of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(No Claim Against the Trust Account),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(Confidentiality; Publicity),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(Effect of Termination) and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(MISCELLANEOUS) (collectively, the “</w:t>
      </w:r>
      <w:r>
        <w:rPr>
          <w:rFonts w:ascii="Arial" w:cs="Arial" w:eastAsia="Arial" w:hAnsi="Arial"/>
          <w:sz w:val="16"/>
          <w:szCs w:val="16"/>
          <w:u w:val="single" w:color="auto"/>
          <w:color w:val="auto"/>
        </w:rPr>
        <w:t>Surviving Provisions</w:t>
      </w:r>
      <w:r>
        <w:rPr>
          <w:rFonts w:ascii="Arial" w:cs="Arial" w:eastAsia="Arial" w:hAnsi="Arial"/>
          <w:sz w:val="16"/>
          <w:szCs w:val="16"/>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Party may, at any time prior to the Closing, by action taken by its board of directors or equivalent governing body, or officers thereunto duly authorized, waive in writing any of its rights or conditions in its favor under this Agreement or agree to an amendment or modification to this Agreement in the manner contemplated by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and by an agreement in writing executed in the same manner (but not necessarily by the same Persons) as this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shall be in writing and shall be deemed to have been duly given</w:t>
      </w:r>
    </w:p>
    <w:p>
      <w:pPr>
        <w:spacing w:after="0" w:line="46" w:lineRule="exact"/>
        <w:rPr>
          <w:sz w:val="20"/>
          <w:szCs w:val="20"/>
          <w:color w:val="auto"/>
        </w:rPr>
      </w:pPr>
    </w:p>
    <w:p>
      <w:pPr>
        <w:ind w:left="120" w:right="40" w:hanging="4"/>
        <w:spacing w:after="0" w:line="255" w:lineRule="auto"/>
        <w:tabs>
          <w:tab w:leader="none" w:pos="33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216" w:lineRule="exact"/>
        <w:rPr>
          <w:rFonts w:ascii="Arial" w:cs="Arial" w:eastAsia="Arial" w:hAnsi="Arial"/>
          <w:sz w:val="18"/>
          <w:szCs w:val="18"/>
          <w:color w:val="auto"/>
        </w:rPr>
      </w:pPr>
    </w:p>
    <w:p>
      <w:pPr>
        <w:ind w:left="1540" w:hanging="439"/>
        <w:spacing w:after="0"/>
        <w:tabs>
          <w:tab w:leader="none" w:pos="154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If to Acquiror, First Merger Sub or Second Merger Sub to:</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Hudson Executive Investment Corp.</w:t>
      </w:r>
    </w:p>
    <w:p>
      <w:pPr>
        <w:spacing w:after="0" w:line="23" w:lineRule="exact"/>
        <w:rPr>
          <w:rFonts w:ascii="Arial" w:cs="Arial" w:eastAsia="Arial" w:hAnsi="Arial"/>
          <w:sz w:val="18"/>
          <w:szCs w:val="18"/>
          <w:color w:val="auto"/>
        </w:rPr>
      </w:pPr>
    </w:p>
    <w:p>
      <w:pPr>
        <w:ind w:left="1540" w:right="7100"/>
        <w:spacing w:after="0" w:line="250" w:lineRule="auto"/>
        <w:rPr>
          <w:rFonts w:ascii="Arial" w:cs="Arial" w:eastAsia="Arial" w:hAnsi="Arial"/>
          <w:sz w:val="18"/>
          <w:szCs w:val="18"/>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1540"/>
        <w:spacing w:after="0"/>
        <w:rPr>
          <w:rFonts w:ascii="Arial" w:cs="Arial" w:eastAsia="Arial" w:hAnsi="Arial"/>
          <w:sz w:val="18"/>
          <w:szCs w:val="18"/>
          <w:color w:val="auto"/>
        </w:rPr>
      </w:pPr>
      <w:r>
        <w:rPr>
          <w:rFonts w:ascii="Arial" w:cs="Arial" w:eastAsia="Arial" w:hAnsi="Arial"/>
          <w:sz w:val="18"/>
          <w:szCs w:val="18"/>
          <w:color w:val="auto"/>
        </w:rPr>
        <w:t>Attn: Douglas G. Bergeron, Douglas L. Braunstein and Jonathan Dobres</w:t>
      </w:r>
    </w:p>
    <w:p>
      <w:pPr>
        <w:spacing w:after="0" w:line="9" w:lineRule="exact"/>
        <w:rPr>
          <w:rFonts w:ascii="Arial" w:cs="Arial" w:eastAsia="Arial" w:hAnsi="Arial"/>
          <w:sz w:val="18"/>
          <w:szCs w:val="18"/>
          <w:color w:val="auto"/>
        </w:rPr>
      </w:pPr>
    </w:p>
    <w:p>
      <w:pPr>
        <w:ind w:left="2540" w:right="5440" w:hanging="985"/>
        <w:spacing w:after="0" w:line="302"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Doug.Bergeron@hudsonexecutive.com; Douglas.Braunstein@hudsonexecutive.com Jonathan.Dobres@hudsonexecutive.com</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Milbank LLP</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Scott Golenbock and Iliana Ongun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sgolenbock@milbank.com and iongun@milbank.com</w:t>
      </w:r>
    </w:p>
    <w:p>
      <w:pPr>
        <w:spacing w:after="0" w:line="238" w:lineRule="exact"/>
        <w:rPr>
          <w:sz w:val="20"/>
          <w:szCs w:val="20"/>
          <w:color w:val="auto"/>
        </w:rPr>
      </w:pPr>
    </w:p>
    <w:p>
      <w:pPr>
        <w:ind w:left="1540" w:hanging="439"/>
        <w:spacing w:after="0"/>
        <w:tabs>
          <w:tab w:leader="none" w:pos="15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Groop Internet Platform Inc.</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2578 Broadway #607</w:t>
      </w:r>
    </w:p>
    <w:p>
      <w:pPr>
        <w:spacing w:after="0" w:line="9" w:lineRule="exact"/>
        <w:rPr>
          <w:rFonts w:ascii="Arial" w:cs="Arial" w:eastAsia="Arial" w:hAnsi="Arial"/>
          <w:sz w:val="18"/>
          <w:szCs w:val="18"/>
          <w:color w:val="auto"/>
        </w:rPr>
      </w:pPr>
    </w:p>
    <w:p>
      <w:pPr>
        <w:ind w:left="1540" w:right="75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10025 Attention: Nisim Cohen</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E-mail: nisim.cohen@talkspace.com</w:t>
      </w:r>
    </w:p>
    <w:p>
      <w:pPr>
        <w:spacing w:after="0" w:line="21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1540" w:right="7840"/>
        <w:spacing w:after="0" w:line="269" w:lineRule="auto"/>
        <w:rPr>
          <w:rFonts w:ascii="Arial" w:cs="Arial" w:eastAsia="Arial" w:hAnsi="Arial"/>
          <w:sz w:val="18"/>
          <w:szCs w:val="18"/>
          <w:color w:val="auto"/>
        </w:rPr>
      </w:pPr>
      <w:r>
        <w:rPr>
          <w:rFonts w:ascii="Arial" w:cs="Arial" w:eastAsia="Arial" w:hAnsi="Arial"/>
          <w:sz w:val="17"/>
          <w:szCs w:val="17"/>
          <w:color w:val="auto"/>
        </w:rPr>
        <w:t>Latham &amp; Watkins LLP 885 Third Avenue New York, NY 10022 Attention: Justin Hamill</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 mail: justin.hamill@lw.com</w:t>
      </w:r>
    </w:p>
    <w:p>
      <w:pPr>
        <w:spacing w:after="0" w:line="237" w:lineRule="exact"/>
        <w:rPr>
          <w:rFonts w:ascii="Arial" w:cs="Arial" w:eastAsia="Arial" w:hAnsi="Arial"/>
          <w:sz w:val="18"/>
          <w:szCs w:val="18"/>
          <w:color w:val="auto"/>
        </w:rPr>
      </w:pPr>
    </w:p>
    <w:p>
      <w:pPr>
        <w:ind w:left="1540" w:hanging="439"/>
        <w:spacing w:after="0"/>
        <w:tabs>
          <w:tab w:leader="none" w:pos="15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If to the Surviving Corporation or the Surviving Entity, to:</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Groop Internet Platform, Inc.</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2578 Broadway #607</w:t>
      </w:r>
    </w:p>
    <w:p>
      <w:pPr>
        <w:spacing w:after="0" w:line="9" w:lineRule="exact"/>
        <w:rPr>
          <w:rFonts w:ascii="Arial" w:cs="Arial" w:eastAsia="Arial" w:hAnsi="Arial"/>
          <w:sz w:val="18"/>
          <w:szCs w:val="18"/>
          <w:color w:val="auto"/>
        </w:rPr>
      </w:pPr>
    </w:p>
    <w:p>
      <w:pPr>
        <w:ind w:left="1540" w:right="75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10025 Attention: Nisim Cohen</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E-mail: nisim.cohen@talkspace.com</w:t>
      </w:r>
    </w:p>
    <w:p>
      <w:pPr>
        <w:spacing w:after="0" w:line="21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1540" w:right="7840"/>
        <w:spacing w:after="0" w:line="269" w:lineRule="auto"/>
        <w:rPr>
          <w:rFonts w:ascii="Arial" w:cs="Arial" w:eastAsia="Arial" w:hAnsi="Arial"/>
          <w:sz w:val="18"/>
          <w:szCs w:val="18"/>
          <w:color w:val="auto"/>
        </w:rPr>
      </w:pPr>
      <w:r>
        <w:rPr>
          <w:rFonts w:ascii="Arial" w:cs="Arial" w:eastAsia="Arial" w:hAnsi="Arial"/>
          <w:sz w:val="17"/>
          <w:szCs w:val="17"/>
          <w:color w:val="auto"/>
        </w:rPr>
        <w:t>Latham &amp; Watkins LLP 885 Third Avenue New York, NY 10022 Attention: Justin Hamill</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 mail: justin.hamill@lw.com</w:t>
      </w:r>
    </w:p>
    <w:p>
      <w:pPr>
        <w:spacing w:after="0" w:line="21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 xml:space="preserve">or to such other address or addresses as the Parties may from time to time designate in writing. Notwithstanding anything to the contrary, for purposes of obtaining Acquiror’s prior written consent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 email from Douglas G. Bergeron or Douglas L. Braunstein expressly consenting to the matter or action in question in response to a request for consent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suffice.</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Party shall assign this Agreement or any part hereof without the prior written consent of the Company and Acquiror;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delegate the performance of its obligations or assign its rights hereunder in part or in whole to any Affiliate of the Company so long as the Company remains fully responsible for the performance of the delegated obligations. Subject to the foregoing, this Agreement shall be binding upon and inure to the benefit of the Parties and their respective permitted successors and assigns. Any attempted assignment in violation of the terms of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Rights of Third Parties</w:t>
      </w:r>
      <w:r>
        <w:rPr>
          <w:rFonts w:ascii="Arial" w:cs="Arial" w:eastAsia="Arial" w:hAnsi="Arial"/>
          <w:sz w:val="18"/>
          <w:szCs w:val="18"/>
          <w:color w:val="auto"/>
        </w:rPr>
        <w:t xml:space="preserve">. Nothing expressed or implied in this Agreement is intended or shall be construed to confer upon or give any Person, other than the Parties, any right or remedies under or by reason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the foregoing (a) in the event the Closing occurs, the present and former officers and directors of the Company and Acquiror (and their successors, heirs and Representatives) and each of their respective Indemnitee Affiliates are intended third-party beneficiaries of, and may enforce,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(b)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Arial" w:cs="Arial" w:eastAsia="Arial" w:hAnsi="Arial"/>
          <w:sz w:val="18"/>
          <w:szCs w:val="18"/>
          <w:u w:val="single" w:color="auto"/>
          <w:color w:val="auto"/>
        </w:rPr>
        <w:t>Section 12.14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12.15</w:t>
      </w:r>
      <w:r>
        <w:rPr>
          <w:rFonts w:ascii="Arial" w:cs="Arial" w:eastAsia="Arial" w:hAnsi="Arial"/>
          <w:sz w:val="18"/>
          <w:szCs w:val="18"/>
          <w:color w:val="auto"/>
        </w:rPr>
        <w:t xml:space="preserve">, and (c) Counsel are intended third-party beneficiaries of, and may enforce,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provided herein, each Party shall bear its own costs and expenses incurred in connection with this Agreement, the other Transaction Agreements and the transactions herein and therein contemplated whether or not such transactions shall be consummated, including all fees of its legal counsel, financial advisers and accountants (and with respect to Acquiror, any and all Antitrust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Closing occurs, then the Acquiror shall pay or cause to be paid, the Company Transaction Expenses, Acquiror Transaction Expenses, and other specified expenses of Acquiror or its Affiliates, in each case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avoidance of doubt, any payments to be made (or to cause to be made) by Acquiror pursuant to this </w:t>
      </w: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shall be paid upon consummation of the Mergers and release of proceeds from the Trust Account.</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based upon, arising out of, or related to this Agreement and/or the Transactions, shall be governed by, and construed in accordance with, the internal Laws of the State of Delaware, including its statute of limitations, without giving effect to principles or rules of conflict of laws to the extent such principles or rules would require or permit the application of Laws or statute of limitations of another jurisdiction.</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Captions; Counterparts</w:t>
      </w:r>
      <w:r>
        <w:rPr>
          <w:rFonts w:ascii="Arial" w:cs="Arial" w:eastAsia="Arial" w:hAnsi="Arial"/>
          <w:sz w:val="18"/>
          <w:szCs w:val="18"/>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Schedules and Exhibits</w:t>
      </w:r>
      <w:r>
        <w:rPr>
          <w:rFonts w:ascii="Arial" w:cs="Arial" w:eastAsia="Arial" w:hAnsi="Arial"/>
          <w:sz w:val="18"/>
          <w:szCs w:val="18"/>
          <w:color w:val="auto"/>
        </w:rPr>
        <w:t>. The Disclosure Letters and Exhibits referenced herein are a part of this Agreement as if fully set forth herein. All references herein to Disclosure Letters and Exhibits shall be deemed references to such parts of this Agreement, unless the context shall otherwise require. Any disclosure made by a Party in the Disclosure Letters with reference to any section or schedule of this Agreement shall be deemed to be a disclosure with respect to all other sections or schedules to which such disclosure may apply to the extent the relevance of such disclosure is reasonably apparent on the face of the disclosure in such Disclosure Letter. Certain information set forth in the Disclosure Letters is included solely for informational purposes.</w:t>
      </w:r>
    </w:p>
    <w:p>
      <w:pPr>
        <w:spacing w:after="0" w:line="19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 xml:space="preserve">Section 12.09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Disclosure Letters and Exhibits to this Agreement and the other Transaction Agreements) and that certain Confidentiality Agreement, dated as of September 20, 2020, by and between the Company and Acquiror (as amended, modified or supplemented from time to time,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constitute the entire agreement among the Parties relating to the Transactions and supersede any other agreements, whether written or oral, that may have been made or entered into by or among any of the Parties or any of their respective Subsidiaries relating to the Transactions. No representations, warranties, covenants, understandings, agreements, oral or otherwise, relating to the Transactions exist between the Parties except as expressly set forth or referenced in this Agreement, the other Transaction Agreements and the Confidentiality Agreement.</w:t>
      </w:r>
    </w:p>
    <w:p>
      <w:pPr>
        <w:spacing w:after="0" w:line="17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in whole or in part, only by a duly authorized agreement in writing executed in the same manner as this Agreement and which makes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20"/>
          </w:cols>
          <w:pgMar w:left="320" w:top="459" w:right="45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to this Agreement. The approval of this Agreement by the stockholders of any of the Parties shall not restrict the ability of the board of directors (or other body performing similar functions) of any of the Parties to terminate this Agreement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to cause such Party to enter into an amendment to this Agreement pursuant to this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Section 12.12 </w:t>
      </w:r>
      <w:r>
        <w:rPr>
          <w:rFonts w:ascii="Arial" w:cs="Arial" w:eastAsia="Arial" w:hAnsi="Arial"/>
          <w:sz w:val="17"/>
          <w:szCs w:val="17"/>
          <w:u w:val="single" w:color="auto"/>
          <w:color w:val="auto"/>
        </w:rPr>
        <w:t>Jurisdiction; WAIVER OF TRIAL BY JURY</w:t>
      </w:r>
      <w:r>
        <w:rPr>
          <w:rFonts w:ascii="Arial" w:cs="Arial" w:eastAsia="Arial" w:hAnsi="Arial"/>
          <w:sz w:val="17"/>
          <w:szCs w:val="17"/>
          <w:color w:val="auto"/>
        </w:rPr>
        <w:t xml:space="preserve">. Any Action based upon, arising out of or related to this Agreement or the Transactions may only be brought in federal and state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7"/>
          <w:szCs w:val="17"/>
          <w:u w:val="single" w:color="auto"/>
          <w:color w:val="auto"/>
        </w:rPr>
        <w:t>Section 12.12</w:t>
      </w:r>
      <w:r>
        <w:rPr>
          <w:rFonts w:ascii="Arial" w:cs="Arial" w:eastAsia="Arial" w:hAnsi="Arial"/>
          <w:sz w:val="17"/>
          <w:szCs w:val="17"/>
          <w:color w:val="auto"/>
        </w:rPr>
        <w:t>. EACH OF THE PARTIES HEREBY IRREVOCABLY WAIVES ANY AND ALL RIGHT TO TRIAL BY JURY IN ANY ACTION BASED UPON, ARISING OUT OF OR RELATED TO THIS AGREEMENT OR THE TRANSACTIONS CONTEMPLATED HEREBY.</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12.13 </w:t>
      </w: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or any other Transaction Agreement in accordance with its specified terms or otherwise breach such provisions. The Parties acknowledge and agree that (i) the Parties shall be entitled to an injunction, specific performance, or other equitable relief, to prevent breaches of this Agreement or any other Transaction Agreement and to enforce specifically the terms and provisions hereof and thereof, without proof of damages, prior to the valid termination of this Agreement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this being in addition to any other remedy to which they are entitled under this Agreement or any other Transaction Agreement, and (ii) the right of specific enforcement is an integral part of the Transactions and without that right, none of the Parties would have entered into this Agreement. Each Party agrees that it will not oppose the granting of specific performance and other equitable relief on the basis that the other Parties have an adequate remedy at Law. The Parties acknowledge and agree that any Party seeking an injunction to prevent breaches of this Agreement or any other Transaction Agreement and to enforce specifically the terms and provisions of this Agreement or any other Transaction Agreement in accordance with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shall not be required to provide any bond or other security in connection with any such injunction.</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Section 12.14 </w:t>
      </w:r>
      <w:r>
        <w:rPr>
          <w:rFonts w:ascii="Arial" w:cs="Arial" w:eastAsia="Arial" w:hAnsi="Arial"/>
          <w:sz w:val="17"/>
          <w:szCs w:val="17"/>
          <w:u w:val="single" w:color="auto"/>
          <w:color w:val="auto"/>
        </w:rPr>
        <w:t>Non-Recourse</w:t>
      </w:r>
      <w:r>
        <w:rPr>
          <w:rFonts w:ascii="Arial" w:cs="Arial" w:eastAsia="Arial" w:hAnsi="Arial"/>
          <w:sz w:val="17"/>
          <w:szCs w:val="17"/>
          <w:color w:val="auto"/>
        </w:rPr>
        <w:t>. Subject in all respects to the last sentence, this Agreement may only be enforced against, and any claim or cause of action based upon, arising out of, or related to this Agreement or the Transactions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stockholder, Affiliate, agent, attorney, advisor or Representative or Affiliate of any Party and (b) no past, present or future director, officer, employee, incorporator, member, partner, stockholder, Affiliate, agent, attorney, advisor or Representative or Affiliate of any of the foregoing shall have any liability (whether in contract, tort, equity or otherwise) for any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00"/>
          </w:cols>
          <w:pgMar w:left="320" w:top="459" w:right="47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one or more of the representations, warranties, covenants, agreements or other obligations or liabilities of any one or more of the Company, Acquiror, First Merger Sub or Second Merger Sub under this Agreement of or for any claim based on, arising out of, or related to this Agreement or the Transactions, and each Party hereby waives and releases all claims, causes of actions and liabilities related thereto. Notwithstanding the foregoing, nothing in this </w:t>
      </w:r>
      <w:r>
        <w:rPr>
          <w:rFonts w:ascii="Arial" w:cs="Arial" w:eastAsia="Arial" w:hAnsi="Arial"/>
          <w:sz w:val="18"/>
          <w:szCs w:val="18"/>
          <w:u w:val="single" w:color="auto"/>
          <w:color w:val="auto"/>
        </w:rPr>
        <w:t>Section 12.14</w:t>
      </w:r>
      <w:r>
        <w:rPr>
          <w:rFonts w:ascii="Arial" w:cs="Arial" w:eastAsia="Arial" w:hAnsi="Arial"/>
          <w:sz w:val="18"/>
          <w:szCs w:val="18"/>
          <w:color w:val="auto"/>
        </w:rPr>
        <w:t xml:space="preserve"> shall limit, amend or waive any rights or obligations of any party to any Transaction Agreement for any claim based on, in respect of or by reason of such rights or obligations.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Section 12.15 </w:t>
      </w:r>
      <w:r>
        <w:rPr>
          <w:rFonts w:ascii="Arial" w:cs="Arial" w:eastAsia="Arial" w:hAnsi="Arial"/>
          <w:sz w:val="16"/>
          <w:szCs w:val="16"/>
          <w:u w:val="single" w:color="auto"/>
          <w:color w:val="auto"/>
        </w:rPr>
        <w:t>Nonsurvival of Representations, Warranties and Covenants</w:t>
      </w:r>
      <w:r>
        <w:rPr>
          <w:rFonts w:ascii="Arial" w:cs="Arial" w:eastAsia="Arial" w:hAnsi="Arial"/>
          <w:sz w:val="16"/>
          <w:szCs w:val="16"/>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each shall terminate and expire upon the occurrence of the Second Effective Time (and there shall be no liability after the Closing in respect thereof), except for (a) those covenants and agreements contained herein that by their terms expressly apply in whole or in part at or after the Closing and then only with respect to any breaches occurring at or after the Closing and (b) this </w:t>
      </w:r>
      <w:r>
        <w:rPr>
          <w:rFonts w:ascii="Arial" w:cs="Arial" w:eastAsia="Arial" w:hAnsi="Arial"/>
          <w:sz w:val="16"/>
          <w:szCs w:val="16"/>
          <w:u w:val="single" w:color="auto"/>
          <w:color w:val="auto"/>
        </w:rPr>
        <w:t>Article XII</w:t>
      </w:r>
      <w:r>
        <w:rPr>
          <w:rFonts w:ascii="Arial" w:cs="Arial" w:eastAsia="Arial" w:hAnsi="Arial"/>
          <w:sz w:val="16"/>
          <w:szCs w:val="16"/>
          <w:color w:val="auto"/>
        </w:rPr>
        <w:t>. Nothing herein is intended to limit any Party’s liability for such Party’s Fraud.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Acknowledgements</w:t>
      </w:r>
      <w:r>
        <w:rPr>
          <w:rFonts w:ascii="Arial" w:cs="Arial" w:eastAsia="Arial" w:hAnsi="Arial"/>
          <w:sz w:val="18"/>
          <w:szCs w:val="18"/>
          <w:color w:val="auto"/>
        </w:rPr>
        <w:t>.</w:t>
      </w:r>
    </w:p>
    <w:p>
      <w:pPr>
        <w:spacing w:after="0" w:line="117" w:lineRule="exact"/>
        <w:rPr>
          <w:sz w:val="20"/>
          <w:szCs w:val="20"/>
          <w:color w:val="auto"/>
        </w:rPr>
      </w:pPr>
    </w:p>
    <w:p>
      <w:pPr>
        <w:jc w:val="both"/>
        <w:ind w:left="560" w:right="160" w:firstLine="419"/>
        <w:spacing w:after="0" w:line="285" w:lineRule="auto"/>
        <w:tabs>
          <w:tab w:leader="none" w:pos="1228" w:val="left"/>
        </w:tabs>
        <w:numPr>
          <w:ilvl w:val="1"/>
          <w:numId w:val="425"/>
        </w:numPr>
        <w:rPr>
          <w:rFonts w:ascii="Arial" w:cs="Arial" w:eastAsia="Arial" w:hAnsi="Arial"/>
          <w:sz w:val="16"/>
          <w:szCs w:val="16"/>
          <w:color w:val="auto"/>
        </w:rPr>
      </w:pPr>
      <w:r>
        <w:rPr>
          <w:rFonts w:ascii="Arial" w:cs="Arial" w:eastAsia="Arial" w:hAnsi="Arial"/>
          <w:sz w:val="16"/>
          <w:szCs w:val="16"/>
          <w:color w:val="auto"/>
        </w:rPr>
        <w:t>Each of the Parties acknowledges and agrees (on its own behalf and on behalf of its respective Affiliates and its and their 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w:t>
      </w:r>
    </w:p>
    <w:p>
      <w:pPr>
        <w:spacing w:after="0" w:line="1" w:lineRule="exact"/>
        <w:rPr>
          <w:rFonts w:ascii="Arial" w:cs="Arial" w:eastAsia="Arial" w:hAnsi="Arial"/>
          <w:sz w:val="16"/>
          <w:szCs w:val="16"/>
          <w:color w:val="auto"/>
        </w:rPr>
      </w:pPr>
    </w:p>
    <w:p>
      <w:pPr>
        <w:ind w:left="560" w:hanging="4"/>
        <w:spacing w:after="0" w:line="284" w:lineRule="auto"/>
        <w:tabs>
          <w:tab w:leader="none" w:pos="87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the Acquiror Party Representations constitute the sole and exclusive representations and warranties of Acquiror, First Merger Sub and Second Merger Sub; (iv) except for the Company Representations by the Company and the Acquiror Party Representations by the Acquiror Parties, none of the Parties or any other Person makes, or has made, any other express or implied representation or warranty with respect to any Party (or any Party’s Subsidiaries), including any implied warranty or representation as to condition, merchantability, suitability or fitness for a particular purpose or trade as to any of the assets of the such Party or its Subsidiaries or the Transactions and all other representations and warranties of any kind or nature expressed or implied (including (x) regarding the completeness or accuracy of, or any omission to state or to disclose, any information, including in the estimates, projections or forecasts or any other information, document or material provided to or made available to any Party or their respective Affiliates or Representatives in certain “data rooms,” management presentations or in any other form in expectation of the Transactions, including meetings, calls or correspondence with management of any Party (or any Party’s Subsidiaries), and (y) any relating to the future or historical business, condition (financial or otherwise), results of operations, prospects, assets or liabilities of any Party (or its Subsidiaries), or the quality, quantity or condition of any Party’s or its Subsidiaries’ assets) are specifically disclaimed by all Parties and their respective Subsidiaries and all other Persons (including the Representatives and Affiliates of any Party or its Subsidiaries); and (v) each Party and its respective Affiliates are not relying on any representations and warranties in connection with the Transactions except the Company Representations by the Company and the Acquiror Party Representations by the Acquiror Parties. The foregoing does not limit any rights of any Party pursuant to any other Transaction Agreement against any other Party pursuant to such Transaction Agreement to which it is a party or an express third party beneficiary thereof. Except as otherwise expressly set forth in this Agreement, Acquiror understands and agrees that any assets, properties and business of the Company and its Subsidiaries are furnished “as is”, “where is” and subject to and except for the Company Representations by the Company or as provided in any certificate delivered in accordance with </w:t>
      </w:r>
      <w:r>
        <w:rPr>
          <w:rFonts w:ascii="Arial" w:cs="Arial" w:eastAsia="Arial" w:hAnsi="Arial"/>
          <w:sz w:val="16"/>
          <w:szCs w:val="16"/>
          <w:u w:val="single" w:color="auto"/>
          <w:color w:val="auto"/>
        </w:rPr>
        <w:t>Section 10.02(c)</w:t>
      </w:r>
      <w:r>
        <w:rPr>
          <w:rFonts w:ascii="Arial" w:cs="Arial" w:eastAsia="Arial" w:hAnsi="Arial"/>
          <w:sz w:val="16"/>
          <w:szCs w:val="16"/>
          <w:color w:val="auto"/>
        </w:rPr>
        <w:t xml:space="preserve">, with all faults and without any other representation or warranty of any nature whatsoever. Nothing in this </w:t>
      </w:r>
      <w:r>
        <w:rPr>
          <w:rFonts w:ascii="Arial" w:cs="Arial" w:eastAsia="Arial" w:hAnsi="Arial"/>
          <w:sz w:val="16"/>
          <w:szCs w:val="16"/>
          <w:u w:val="single" w:color="auto"/>
          <w:color w:val="auto"/>
        </w:rPr>
        <w:t>Section 12.16(a)</w:t>
      </w:r>
      <w:r>
        <w:rPr>
          <w:rFonts w:ascii="Arial" w:cs="Arial" w:eastAsia="Arial" w:hAnsi="Arial"/>
          <w:sz w:val="16"/>
          <w:szCs w:val="16"/>
          <w:color w:val="auto"/>
        </w:rPr>
        <w:t xml:space="preserve"> shall relieve any Party of liability in the case of Fraud committed by such Party.</w:t>
      </w: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20"/>
          </w:cols>
          <w:pgMar w:left="320" w:top="459" w:right="45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68" w:lineRule="auto"/>
        <w:tabs>
          <w:tab w:leader="none" w:pos="1238"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Effective upon Closing, each of the Parties waives, on its own behalf and on behalf of its respective Affiliates and Representatives, to the fullest extent permitted under applicable Law, any and all rights, Actions and causes of action it may have against any other Party or their respective Subsidiaries and any of their respective current or former Affiliates or Representatives relating to the operation of any Party or its Subsidiaries or their respective businesses or relating to the subject matter of this Agreement, the Disclosure Letters, or the Exhibits to this Agreement, whether arising under or based upon any federal, state, local or foreign statute, Law, ordinance, rule or regulation or otherwise. Each Party acknowledges and agrees that it will not assert, institute or maintain any Action, suit, investigation, or proceeding of any kind whatsoever, including a counterclaim, cross-claim, or defense, regardless of the legal or equitable theory under which such liability or obligation may be sought to be imposed, that makes any claim contrary to the agreements and covenants set forth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Notwithstanding anything herein to the contrary, nothing in this </w:t>
      </w:r>
      <w:r>
        <w:rPr>
          <w:rFonts w:ascii="Arial" w:cs="Arial" w:eastAsia="Arial" w:hAnsi="Arial"/>
          <w:sz w:val="17"/>
          <w:szCs w:val="17"/>
          <w:u w:val="single" w:color="auto"/>
          <w:color w:val="auto"/>
        </w:rPr>
        <w:t>Section 12.16(b)</w:t>
      </w:r>
      <w:r>
        <w:rPr>
          <w:rFonts w:ascii="Arial" w:cs="Arial" w:eastAsia="Arial" w:hAnsi="Arial"/>
          <w:sz w:val="17"/>
          <w:szCs w:val="17"/>
          <w:color w:val="auto"/>
        </w:rPr>
        <w:t xml:space="preserve"> shall preclude any Party from seeking any remedy for Fraud by a Party. Each Party shall have the right to enforce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on behalf of any Person that would be benefitted or protected by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if they were a party hereto. The foregoing agreements, acknowledgements, disclaimers and waivers are irrevocable. For the avoidance of doubt, nothing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shall limit, modify, restrict or operate as a waiver with respect to, any rights any Party may have under any written agreement entered into in connection with the Transactions, including any other Transaction Agreement.</w:t>
      </w:r>
    </w:p>
    <w:p>
      <w:pPr>
        <w:spacing w:after="0" w:line="18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12.17 </w:t>
      </w:r>
      <w:r>
        <w:rPr>
          <w:rFonts w:ascii="Arial" w:cs="Arial" w:eastAsia="Arial" w:hAnsi="Arial"/>
          <w:sz w:val="17"/>
          <w:szCs w:val="17"/>
          <w:u w:val="single" w:color="auto"/>
          <w:color w:val="auto"/>
        </w:rPr>
        <w:t>Provisions Respecting Representation of the Company</w:t>
      </w:r>
      <w:r>
        <w:rPr>
          <w:rFonts w:ascii="Arial" w:cs="Arial" w:eastAsia="Arial" w:hAnsi="Arial"/>
          <w:sz w:val="17"/>
          <w:szCs w:val="17"/>
          <w:color w:val="auto"/>
        </w:rPr>
        <w:t>. Each of the Parties hereby agrees, on its own behalf and on behalf of its directors, managers, members, partners, officers, employees, stockholders and Affiliates, that Latham &amp; Watkins LLP (“</w:t>
      </w:r>
      <w:r>
        <w:rPr>
          <w:rFonts w:ascii="Arial" w:cs="Arial" w:eastAsia="Arial" w:hAnsi="Arial"/>
          <w:sz w:val="17"/>
          <w:szCs w:val="17"/>
          <w:u w:val="single" w:color="auto"/>
          <w:color w:val="auto"/>
        </w:rPr>
        <w:t>Counsel</w:t>
      </w:r>
      <w:r>
        <w:rPr>
          <w:rFonts w:ascii="Arial" w:cs="Arial" w:eastAsia="Arial" w:hAnsi="Arial"/>
          <w:sz w:val="17"/>
          <w:szCs w:val="17"/>
          <w:color w:val="auto"/>
        </w:rPr>
        <w:t>”) may serve as counsel to Company and its Subsidiaries and their respective directors, officers and employees (individually and collectively, the “</w:t>
      </w:r>
      <w:r>
        <w:rPr>
          <w:rFonts w:ascii="Arial" w:cs="Arial" w:eastAsia="Arial" w:hAnsi="Arial"/>
          <w:sz w:val="17"/>
          <w:szCs w:val="17"/>
          <w:u w:val="single" w:color="auto"/>
          <w:color w:val="auto"/>
        </w:rPr>
        <w:t>Seller Group</w:t>
      </w:r>
      <w:r>
        <w:rPr>
          <w:rFonts w:ascii="Arial" w:cs="Arial" w:eastAsia="Arial" w:hAnsi="Arial"/>
          <w:sz w:val="17"/>
          <w:szCs w:val="17"/>
          <w:color w:val="auto"/>
        </w:rPr>
        <w:t>”) in connection with the negotiation, preparation, execution, delivery and performance of this Agreement, and the consummation of the Transactions, and that, following consummation of the Transactions, Counsel (or any of its respective successors) may serve as counsel to Seller Group or any director, manager, member, partner, stockholder, officer, employee or Affiliate of any member of Seller Group, in connection with any Action or obligation arising out of or relating to this Agreement or the Transactions notwithstanding such representation or any continued representations, and each of the Parties (on its own behalf and on behalf of its Affiliates) hereby consents thereto and irrevocably waives any conflict of interest arising therefrom, and each of such parties shall cause any Affiliate thereof to consent to irrevocably waive any conflict of interest arising from such representation. The Parties agree to take the steps necessary to ensure that any privilege attaching as a result of Counsel representing the Company or any of its Subsidiaries in connection with the Transactions shall survive the Closing and shall remain in effect. As to any privileged attorney-client communications between Counsel and the Company or Counsel and any of the Company’s Subsidiaries in connection with the Transactions prior to the Closing Date (collectively, the “</w:t>
      </w:r>
      <w:r>
        <w:rPr>
          <w:rFonts w:ascii="Arial" w:cs="Arial" w:eastAsia="Arial" w:hAnsi="Arial"/>
          <w:sz w:val="17"/>
          <w:szCs w:val="17"/>
          <w:u w:val="single" w:color="auto"/>
          <w:color w:val="auto"/>
        </w:rPr>
        <w:t>Privileged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Communications</w:t>
      </w:r>
      <w:r>
        <w:rPr>
          <w:rFonts w:ascii="Arial" w:cs="Arial" w:eastAsia="Arial" w:hAnsi="Arial"/>
          <w:sz w:val="17"/>
          <w:szCs w:val="17"/>
          <w:color w:val="auto"/>
        </w:rPr>
        <w:t>”), Acquiror, the Company and each of its Subsidiaries, together with any of their respective Affiliates, Subsidiaries, successors or assigns, agree that no such party may use or rely on any of the Privileged Communications in any action against or involving any of the parties after the Closing. In addition, if the Mergers and the other Transactions are consummated, all Privileged Communications related to such Transactions will become the property of (and be controlled by) the Seller Group, and none of Acquiror, the Company or any of its Subsidiaries or any of their respective Affiliates, Subsidiaries, successors or assigns shall retain any copies of such records or have any access to them. In the event that Acquiror is legally required or requested by any Governmental Authority to access or obtain a copy of all or a portion of the Privileged Communications, Acquiror shall be entitled to access or obtain a copy of and disclose the Privileged Communications to the extent necessary to comply with any such legal requirement or request.</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120"/>
          </w:cols>
          <w:pgMar w:left="320" w:top="459" w:right="45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hereunto caused this Agreement and Plan of Merger to be duly executed as of the date hereof.</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Douglas Braunstein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TAILWIND MERGER SUB I,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Douglas Braunstein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TAILWIND MERGER SUB II, LLC</w:t>
      </w:r>
    </w:p>
    <w:p>
      <w:pPr>
        <w:spacing w:after="0" w:line="229"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Douglas Braunstein</w:t>
            </w:r>
          </w:p>
        </w:tc>
      </w:tr>
      <w:tr>
        <w:trPr>
          <w:trHeight w:val="195"/>
        </w:trPr>
        <w:tc>
          <w:tcPr>
            <w:tcW w:w="3040" w:type="dxa"/>
            <w:vAlign w:val="bottom"/>
          </w:tcPr>
          <w:p>
            <w:pPr>
              <w:ind w:left="25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7"/>
              </w:rPr>
              <w:t>[Signature Page to Merger Agreement]</w:t>
            </w:r>
          </w:p>
        </w:tc>
        <w:tc>
          <w:tcPr>
            <w:tcW w:w="3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hereunto caused this Agreement and Plan of Merger to be duly executed as of the date hereof.</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GROOP INTERNET PLATFORM, INC.</w:t>
      </w:r>
    </w:p>
    <w:p>
      <w:pPr>
        <w:spacing w:after="0" w:line="229"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Oren Frank</w:t>
            </w:r>
          </w:p>
        </w:tc>
      </w:tr>
      <w:tr>
        <w:trPr>
          <w:trHeight w:val="195"/>
        </w:trPr>
        <w:tc>
          <w:tcPr>
            <w:tcW w:w="3040" w:type="dxa"/>
            <w:vAlign w:val="bottom"/>
          </w:tcPr>
          <w:p>
            <w:pPr>
              <w:ind w:left="25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Oren Frank</w:t>
            </w:r>
          </w:p>
        </w:tc>
      </w:t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7"/>
              </w:rPr>
              <w:t>[Signature Page to Merger Agreement]</w:t>
            </w:r>
          </w:p>
        </w:tc>
        <w:tc>
          <w:tcPr>
            <w:tcW w:w="3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SECOND AMENDED AND RESTATED CERTIFICATE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Hudson Executive Investment Corp.,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76" w:lineRule="exact"/>
        <w:rPr>
          <w:sz w:val="20"/>
          <w:szCs w:val="20"/>
          <w:color w:val="auto"/>
        </w:rPr>
      </w:pPr>
    </w:p>
    <w:p>
      <w:pPr>
        <w:ind w:left="540" w:right="100" w:hanging="424"/>
        <w:spacing w:after="0" w:line="342" w:lineRule="auto"/>
        <w:tabs>
          <w:tab w:leader="none" w:pos="54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original certificate of incorporation of the Corporation was filed with the Secretary of State of Delaware on February 6, 2020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The name under which the Original Certificate of Incorporation was filed is “Hudson Executive Investment Corp.”</w:t>
      </w:r>
    </w:p>
    <w:p>
      <w:pPr>
        <w:spacing w:after="0" w:line="29" w:lineRule="exact"/>
        <w:rPr>
          <w:rFonts w:ascii="Arial" w:cs="Arial" w:eastAsia="Arial" w:hAnsi="Arial"/>
          <w:sz w:val="16"/>
          <w:szCs w:val="16"/>
          <w:color w:val="auto"/>
        </w:rPr>
      </w:pPr>
    </w:p>
    <w:p>
      <w:pPr>
        <w:ind w:left="540" w:right="40" w:hanging="424"/>
        <w:spacing w:after="0" w:line="257"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which both restated and amended the provisions of the Original Certificate of Incorporation,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 and such amended and restated certificate of incorporation was filed with the Secretary of State of the State of Delaware on June 8, 2020 (the “</w:t>
      </w:r>
      <w:r>
        <w:rPr>
          <w:rFonts w:ascii="Arial" w:cs="Arial" w:eastAsia="Arial" w:hAnsi="Arial"/>
          <w:sz w:val="18"/>
          <w:szCs w:val="18"/>
          <w:u w:val="single" w:color="auto"/>
          <w:color w:val="auto"/>
        </w:rPr>
        <w:t>A&amp;R Certificate of Incorporation</w:t>
      </w:r>
      <w:r>
        <w:rPr>
          <w:rFonts w:ascii="Arial" w:cs="Arial" w:eastAsia="Arial" w:hAnsi="Arial"/>
          <w:sz w:val="18"/>
          <w:szCs w:val="18"/>
          <w:color w:val="auto"/>
        </w:rPr>
        <w:t>”). The name under which the A&amp;R Certificate of Incorporation was filed is “Hudson Executive Investment Corp.”</w:t>
      </w:r>
    </w:p>
    <w:p>
      <w:pPr>
        <w:spacing w:after="0" w:line="93"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This Second A&amp;R Certificate of Incorporation (this “</w:t>
      </w:r>
      <w:r>
        <w:rPr>
          <w:rFonts w:ascii="Arial" w:cs="Arial" w:eastAsia="Arial" w:hAnsi="Arial"/>
          <w:sz w:val="18"/>
          <w:szCs w:val="18"/>
          <w:u w:val="single" w:color="auto"/>
          <w:color w:val="auto"/>
        </w:rPr>
        <w:t>Second A&amp;R Certificate of Incorporation</w:t>
      </w:r>
      <w:r>
        <w:rPr>
          <w:rFonts w:ascii="Arial" w:cs="Arial" w:eastAsia="Arial" w:hAnsi="Arial"/>
          <w:sz w:val="18"/>
          <w:szCs w:val="18"/>
          <w:color w:val="auto"/>
        </w:rPr>
        <w:t>”) was duly adopted by the Board of Directors of the Corporation and the stockholders of the Corporation in accordance with Sections 242 and 245 of the DGCL.</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This Second A&amp;R Certificate of Incorporation shall become effective upon filing with the Secretary of State of the State of Delaware.</w:t>
      </w:r>
    </w:p>
    <w:p>
      <w:pPr>
        <w:spacing w:after="0" w:line="130" w:lineRule="exact"/>
        <w:rPr>
          <w:rFonts w:ascii="Arial" w:cs="Arial" w:eastAsia="Arial" w:hAnsi="Arial"/>
          <w:sz w:val="18"/>
          <w:szCs w:val="18"/>
          <w:color w:val="auto"/>
        </w:rPr>
      </w:pPr>
    </w:p>
    <w:p>
      <w:pPr>
        <w:ind w:left="540" w:right="100" w:hanging="424"/>
        <w:spacing w:after="0" w:line="290" w:lineRule="auto"/>
        <w:tabs>
          <w:tab w:leader="none" w:pos="54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A&amp;R Certificate of Incorporation is being amended and restated in connection with the transactions contemplated by that certain Agreement and Plan of Merger, dated as of January 12, 2020, by and among the Corporation, Tailwind Merger Sub I, Inc., Tailwind Merger Sub II, LLC and Groop Internet, Platform, Inc. (as amended, modified, supplemented or waived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As part of the transactions contemplated by the Merger Agreement, all 10,350,000 shares of the Class B Common Stock of the Corporation were converted on a 1-for-1 basis into 10,350,000 shares of Class A Common Stock of the Corporation such that, at the effectiveness of this Certificate of Incorporation, only Class A Common Stock remains outstanding. All Class A Common Stock issued and outstanding prior to the effectiveness of this Certificate of Incorporation and all Class A Common Stock issued as part of the Merger Agreement and the Subscription Agreements contemplated by the Merger Agreement shall be Common Stock for all purposes of this Certificate of Incorporation.</w:t>
      </w:r>
    </w:p>
    <w:p>
      <w:pPr>
        <w:spacing w:after="0" w:line="70" w:lineRule="exact"/>
        <w:rPr>
          <w:rFonts w:ascii="Arial" w:cs="Arial" w:eastAsia="Arial" w:hAnsi="Arial"/>
          <w:sz w:val="16"/>
          <w:szCs w:val="16"/>
          <w:color w:val="auto"/>
        </w:rPr>
      </w:pPr>
    </w:p>
    <w:p>
      <w:pPr>
        <w:ind w:left="540" w:right="300" w:hanging="424"/>
        <w:spacing w:after="0" w:line="277"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This Second A&amp;R Certificate of Incorporation hereby amends and restates the provisions of the A&amp;R Certificate of Incorporation to read in its entirety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corporation is Talkspace,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OFFICE AND AGENT</w:t>
      </w:r>
    </w:p>
    <w:p>
      <w:pPr>
        <w:spacing w:after="0" w:line="21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1209 Orange Street, in the City of Wilmington, County of New Castle, State of Delaware 19801, and the name of its registered agent at such address is The Corporation Trust Company.</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as it now exists or may hereafter be amended and supplemented.</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CAPITAL</w:t>
      </w:r>
    </w:p>
    <w:p>
      <w:pPr>
        <w:spacing w:after="0" w:line="21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Corporation is authorized to issue two classes of stock to be designated, respectively, “</w:t>
      </w:r>
      <w:r>
        <w:rPr>
          <w:rFonts w:ascii="Arial" w:cs="Arial" w:eastAsia="Arial" w:hAnsi="Arial"/>
          <w:sz w:val="17"/>
          <w:szCs w:val="17"/>
          <w:u w:val="single" w:color="auto"/>
          <w:color w:val="auto"/>
        </w:rPr>
        <w:t>Common Stock</w:t>
      </w:r>
      <w:r>
        <w:rPr>
          <w:rFonts w:ascii="Arial" w:cs="Arial" w:eastAsia="Arial" w:hAnsi="Arial"/>
          <w:sz w:val="17"/>
          <w:szCs w:val="17"/>
          <w:color w:val="auto"/>
        </w:rPr>
        <w:t>” and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total number of shares of capital stock that the Corporation shall have authority to issue is 1,100,000,000. The total number of shares of Common Stock that the Corporation is authorized to issue is 1,000,000,000, having a par value of $0.0001 per share, and the total number of shares of Preferred Stock that the Corporation is authorized to issue is 100,000,000, having a par value of $0.0001 per share.</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designations and the powers, privileges and rights, and the qualifications, limitations or restrictions thereof in respect of each class of capital stock of the Corporation are as follows:</w:t>
      </w:r>
    </w:p>
    <w:p>
      <w:pPr>
        <w:spacing w:after="0" w:line="197" w:lineRule="exact"/>
        <w:rPr>
          <w:sz w:val="20"/>
          <w:szCs w:val="20"/>
          <w:color w:val="auto"/>
        </w:rPr>
      </w:pPr>
    </w:p>
    <w:p>
      <w:pPr>
        <w:ind w:left="1080" w:hanging="532"/>
        <w:spacing w:after="0"/>
        <w:tabs>
          <w:tab w:leader="none" w:pos="108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0" w:firstLine="1428"/>
        <w:spacing w:after="0" w:line="263" w:lineRule="auto"/>
        <w:tabs>
          <w:tab w:leader="none" w:pos="1732" w:val="left"/>
        </w:tabs>
        <w:numPr>
          <w:ilvl w:val="1"/>
          <w:numId w:val="4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and outstanding from time to time.</w:t>
      </w:r>
    </w:p>
    <w:p>
      <w:pPr>
        <w:spacing w:after="0" w:line="183" w:lineRule="exact"/>
        <w:rPr>
          <w:rFonts w:ascii="Arial" w:cs="Arial" w:eastAsia="Arial" w:hAnsi="Arial"/>
          <w:sz w:val="18"/>
          <w:szCs w:val="18"/>
          <w:color w:val="auto"/>
        </w:rPr>
      </w:pPr>
    </w:p>
    <w:p>
      <w:pPr>
        <w:ind w:left="120" w:firstLine="1428"/>
        <w:spacing w:after="0" w:line="291" w:lineRule="auto"/>
        <w:tabs>
          <w:tab w:leader="none" w:pos="1732" w:val="left"/>
        </w:tabs>
        <w:numPr>
          <w:ilvl w:val="1"/>
          <w:numId w:val="429"/>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herein or expressly required by law, each holder of Common Stock, as such, shall be entitled to vote on each matter submitted to a vote of stockholders and shall be entitled to one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w:t>
      </w:r>
    </w:p>
    <w:p>
      <w:pPr>
        <w:spacing w:after="0" w:line="166" w:lineRule="exact"/>
        <w:rPr>
          <w:sz w:val="20"/>
          <w:szCs w:val="20"/>
          <w:color w:val="auto"/>
        </w:rPr>
      </w:pPr>
    </w:p>
    <w:p>
      <w:pPr>
        <w:jc w:val="both"/>
        <w:ind w:left="120" w:right="80" w:firstLine="1432"/>
        <w:spacing w:after="0" w:line="263" w:lineRule="auto"/>
        <w:rPr>
          <w:sz w:val="20"/>
          <w:szCs w:val="20"/>
          <w:color w:val="auto"/>
        </w:rPr>
      </w:pPr>
      <w:r>
        <w:rPr>
          <w:rFonts w:ascii="Arial" w:cs="Arial" w:eastAsia="Arial" w:hAnsi="Arial"/>
          <w:sz w:val="18"/>
          <w:szCs w:val="18"/>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1428"/>
        <w:spacing w:after="0" w:line="263" w:lineRule="auto"/>
        <w:tabs>
          <w:tab w:leader="none" w:pos="1732"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83" w:lineRule="exact"/>
        <w:rPr>
          <w:rFonts w:ascii="Arial" w:cs="Arial" w:eastAsia="Arial" w:hAnsi="Arial"/>
          <w:sz w:val="18"/>
          <w:szCs w:val="18"/>
          <w:color w:val="auto"/>
        </w:rPr>
      </w:pPr>
    </w:p>
    <w:p>
      <w:pPr>
        <w:ind w:left="120" w:right="60" w:firstLine="1428"/>
        <w:spacing w:after="0" w:line="259" w:lineRule="auto"/>
        <w:tabs>
          <w:tab w:leader="none" w:pos="1732"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number of shares of Common Stock held by each such holder.</w:t>
      </w:r>
    </w:p>
    <w:p>
      <w:pPr>
        <w:spacing w:after="0" w:line="186" w:lineRule="exact"/>
        <w:rPr>
          <w:rFonts w:ascii="Arial" w:cs="Arial" w:eastAsia="Arial" w:hAnsi="Arial"/>
          <w:sz w:val="18"/>
          <w:szCs w:val="18"/>
          <w:color w:val="auto"/>
        </w:rPr>
      </w:pPr>
    </w:p>
    <w:p>
      <w:pPr>
        <w:ind w:left="120" w:right="40" w:firstLine="1428"/>
        <w:spacing w:after="0" w:line="263" w:lineRule="auto"/>
        <w:tabs>
          <w:tab w:leader="none" w:pos="1732"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Transfer Rights</w:t>
      </w:r>
      <w:r>
        <w:rPr>
          <w:rFonts w:ascii="Arial" w:cs="Arial" w:eastAsia="Arial" w:hAnsi="Arial"/>
          <w:sz w:val="18"/>
          <w:szCs w:val="18"/>
          <w:color w:val="auto"/>
        </w:rPr>
        <w:t>. Subject to applicable law and the transfer restrictions set forth in Article VII of the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shares of Common Stock and the rights and obligations associated therewith shall be fully transferable to any transferee.</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8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w:t>
      </w:r>
    </w:p>
    <w:p>
      <w:pPr>
        <w:spacing w:after="0" w:line="17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 The directors of the Corporation shall be classified with respect to the time for which they severally hold office into three classes, designated as Class I, Class II and Class III. Each class shall consist, as nearly as may be possible, of one third of the total number of directors constituting the whole Board. The initial Class I directors shall serve for a term expiring at the first annual meeting of the stockholders following the filing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00"/>
          </w:cols>
          <w:pgMar w:left="320" w:top="459" w:right="47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effectiveness of this Certificate of Incorporation with the Secretary of State of the State of Delaware (the “</w:t>
      </w:r>
      <w:r>
        <w:rPr>
          <w:rFonts w:ascii="Arial" w:cs="Arial" w:eastAsia="Arial" w:hAnsi="Arial"/>
          <w:sz w:val="17"/>
          <w:szCs w:val="17"/>
          <w:u w:val="single" w:color="auto"/>
          <w:color w:val="auto"/>
        </w:rPr>
        <w:t>Effective Time</w:t>
      </w:r>
      <w:r>
        <w:rPr>
          <w:rFonts w:ascii="Arial" w:cs="Arial" w:eastAsia="Arial" w:hAnsi="Arial"/>
          <w:sz w:val="17"/>
          <w:szCs w:val="17"/>
          <w:color w:val="auto"/>
        </w:rPr>
        <w:t>”); the initial Class II directors shall serve for a term expiring at the second annual meeting of the stockholders following the Effective Time; and the initial Class III directors shall serve for a term expiring at the third annual meeting following the Effective Time. At each annual meeting of stockholders of the Corporation beginning with the first annual meeting of stockholders following the Effective Time,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this Certificate of Incorporation.</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 Except as otherwise expressly provided by the DGCL or this Certificate of Incorporation, the business and affairs of the Corporation shall be managed by or under the direction of the Board of Directors. The number of directors that shall constitute the whole Board of Directors shall be fixed exclusively by one or more resolutions adopted from time to time by the Board of Directors in accordance with the Bylaws. If the number of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w:t>
      </w:r>
    </w:p>
    <w:p>
      <w:pPr>
        <w:spacing w:after="0" w:line="19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a majority of the voting power of all of the then outstanding shares of voting stock of the Corporation entitled to vote at an election of directors.</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7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the number of directors that may be elected by the holders of any such series of Preferred Stock shall be in addition to the number fixed pursuant to paragraph B of this </w:t>
      </w:r>
      <w:r>
        <w:rPr>
          <w:rFonts w:ascii="Arial" w:cs="Arial" w:eastAsia="Arial" w:hAnsi="Arial"/>
          <w:sz w:val="16"/>
          <w:szCs w:val="16"/>
          <w:u w:val="single" w:color="auto"/>
          <w:color w:val="auto"/>
        </w:rPr>
        <w:t>Article VI</w:t>
      </w:r>
      <w:r>
        <w:rPr>
          <w:rFonts w:ascii="Arial" w:cs="Arial" w:eastAsia="Arial" w:hAnsi="Arial"/>
          <w:sz w:val="16"/>
          <w:szCs w:val="16"/>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F. In furtherance and not in limitation of the powers conferred by statute, the Board of Directors is expressly authorized to adopt, amend or repeal the Bylaws, subject to the power of the stockholders of the Corporation entitled to vote with respect thereto to adopt, amend or repeal the Bylaws. The stockholders of the Corporation shall also have the power to adopt, amend or repeal the Bylaws;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Bylaws hereafter adopted by the stockholders shall invalidate any prior act of the Board of Directors that would have been valid if such Bylaws had not been adopted.</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 The directors of the Corporation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 Subject to the special rights of the holders of one or more series of Preferred Stock, and to the requirements of applicable law, special meetings of the stockholders of the Corporation may be called for any purpose or purposes, at any time only by or at the direction of the majority of the Board of Directors, the Chairperson of the Board of Directors, the Chief Executive Officer or President, in each case, in accordance with the Bylaws, and shall not be called by any other person or persons. Any such special meeting so called may be postponed, rescheduled or cancelled by the Board of Directors or other person calling the meeting.</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 Advance notice of stockholder nominations for the election of directors and of other business proposed to be brought by stockholders before any meeting of the stockholders of the Corporation shall be given in the manner provided in the Bylaws. Any business transacted at any special meeting of stockholders shall be limited to matters relating to the purpose or purposes identified in the notice of meeting.</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DIRECTOR LIABILITY</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No director of the Corporation shall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Any amendment, repeal or modification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the adoption of any provision of this Certificate of Incorporation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adversely affect any right or protection of a director of the Corporation with respect to any act or omission occurring prior to such amendment, repeal, modification or adoption. If the DGCL is amended after approval by the stockholders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authorize corporate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20"/>
          </w:cols>
          <w:pgMar w:left="320" w:top="459" w:right="45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action further eliminating or limiting the personal liability of directors, then the liability of a director of the Corporation shall be eliminated or limited to the fullest extent permitted by the DGCL as so amended.</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 COMBINATION</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A. The Corporation hereby expressly elects not to be governed by Section 203 of the DGCL, and instead the provisions of </w:t>
      </w:r>
      <w:r>
        <w:rPr>
          <w:rFonts w:ascii="Arial" w:cs="Arial" w:eastAsia="Arial" w:hAnsi="Arial"/>
          <w:sz w:val="18"/>
          <w:szCs w:val="18"/>
          <w:u w:val="single" w:color="auto"/>
          <w:color w:val="auto"/>
        </w:rPr>
        <w:t>Article IX(B)-(D)</w:t>
      </w:r>
      <w:r>
        <w:rPr>
          <w:rFonts w:ascii="Arial" w:cs="Arial" w:eastAsia="Arial" w:hAnsi="Arial"/>
          <w:sz w:val="18"/>
          <w:szCs w:val="18"/>
          <w:color w:val="auto"/>
        </w:rPr>
        <w:t xml:space="preserve"> below shall apply, for so long as the Corporation’s Common Stock is registered under Section 12(b) or 12(g)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 The Corporation shall not engage in any business combination with any interested stockholder (as defined below) for a period of three years following the time that such stockholder became an interested stockholder, unless:</w:t>
      </w:r>
    </w:p>
    <w:p>
      <w:pPr>
        <w:spacing w:after="0" w:line="170" w:lineRule="exact"/>
        <w:rPr>
          <w:sz w:val="20"/>
          <w:szCs w:val="20"/>
          <w:color w:val="auto"/>
        </w:rPr>
      </w:pPr>
    </w:p>
    <w:p>
      <w:pPr>
        <w:ind w:left="120" w:right="700" w:firstLine="436"/>
        <w:spacing w:after="0" w:line="277" w:lineRule="auto"/>
        <w:tabs>
          <w:tab w:leader="none" w:pos="81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120" w:right="20" w:firstLine="436"/>
        <w:spacing w:after="0" w:line="275" w:lineRule="auto"/>
        <w:tabs>
          <w:tab w:leader="none" w:pos="815" w:val="left"/>
        </w:tabs>
        <w:numPr>
          <w:ilvl w:val="0"/>
          <w:numId w:val="432"/>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jc w:val="both"/>
        <w:ind w:left="120" w:right="120" w:firstLine="436"/>
        <w:spacing w:after="0" w:line="263" w:lineRule="auto"/>
        <w:tabs>
          <w:tab w:leader="none" w:pos="81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C. The restrictions contained in the foregoing </w:t>
      </w:r>
      <w:r>
        <w:rPr>
          <w:rFonts w:ascii="Arial" w:cs="Arial" w:eastAsia="Arial" w:hAnsi="Arial"/>
          <w:sz w:val="18"/>
          <w:szCs w:val="18"/>
          <w:u w:val="single" w:color="auto"/>
          <w:color w:val="auto"/>
        </w:rPr>
        <w:t>Article IX(B)</w:t>
      </w:r>
      <w:r>
        <w:rPr>
          <w:rFonts w:ascii="Arial" w:cs="Arial" w:eastAsia="Arial" w:hAnsi="Arial"/>
          <w:sz w:val="18"/>
          <w:szCs w:val="18"/>
          <w:color w:val="auto"/>
        </w:rPr>
        <w:t xml:space="preserve"> shall not apply if:</w:t>
      </w:r>
    </w:p>
    <w:p>
      <w:pPr>
        <w:spacing w:after="0" w:line="225" w:lineRule="exact"/>
        <w:rPr>
          <w:sz w:val="20"/>
          <w:szCs w:val="20"/>
          <w:color w:val="auto"/>
        </w:rPr>
      </w:pPr>
    </w:p>
    <w:p>
      <w:pPr>
        <w:ind w:left="120" w:right="40" w:firstLine="436"/>
        <w:spacing w:after="0" w:line="311" w:lineRule="auto"/>
        <w:tabs>
          <w:tab w:leader="none" w:pos="815" w:val="left"/>
        </w:tabs>
        <w:numPr>
          <w:ilvl w:val="0"/>
          <w:numId w:val="433"/>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the business combination between the Corporation and such stockholder, have been an interested stockholder but for the inadvertent acquisition of ownership; or</w:t>
      </w:r>
    </w:p>
    <w:p>
      <w:pPr>
        <w:spacing w:after="0" w:line="148" w:lineRule="exact"/>
        <w:rPr>
          <w:rFonts w:ascii="Arial" w:cs="Arial" w:eastAsia="Arial" w:hAnsi="Arial"/>
          <w:sz w:val="16"/>
          <w:szCs w:val="16"/>
          <w:color w:val="auto"/>
        </w:rPr>
      </w:pPr>
    </w:p>
    <w:p>
      <w:pPr>
        <w:ind w:left="120" w:firstLine="436"/>
        <w:spacing w:after="0" w:line="269" w:lineRule="auto"/>
        <w:tabs>
          <w:tab w:leader="none" w:pos="81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IX(C)(2)</w:t>
      </w:r>
      <w:r>
        <w:rPr>
          <w:rFonts w:ascii="Arial" w:cs="Arial" w:eastAsia="Arial" w:hAnsi="Arial"/>
          <w:sz w:val="17"/>
          <w:szCs w:val="17"/>
          <w:color w:val="auto"/>
        </w:rPr>
        <w:t>, (ii) is with or by a person who either was not an interested stockholder during the previous three years or who became an interested stockholder with the approval of the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whether as part of a dissolution or otherwise, of assets of the Corporation or of any direct or indirect majority-owned subsidiary of the Corporation (other than to any direct or indirect wholly owned subsidiary or to the Corporation) having an aggregate market value equal to fifty percent or more of either that aggregate market value of all the assets of the Corporation determined on a consolidated basis or the aggregate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80"/>
          </w:cols>
          <w:pgMar w:left="320" w:top="459" w:right="49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market value of all the outstanding stock of the Corporation or (z) a proposed tender or exchange offer for 50% or more of the outstanding voting stock of the Corporation. The Corporation shall give not less than 20 days’ notice to all interested stockholders prior to the consummation of any of the transactions described in clause (x) or (y) of the second sentence of this </w:t>
      </w:r>
      <w:r>
        <w:rPr>
          <w:rFonts w:ascii="Arial" w:cs="Arial" w:eastAsia="Arial" w:hAnsi="Arial"/>
          <w:sz w:val="18"/>
          <w:szCs w:val="18"/>
          <w:u w:val="single" w:color="auto"/>
          <w:color w:val="auto"/>
        </w:rPr>
        <w:t>Article IX(C)(2)</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 For purposes of this Article IX, references to:</w:t>
      </w:r>
    </w:p>
    <w:p>
      <w:pPr>
        <w:spacing w:after="0" w:line="225" w:lineRule="exact"/>
        <w:rPr>
          <w:sz w:val="20"/>
          <w:szCs w:val="20"/>
          <w:color w:val="auto"/>
        </w:rPr>
      </w:pPr>
    </w:p>
    <w:p>
      <w:pPr>
        <w:ind w:left="120" w:right="460" w:firstLine="987"/>
        <w:spacing w:after="0" w:line="277" w:lineRule="auto"/>
        <w:tabs>
          <w:tab w:leader="none" w:pos="1366"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left="120" w:right="120" w:firstLine="987"/>
        <w:spacing w:after="0" w:line="291" w:lineRule="auto"/>
        <w:tabs>
          <w:tab w:leader="none" w:pos="1366" w:val="left"/>
        </w:tabs>
        <w:numPr>
          <w:ilvl w:val="1"/>
          <w:numId w:val="434"/>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 (i) any corporation, partnership, unincorporated association or other entity of which such person is a director, officer or partner or is, directly or indirectly, the owner of 20% or more of the voting power thereof;</w:t>
      </w:r>
    </w:p>
    <w:p>
      <w:pPr>
        <w:ind w:left="120" w:right="560" w:hanging="4"/>
        <w:spacing w:after="0" w:line="323" w:lineRule="auto"/>
        <w:tabs>
          <w:tab w:leader="none" w:pos="38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38" w:lineRule="exact"/>
        <w:rPr>
          <w:rFonts w:ascii="Arial" w:cs="Arial" w:eastAsia="Arial" w:hAnsi="Arial"/>
          <w:sz w:val="16"/>
          <w:szCs w:val="16"/>
          <w:color w:val="auto"/>
        </w:rPr>
      </w:pPr>
    </w:p>
    <w:p>
      <w:pPr>
        <w:ind w:left="1360" w:hanging="253"/>
        <w:spacing w:after="0"/>
        <w:tabs>
          <w:tab w:leader="none" w:pos="1360" w:val="left"/>
        </w:tabs>
        <w:numPr>
          <w:ilvl w:val="1"/>
          <w:numId w:val="435"/>
        </w:numPr>
        <w:rPr>
          <w:rFonts w:ascii="Arial" w:cs="Arial" w:eastAsia="Arial" w:hAnsi="Arial"/>
          <w:sz w:val="17"/>
          <w:szCs w:val="17"/>
          <w:color w:val="auto"/>
        </w:rPr>
      </w:pPr>
      <w:r>
        <w:rPr>
          <w:rFonts w:ascii="Arial" w:cs="Arial" w:eastAsia="Arial" w:hAnsi="Arial"/>
          <w:sz w:val="17"/>
          <w:szCs w:val="17"/>
          <w:color w:val="auto"/>
        </w:rPr>
        <w:t>“business combination,” when used in reference to the Corporation and any interested stockholder of the Corporation, means:</w:t>
      </w:r>
    </w:p>
    <w:p>
      <w:pPr>
        <w:spacing w:after="0" w:line="236" w:lineRule="exact"/>
        <w:rPr>
          <w:rFonts w:ascii="Arial" w:cs="Arial" w:eastAsia="Arial" w:hAnsi="Arial"/>
          <w:sz w:val="17"/>
          <w:szCs w:val="17"/>
          <w:color w:val="auto"/>
        </w:rPr>
      </w:pPr>
    </w:p>
    <w:p>
      <w:pPr>
        <w:ind w:left="120" w:firstLine="1428"/>
        <w:spacing w:after="0" w:line="311" w:lineRule="auto"/>
        <w:tabs>
          <w:tab w:leader="none" w:pos="1722" w:val="left"/>
        </w:tabs>
        <w:numPr>
          <w:ilvl w:val="2"/>
          <w:numId w:val="435"/>
        </w:numPr>
        <w:rPr>
          <w:rFonts w:ascii="Arial" w:cs="Arial" w:eastAsia="Arial" w:hAnsi="Arial"/>
          <w:sz w:val="16"/>
          <w:szCs w:val="16"/>
          <w:color w:val="auto"/>
        </w:rPr>
      </w:pPr>
      <w:r>
        <w:rPr>
          <w:rFonts w:ascii="Arial" w:cs="Arial" w:eastAsia="Arial" w:hAnsi="Arial"/>
          <w:sz w:val="16"/>
          <w:szCs w:val="16"/>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subsection (B)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is not applicable to the surviving entity;</w:t>
      </w:r>
    </w:p>
    <w:p>
      <w:pPr>
        <w:spacing w:after="0" w:line="148" w:lineRule="exact"/>
        <w:rPr>
          <w:rFonts w:ascii="Arial" w:cs="Arial" w:eastAsia="Arial" w:hAnsi="Arial"/>
          <w:sz w:val="16"/>
          <w:szCs w:val="16"/>
          <w:color w:val="auto"/>
        </w:rPr>
      </w:pPr>
    </w:p>
    <w:p>
      <w:pPr>
        <w:ind w:left="120" w:firstLine="1428"/>
        <w:spacing w:after="0" w:line="257" w:lineRule="auto"/>
        <w:tabs>
          <w:tab w:leader="none" w:pos="1732" w:val="left"/>
        </w:tabs>
        <w:numPr>
          <w:ilvl w:val="2"/>
          <w:numId w:val="435"/>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ind w:left="120" w:firstLine="1428"/>
        <w:spacing w:after="0" w:line="288" w:lineRule="auto"/>
        <w:tabs>
          <w:tab w:leader="none" w:pos="1722" w:val="left"/>
        </w:tabs>
        <w:numPr>
          <w:ilvl w:val="2"/>
          <w:numId w:val="435"/>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 through (v) of this subsection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68" w:lineRule="exact"/>
        <w:rPr>
          <w:rFonts w:ascii="Arial" w:cs="Arial" w:eastAsia="Arial" w:hAnsi="Arial"/>
          <w:sz w:val="16"/>
          <w:szCs w:val="16"/>
          <w:color w:val="auto"/>
        </w:rPr>
      </w:pPr>
    </w:p>
    <w:p>
      <w:pPr>
        <w:ind w:left="120" w:right="120" w:firstLine="1428"/>
        <w:spacing w:after="0" w:line="311" w:lineRule="auto"/>
        <w:tabs>
          <w:tab w:leader="none" w:pos="1732" w:val="left"/>
        </w:tabs>
        <w:numPr>
          <w:ilvl w:val="2"/>
          <w:numId w:val="435"/>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80"/>
          </w:cols>
          <w:pgMar w:left="320" w:top="459" w:right="49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fractional share adjustments or as a result of any purchase or redemption of any shares of stock not caused, directly or indirectly, by the interested stockholder; or</w:t>
      </w:r>
    </w:p>
    <w:p>
      <w:pPr>
        <w:spacing w:after="0" w:line="170" w:lineRule="exact"/>
        <w:rPr>
          <w:sz w:val="20"/>
          <w:szCs w:val="20"/>
          <w:color w:val="auto"/>
        </w:rPr>
      </w:pPr>
    </w:p>
    <w:p>
      <w:pPr>
        <w:ind w:left="120" w:right="40" w:firstLine="1432"/>
        <w:spacing w:after="0" w:line="263" w:lineRule="auto"/>
        <w:rPr>
          <w:sz w:val="20"/>
          <w:szCs w:val="20"/>
          <w:color w:val="auto"/>
        </w:rPr>
      </w:pPr>
      <w:r>
        <w:rPr>
          <w:rFonts w:ascii="Arial" w:cs="Arial" w:eastAsia="Arial" w:hAnsi="Arial"/>
          <w:sz w:val="18"/>
          <w:szCs w:val="18"/>
          <w:color w:val="auto"/>
        </w:rPr>
        <w:t>e. 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184" w:lineRule="exact"/>
        <w:rPr>
          <w:sz w:val="20"/>
          <w:szCs w:val="20"/>
          <w:color w:val="auto"/>
        </w:rPr>
      </w:pPr>
    </w:p>
    <w:p>
      <w:pPr>
        <w:ind w:left="120" w:firstLine="987"/>
        <w:spacing w:after="0" w:line="254" w:lineRule="auto"/>
        <w:tabs>
          <w:tab w:leader="none" w:pos="136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subsection (D) of </w:t>
      </w:r>
      <w:r>
        <w:rPr>
          <w:rFonts w:ascii="Arial" w:cs="Arial" w:eastAsia="Arial" w:hAnsi="Arial"/>
          <w:sz w:val="18"/>
          <w:szCs w:val="18"/>
          <w:u w:val="single" w:color="auto"/>
          <w:color w:val="auto"/>
        </w:rPr>
        <w:t>Article IX</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left="120" w:right="40" w:firstLine="987"/>
        <w:spacing w:after="0" w:line="287" w:lineRule="auto"/>
        <w:tabs>
          <w:tab w:leader="none" w:pos="1366"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Stockholder Party, any Stockholder Party Direct Transferee, any Stockholder Party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w:t>
      </w:r>
    </w:p>
    <w:p>
      <w:pPr>
        <w:spacing w:after="0" w:line="171" w:lineRule="exact"/>
        <w:rPr>
          <w:rFonts w:ascii="Arial" w:cs="Arial" w:eastAsia="Arial" w:hAnsi="Arial"/>
          <w:sz w:val="16"/>
          <w:szCs w:val="16"/>
          <w:color w:val="auto"/>
        </w:rPr>
      </w:pPr>
    </w:p>
    <w:p>
      <w:pPr>
        <w:ind w:left="120" w:right="300" w:firstLine="987"/>
        <w:spacing w:after="0" w:line="277" w:lineRule="auto"/>
        <w:tabs>
          <w:tab w:leader="none" w:pos="136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720" w:hanging="172"/>
        <w:spacing w:after="0"/>
        <w:tabs>
          <w:tab w:leader="none" w:pos="172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w:t>
      </w:r>
    </w:p>
    <w:p>
      <w:pPr>
        <w:spacing w:after="0" w:line="225" w:lineRule="exact"/>
        <w:rPr>
          <w:rFonts w:ascii="Arial" w:cs="Arial" w:eastAsia="Arial" w:hAnsi="Arial"/>
          <w:sz w:val="18"/>
          <w:szCs w:val="18"/>
          <w:color w:val="auto"/>
        </w:rPr>
      </w:pPr>
    </w:p>
    <w:p>
      <w:pPr>
        <w:ind w:left="120" w:firstLine="1428"/>
        <w:spacing w:after="0" w:line="272" w:lineRule="auto"/>
        <w:tabs>
          <w:tab w:leader="none" w:pos="1732" w:val="left"/>
        </w:tabs>
        <w:numPr>
          <w:ilvl w:val="1"/>
          <w:numId w:val="436"/>
        </w:numPr>
        <w:rPr>
          <w:rFonts w:ascii="Arial" w:cs="Arial" w:eastAsia="Arial" w:hAnsi="Arial"/>
          <w:sz w:val="17"/>
          <w:szCs w:val="17"/>
          <w:color w:val="auto"/>
        </w:rPr>
      </w:pPr>
      <w:r>
        <w:rPr>
          <w:rFonts w:ascii="Arial" w:cs="Arial" w:eastAsia="Arial" w:hAnsi="Arial"/>
          <w:sz w:val="17"/>
          <w:szCs w:val="17"/>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177" w:lineRule="exact"/>
        <w:rPr>
          <w:rFonts w:ascii="Arial" w:cs="Arial" w:eastAsia="Arial" w:hAnsi="Arial"/>
          <w:sz w:val="17"/>
          <w:szCs w:val="17"/>
          <w:color w:val="auto"/>
        </w:rPr>
      </w:pPr>
    </w:p>
    <w:p>
      <w:pPr>
        <w:ind w:left="120" w:right="60" w:firstLine="1428"/>
        <w:spacing w:after="0" w:line="263" w:lineRule="auto"/>
        <w:tabs>
          <w:tab w:leader="none" w:pos="1722" w:val="left"/>
        </w:tabs>
        <w:numPr>
          <w:ilvl w:val="1"/>
          <w:numId w:val="436"/>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“person” means any individual, corporation, partnership, unincorporated association or other entity.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“Stockholder Party” means any stockholder of the Corporation.</w:t>
      </w:r>
    </w:p>
    <w:p>
      <w:pPr>
        <w:spacing w:after="0" w:line="225" w:lineRule="exact"/>
        <w:rPr>
          <w:rFonts w:ascii="Arial" w:cs="Arial" w:eastAsia="Arial" w:hAnsi="Arial"/>
          <w:sz w:val="18"/>
          <w:szCs w:val="18"/>
          <w:color w:val="auto"/>
        </w:rPr>
      </w:pPr>
    </w:p>
    <w:p>
      <w:pPr>
        <w:ind w:left="120" w:right="100" w:firstLine="987"/>
        <w:spacing w:after="0" w:line="263" w:lineRule="auto"/>
        <w:tabs>
          <w:tab w:leader="none" w:pos="145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“Stockholder Party Direct Transferee”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 outstanding voting stock of the Corporation.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4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“Stockholder Party Indirect Transferee” means any person that acquires (other than in a registered public offering) directly from any Stockholder Party Direct Transferee or any other Stockholder Party Indirect Transferee beneficial ownership of 15% or more of the then outstanding voting stock of the Corporation.</w:t>
      </w:r>
    </w:p>
    <w:p>
      <w:pPr>
        <w:spacing w:after="0" w:line="183" w:lineRule="exact"/>
        <w:rPr>
          <w:rFonts w:ascii="Arial" w:cs="Arial" w:eastAsia="Arial" w:hAnsi="Arial"/>
          <w:sz w:val="18"/>
          <w:szCs w:val="18"/>
          <w:color w:val="auto"/>
        </w:rPr>
      </w:pPr>
    </w:p>
    <w:p>
      <w:pPr>
        <w:ind w:left="120" w:right="160" w:firstLine="987"/>
        <w:spacing w:after="0" w:line="259" w:lineRule="auto"/>
        <w:tabs>
          <w:tab w:leader="none" w:pos="145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be calculated on the basis of the aggregate number of votes applicable to all shares of such voting stock, and by allocating to each share of voting stock, that number of votes to which such share is entitled.</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Corporation shall indemnify any person to the fullest extent authorized or permitted by applicable law, as now or hereafter in effect,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shall include the right to be paid by the Corporation the expenses (including attorney’s fees)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to directors and officers of the Corporation. The rights to indemnification and to the advancement of expenses conferred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not be exclusive of any other right which any person may have or hereafter acquire under this Certificate of Incorporation, the Bylaws, any statute, agreement, vote of stockholders or disinterested directors or otherwise. Any repeal or modification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by the stockholders of the Corporation shall not adversely affect any rights to indemnification and to the advancement of expenses of a director, officer, employee or agent of the Corporation (collectively, the “</w:t>
      </w:r>
      <w:r>
        <w:rPr>
          <w:rFonts w:ascii="Arial" w:cs="Arial" w:eastAsia="Arial" w:hAnsi="Arial"/>
          <w:sz w:val="16"/>
          <w:szCs w:val="16"/>
          <w:u w:val="single" w:color="auto"/>
          <w:color w:val="auto"/>
        </w:rPr>
        <w:t>Covered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Persons</w:t>
      </w:r>
      <w:r>
        <w:rPr>
          <w:rFonts w:ascii="Arial" w:cs="Arial" w:eastAsia="Arial" w:hAnsi="Arial"/>
          <w:sz w:val="16"/>
          <w:szCs w:val="16"/>
          <w:color w:val="auto"/>
        </w:rPr>
        <w:t>”) existing at the time of such repeal or modification with respect to any acts or omissions occurring prior to such repeal or modification.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20"/>
          </w:cols>
          <w:pgMar w:left="320" w:top="459" w:right="45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Corporation hereby acknowledges that certain Covered Persons may have rights to indemnification and advancement of expenses (directly or through insurance obtained by any such entity) provided by one or more third parties (collectively, the “</w:t>
      </w:r>
      <w:r>
        <w:rPr>
          <w:rFonts w:ascii="Arial" w:cs="Arial" w:eastAsia="Arial" w:hAnsi="Arial"/>
          <w:sz w:val="16"/>
          <w:szCs w:val="16"/>
          <w:u w:val="single" w:color="auto"/>
          <w:color w:val="auto"/>
        </w:rPr>
        <w:t>Other Indemnitors</w:t>
      </w:r>
      <w:r>
        <w:rPr>
          <w:rFonts w:ascii="Arial" w:cs="Arial" w:eastAsia="Arial" w:hAnsi="Arial"/>
          <w:sz w:val="16"/>
          <w:szCs w:val="16"/>
          <w:color w:val="auto"/>
        </w:rPr>
        <w:t>”),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and (ii) the Corporation shall be required to indemnify and advance the full amount of expenses incurred by the Covered Persons, to the fullest extent required by law, the terms of this Certificate of Incorporation, the Bylaws, any agreement to which the Corporation is a party, any vote of the stockholders or the Board of Directors, or otherwise, without regard to any rights the Covered Persons may have against the Other Indemnitors.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 Notwithstanding anything to the contrary herein, the obligations of the Corporation under this paragraph shall only apply to Covered Persons in their capacity as Covered Persons.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 AND CORPORATE OPPORTUNITIES</w:t>
      </w:r>
    </w:p>
    <w:p>
      <w:pPr>
        <w:spacing w:after="0" w:line="21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A. In recognition and anticipation that (a) certain directors, principals, officers, employees and/or other representatives of the Sponsor, (as defined in the Registration Rights Agreement) and its Affiliates (as defined below) may serve as directors, officers or agents of the Corporation, (b) the Sponsor and its Affiliates, including (i) any portfolio company in which it or any of its investment fund Affiliates have made a debt or equity investment (and vice versa) or (ii) any of its limited partners, non-managing members or other similar direct or indirect investors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(c) members of the Board of Directors who are not employees of the Corporation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xml:space="preserve">”) and their respective Affiliates, including (i) any portfolio company in which they or any of their respective investment fund Affiliates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are set forth to regulate and define the conduct of certain affairs of the Corporation with respect to certain classes or categories of business opportunities as they may involve any Sponsor, Non-Employee Director or their respective Affiliates and the powers, rights, duties and liabilities of the Corporation and its directors, officers and stockholders in connection therewith.</w:t>
      </w:r>
    </w:p>
    <w:p>
      <w:pPr>
        <w:spacing w:after="0" w:line="184" w:lineRule="exact"/>
        <w:rPr>
          <w:sz w:val="20"/>
          <w:szCs w:val="20"/>
          <w:color w:val="auto"/>
        </w:rPr>
      </w:pPr>
    </w:p>
    <w:p>
      <w:pPr>
        <w:ind w:left="120" w:right="140" w:firstLine="991"/>
        <w:spacing w:after="0" w:line="286" w:lineRule="auto"/>
        <w:rPr>
          <w:sz w:val="20"/>
          <w:szCs w:val="20"/>
          <w:color w:val="auto"/>
        </w:rPr>
      </w:pPr>
      <w:r>
        <w:rPr>
          <w:rFonts w:ascii="Arial" w:cs="Arial" w:eastAsia="Arial" w:hAnsi="Arial"/>
          <w:sz w:val="16"/>
          <w:szCs w:val="16"/>
          <w:color w:val="auto"/>
        </w:rPr>
        <w:t>B. Neither the (i) the Sponsor nor (ii) any Non-Employee Director (including any Non-Employee Director who serves as an officer of the Corporation in both his or her director and officer capacities) or his or her Affiliates (other than the Corporation, any of its subsidiaries or their respective officers or employees) (the Persons (as defined below) identified in (i) and (ii)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rPr>
        <w:t>” and, individually, as an “</w:t>
      </w:r>
      <w:r>
        <w:rPr>
          <w:rFonts w:ascii="Arial" w:cs="Arial" w:eastAsia="Arial" w:hAnsi="Arial"/>
          <w:sz w:val="16"/>
          <w:szCs w:val="16"/>
          <w:u w:val="single" w:color="auto"/>
          <w:color w:val="auto"/>
        </w:rPr>
        <w:t>Identified Person</w:t>
      </w:r>
      <w:r>
        <w:rPr>
          <w:rFonts w:ascii="Arial" w:cs="Arial" w:eastAsia="Arial" w:hAnsi="Arial"/>
          <w:sz w:val="16"/>
          <w:szCs w:val="16"/>
          <w:color w:val="auto"/>
        </w:rPr>
        <w:t>”) shall, to the fullest extent permitted by law, have any fiduciary duty to refrain from directly or indirectly</w:t>
      </w:r>
    </w:p>
    <w:p>
      <w:pPr>
        <w:spacing w:after="0" w:line="1" w:lineRule="exact"/>
        <w:rPr>
          <w:sz w:val="20"/>
          <w:szCs w:val="20"/>
          <w:color w:val="auto"/>
        </w:rPr>
      </w:pPr>
    </w:p>
    <w:p>
      <w:pPr>
        <w:ind w:left="120" w:right="120" w:hanging="4"/>
        <w:spacing w:after="0" w:line="255" w:lineRule="auto"/>
        <w:tabs>
          <w:tab w:leader="none" w:pos="41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engaging in and possessing interests in other business ventures of every type and description, including those engaged in the same or similar business activities or lines of business in which the Corporation or any of its subsidiaries now engages or proposes to engage or (B) competing with the Corporation or any of its subsidiaries, on its own account, or in partnership with, or as an employee, officer,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40"/>
          </w:cols>
          <w:pgMar w:left="320" w:top="459" w:right="43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director or shareholder of any other Person (other than the Corporation or any of its subsidiaries),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that may be a corporate opportunity for an Identified Person and the Corporation or any of its Affiliates, except as provided in Section C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Subject to Section C of </w:t>
      </w:r>
      <w:r>
        <w:rPr>
          <w:rFonts w:ascii="Arial" w:cs="Arial" w:eastAsia="Arial" w:hAnsi="Arial"/>
          <w:sz w:val="16"/>
          <w:szCs w:val="16"/>
          <w:u w:val="single" w:color="auto"/>
          <w:color w:val="auto"/>
        </w:rPr>
        <w:t>Article XI</w:t>
      </w:r>
      <w:r>
        <w:rPr>
          <w:rFonts w:ascii="Arial" w:cs="Arial" w:eastAsia="Arial" w:hAnsi="Arial"/>
          <w:sz w:val="16"/>
          <w:szCs w:val="16"/>
          <w:color w:val="auto"/>
        </w:rPr>
        <w:t>, in the event that any Identified Person acquires knowledge of a potential transaction or matter that may be a corporate or other business opportunity for itself, herself or himself, or any of its or his or her Affiliates, and the Corporation or any of its Affiliates, such Identified Person shall, to the fullest extent permitted by law, have no duty (fiduciary, contractual or otherwise) to communicate or present such transaction or matter to the Corporation or any of its subsidiaries, as the case may be and, to the fullest extent permitted by law, shall not be liable to the Corporation or its stockholders or to any subsidiary of the Corporation for breach of any duty (fiduciary, contractual or otherwise) as a stockholder or director of the Corporation by reason of the fact that such Identified Person, directly or indirectly, pursues or acquires such opportunity for itself, herself or himself, directs such opportunity to another Person or does not present such opportunity to the Corporation or any of its subsidiaries (or its Affiliates).</w:t>
      </w:r>
    </w:p>
    <w:p>
      <w:pPr>
        <w:spacing w:after="0" w:line="168"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 xml:space="preserve">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not apply to any such corporate opportunity.</w:t>
      </w:r>
    </w:p>
    <w:p>
      <w:pPr>
        <w:spacing w:after="0" w:line="14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D. In addition to and notwithstanding the foregoing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a corporate opportunity shall not be deemed to be a potential corporate opportunity for the Corporation if it is a business opportunity that (a) the Corporation is neither financially or legally able, nor contractually permitted to undertake, (b) from its nature, is not in the line of the Corporation’s business or is of no practical advantage to the Corporation or (c) is one in which the Corporation has no interest or reasonable expectancy.</w:t>
      </w:r>
    </w:p>
    <w:p>
      <w:pPr>
        <w:spacing w:after="0" w:line="187"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 xml:space="preserve">E. For purposes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(i)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in respect of the Sponsor, any Person that, directly or indirectly, is controlled by the Sponsor, controls Sponsor or is under common control with the Sponsor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general or limited partnership, limited liability company, joint venture, trust, association or any other entity.</w:t>
      </w:r>
    </w:p>
    <w:p>
      <w:pPr>
        <w:spacing w:after="0" w:line="195"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 xml:space="preserve">F. To the fullest extent permitted by law, any Person purchasing or otherwise acquiring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EXCLUSIVE FORUM</w:t>
      </w:r>
    </w:p>
    <w:p>
      <w:pPr>
        <w:spacing w:after="0" w:line="21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 Unless the Corporation consents in writing to the selection of an alternative forum, the Court of Chancery (the “</w:t>
      </w:r>
      <w:r>
        <w:rPr>
          <w:rFonts w:ascii="Arial" w:cs="Arial" w:eastAsia="Arial" w:hAnsi="Arial"/>
          <w:sz w:val="16"/>
          <w:szCs w:val="16"/>
          <w:u w:val="single" w:color="auto"/>
          <w:color w:val="auto"/>
        </w:rPr>
        <w:t>Chancery Court</w:t>
      </w:r>
      <w:r>
        <w:rPr>
          <w:rFonts w:ascii="Arial" w:cs="Arial" w:eastAsia="Arial" w:hAnsi="Arial"/>
          <w:sz w:val="16"/>
          <w:szCs w:val="16"/>
          <w:color w:val="auto"/>
        </w:rPr>
        <w:t>”) of the State of Delaware (or, in the event that the Chancery Court does not have jurisdiction, the federal district court for the District of Delaware or other state courts of the State of Delaware) and any appellate court thereof shall, to the fullest extent permitted by law, be the sole and exclusive forum for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20"/>
          </w:cols>
          <w:pgMar w:left="320" w:top="459" w:right="45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69" w:lineRule="auto"/>
        <w:tabs>
          <w:tab w:leader="none" w:pos="335" w:val="left"/>
        </w:tabs>
        <w:numPr>
          <w:ilvl w:val="0"/>
          <w:numId w:val="439"/>
        </w:numPr>
        <w:rPr>
          <w:rFonts w:ascii="Arial" w:cs="Arial" w:eastAsia="Arial" w:hAnsi="Arial"/>
          <w:sz w:val="17"/>
          <w:szCs w:val="17"/>
          <w:color w:val="auto"/>
        </w:rPr>
      </w:pPr>
      <w:r>
        <w:rPr>
          <w:rFonts w:ascii="Arial" w:cs="Arial" w:eastAsia="Arial" w:hAnsi="Arial"/>
          <w:sz w:val="17"/>
          <w:szCs w:val="17"/>
          <w:color w:val="auto"/>
        </w:rPr>
        <w:t>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Certificate of Incorporation (as either may be amended from time to time), (iv) any action, suit or proceeding as to which the DGCL confers jurisdiction on the Court of Chancery of the State of Delaware, or (v) any action, suit or proceeding asserting a claim against the Corporation or any current or former director, officer or stockholder governed by the internal affairs doctrine. If any action the subject matter of which is within the scope of the immediately preceding sentence is filed in a court other than the courts 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in the name of any stockholder, such stockholder shall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Notwithstanding the foregoing, the provisions of this Article XII(A) shall not apply to suits brought to enforce any liability or duty created by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Exchange Act or any other claim for which the federal courts of the United States have exclusive jurisdiction.</w:t>
      </w:r>
    </w:p>
    <w:p>
      <w:pPr>
        <w:spacing w:after="0" w:line="178" w:lineRule="exact"/>
        <w:rPr>
          <w:rFonts w:ascii="Arial" w:cs="Arial" w:eastAsia="Arial" w:hAnsi="Arial"/>
          <w:sz w:val="17"/>
          <w:szCs w:val="17"/>
          <w:color w:val="auto"/>
        </w:rPr>
      </w:pPr>
    </w:p>
    <w:p>
      <w:pPr>
        <w:ind w:left="120" w:right="320" w:firstLine="436"/>
        <w:spacing w:after="0" w:line="263" w:lineRule="auto"/>
        <w:tabs>
          <w:tab w:leader="none" w:pos="77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83" w:lineRule="exact"/>
        <w:rPr>
          <w:rFonts w:ascii="Arial" w:cs="Arial" w:eastAsia="Arial" w:hAnsi="Arial"/>
          <w:sz w:val="18"/>
          <w:szCs w:val="18"/>
          <w:color w:val="auto"/>
        </w:rPr>
      </w:pPr>
    </w:p>
    <w:p>
      <w:pPr>
        <w:ind w:left="120" w:right="260" w:firstLine="436"/>
        <w:spacing w:after="0" w:line="277" w:lineRule="auto"/>
        <w:tabs>
          <w:tab w:leader="none" w:pos="77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 xml:space="preserve">Any person or entity purchasing or otherwise acquiring any interest in any security of the Corporation shall be deemed to have notice of and consented to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 xml:space="preserve">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w:t>
      </w:r>
      <w:r>
        <w:rPr>
          <w:rFonts w:ascii="Arial" w:cs="Arial" w:eastAsia="Arial" w:hAnsi="Arial"/>
          <w:sz w:val="18"/>
          <w:szCs w:val="18"/>
          <w:u w:val="single" w:color="auto"/>
          <w:color w:val="auto"/>
        </w:rPr>
        <w:t>Article V(B)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Board of </w:t>
      </w:r>
      <w:r>
        <w:rPr>
          <w:rFonts w:ascii="Arial" w:cs="Arial" w:eastAsia="Arial" w:hAnsi="Arial"/>
          <w:sz w:val="18"/>
          <w:szCs w:val="18"/>
          <w:color w:val="auto"/>
        </w:rPr>
        <w:t>Directors,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i w:val="1"/>
          <w:iCs w:val="1"/>
          <w:color w:val="auto"/>
        </w:rPr>
        <w:t xml:space="preserve"> Meeting of Stockholders; Action by Written Consent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i w:val="1"/>
          <w:iCs w:val="1"/>
          <w:color w:val="auto"/>
        </w:rPr>
        <w:t xml:space="preserve"> Limitation of Director Liability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i w:val="1"/>
          <w:iCs w:val="1"/>
          <w:color w:val="auto"/>
        </w:rPr>
        <w:t xml:space="preserve"> Business Combination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i w:val="1"/>
          <w:iCs w:val="1"/>
          <w:color w:val="auto"/>
        </w:rPr>
        <w:t xml:space="preserve"> Indemnification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i w:val="1"/>
          <w:iCs w:val="1"/>
          <w:color w:val="auto"/>
        </w:rPr>
        <w:t xml:space="preserve"> Competition and Corporate Opportunities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XII</w:t>
      </w:r>
      <w:r>
        <w:rPr>
          <w:rFonts w:ascii="Arial" w:cs="Arial" w:eastAsia="Arial" w:hAnsi="Arial"/>
          <w:sz w:val="18"/>
          <w:szCs w:val="18"/>
          <w:i w:val="1"/>
          <w:iCs w:val="1"/>
          <w:color w:val="auto"/>
        </w:rPr>
        <w:t xml:space="preserve"> Exclusive Forum </w:t>
      </w:r>
      <w:r>
        <w:rPr>
          <w:rFonts w:ascii="Arial" w:cs="Arial" w:eastAsia="Arial" w:hAnsi="Arial"/>
          <w:sz w:val="18"/>
          <w:szCs w:val="18"/>
          <w:color w:val="auto"/>
        </w:rPr>
        <w:t>and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XIII</w:t>
      </w:r>
      <w:r>
        <w:rPr>
          <w:rFonts w:ascii="Arial" w:cs="Arial" w:eastAsia="Arial" w:hAnsi="Arial"/>
          <w:sz w:val="18"/>
          <w:szCs w:val="18"/>
          <w:i w:val="1"/>
          <w:iCs w:val="1"/>
          <w:color w:val="auto"/>
        </w:rPr>
        <w:t xml:space="preserve"> Miscellaneous</w:t>
      </w:r>
      <w:r>
        <w:rPr>
          <w:rFonts w:ascii="Arial" w:cs="Arial" w:eastAsia="Arial" w:hAnsi="Arial"/>
          <w:sz w:val="18"/>
          <w:szCs w:val="18"/>
          <w:color w:val="auto"/>
        </w:rPr>
        <w:t>.</w:t>
      </w:r>
    </w:p>
    <w:p>
      <w:pPr>
        <w:spacing w:after="0" w:line="195"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20"/>
          </w:cols>
          <w:pgMar w:left="320" w:top="459" w:right="45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WITNESS WHEREOF, the Corporation has caused this Certificate of Incorporation to be executed by its duly authorized officer as this</w:t>
      </w:r>
    </w:p>
    <w:p>
      <w:pPr>
        <w:spacing w:after="0" w:line="2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day of</w:t>
            </w:r>
          </w:p>
        </w:tc>
        <w:tc>
          <w:tcPr>
            <w:tcW w:w="5360" w:type="dxa"/>
            <w:vAlign w:val="bottom"/>
          </w:tcPr>
          <w:p>
            <w:pPr>
              <w:ind w:left="560"/>
              <w:spacing w:after="0"/>
              <w:rPr>
                <w:sz w:val="20"/>
                <w:szCs w:val="20"/>
                <w:color w:val="auto"/>
              </w:rPr>
            </w:pPr>
            <w:r>
              <w:rPr>
                <w:rFonts w:ascii="Arial" w:cs="Arial" w:eastAsia="Arial" w:hAnsi="Arial"/>
                <w:sz w:val="18"/>
                <w:szCs w:val="18"/>
                <w:color w:val="auto"/>
              </w:rPr>
              <w:t>, 2021.</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20" w:type="dxa"/>
            <w:vAlign w:val="bottom"/>
          </w:tcPr>
          <w:p>
            <w:pPr>
              <w:spacing w:after="0"/>
              <w:rPr>
                <w:sz w:val="24"/>
                <w:szCs w:val="24"/>
                <w:color w:val="auto"/>
              </w:rPr>
            </w:pPr>
          </w:p>
        </w:tc>
        <w:tc>
          <w:tcPr>
            <w:tcW w:w="9240" w:type="dxa"/>
            <w:vAlign w:val="bottom"/>
            <w:gridSpan w:val="2"/>
          </w:tcPr>
          <w:p>
            <w:pPr>
              <w:ind w:left="4840"/>
              <w:spacing w:after="0"/>
              <w:rPr>
                <w:sz w:val="20"/>
                <w:szCs w:val="20"/>
                <w:color w:val="auto"/>
              </w:rPr>
            </w:pPr>
            <w:r>
              <w:rPr>
                <w:rFonts w:ascii="Arial" w:cs="Arial" w:eastAsia="Arial" w:hAnsi="Arial"/>
                <w:sz w:val="18"/>
                <w:szCs w:val="18"/>
                <w:b w:val="1"/>
                <w:bCs w:val="1"/>
                <w:color w:val="auto"/>
              </w:rPr>
              <w:t>Hudson Executive Investment Corp.</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240" w:type="dxa"/>
            <w:vAlign w:val="bottom"/>
            <w:gridSpan w:val="2"/>
          </w:tcPr>
          <w:p>
            <w:pPr>
              <w:ind w:left="48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360" w:type="dxa"/>
            <w:vAlign w:val="bottom"/>
            <w:vMerge w:val="restart"/>
          </w:tcPr>
          <w:p>
            <w:pPr>
              <w:ind w:left="4840"/>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240" w:type="dxa"/>
            <w:vAlign w:val="bottom"/>
            <w:gridSpan w:val="2"/>
          </w:tcPr>
          <w:p>
            <w:pPr>
              <w:ind w:left="4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B-13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Bylaws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1140"/>
          </w:cols>
          <w:pgMar w:left="320" w:top="459" w:right="43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66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r>
      <w:tr>
        <w:trPr>
          <w:trHeight w:val="392"/>
        </w:trPr>
        <w:tc>
          <w:tcPr>
            <w:tcW w:w="88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9660" w:type="dxa"/>
            <w:vAlign w:val="bottom"/>
          </w:tcPr>
          <w:p>
            <w:pPr>
              <w:ind w:left="200"/>
              <w:spacing w:after="0"/>
              <w:rPr>
                <w:sz w:val="20"/>
                <w:szCs w:val="20"/>
                <w:color w:val="auto"/>
              </w:rPr>
            </w:pPr>
            <w:r>
              <w:rPr>
                <w:rFonts w:ascii="Arial" w:cs="Arial" w:eastAsia="Arial" w:hAnsi="Arial"/>
                <w:sz w:val="18"/>
                <w:szCs w:val="18"/>
                <w:color w:val="auto"/>
              </w:rPr>
              <w:t>Registered Office</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9660" w:type="dxa"/>
            <w:vAlign w:val="bottom"/>
          </w:tcPr>
          <w:p>
            <w:pPr>
              <w:ind w:left="200"/>
              <w:spacing w:after="0"/>
              <w:rPr>
                <w:sz w:val="20"/>
                <w:szCs w:val="20"/>
                <w:color w:val="auto"/>
              </w:rPr>
            </w:pPr>
            <w:r>
              <w:rPr>
                <w:rFonts w:ascii="Arial" w:cs="Arial" w:eastAsia="Arial" w:hAnsi="Arial"/>
                <w:sz w:val="18"/>
                <w:szCs w:val="18"/>
                <w:color w:val="auto"/>
              </w:rPr>
              <w:t>Other Offices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966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9660" w:type="dxa"/>
            <w:vAlign w:val="bottom"/>
          </w:tcPr>
          <w:p>
            <w:pPr>
              <w:ind w:left="200"/>
              <w:spacing w:after="0"/>
              <w:rPr>
                <w:sz w:val="20"/>
                <w:szCs w:val="20"/>
                <w:color w:val="auto"/>
              </w:rPr>
            </w:pPr>
            <w:r>
              <w:rPr>
                <w:rFonts w:ascii="Arial" w:cs="Arial" w:eastAsia="Arial" w:hAnsi="Arial"/>
                <w:sz w:val="18"/>
                <w:szCs w:val="18"/>
                <w:color w:val="auto"/>
              </w:rPr>
              <w:t>Annual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9660" w:type="dxa"/>
            <w:vAlign w:val="bottom"/>
          </w:tcPr>
          <w:p>
            <w:pPr>
              <w:ind w:left="200"/>
              <w:spacing w:after="0"/>
              <w:rPr>
                <w:sz w:val="20"/>
                <w:szCs w:val="20"/>
                <w:color w:val="auto"/>
              </w:rPr>
            </w:pPr>
            <w:r>
              <w:rPr>
                <w:rFonts w:ascii="Arial" w:cs="Arial" w:eastAsia="Arial" w:hAnsi="Arial"/>
                <w:sz w:val="18"/>
                <w:szCs w:val="18"/>
                <w:color w:val="auto"/>
              </w:rPr>
              <w:t>Special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 of Business to be Brought before a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 of Nominations for Election to the Board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Additional Requirements for Valid Nomination of Candidates to Serve as Director and, if Elected, to be Seated as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 of Stockholders’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C-8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9660" w:type="dxa"/>
            <w:vAlign w:val="bottom"/>
          </w:tcPr>
          <w:p>
            <w:pPr>
              <w:ind w:left="200"/>
              <w:spacing w:after="0"/>
              <w:rPr>
                <w:sz w:val="20"/>
                <w:szCs w:val="20"/>
                <w:color w:val="auto"/>
              </w:rPr>
            </w:pPr>
            <w:r>
              <w:rPr>
                <w:rFonts w:ascii="Arial" w:cs="Arial" w:eastAsia="Arial" w:hAnsi="Arial"/>
                <w:sz w:val="18"/>
                <w:szCs w:val="18"/>
                <w:color w:val="auto"/>
              </w:rPr>
              <w:t>Quorum</w:t>
            </w:r>
          </w:p>
        </w:tc>
        <w:tc>
          <w:tcPr>
            <w:tcW w:w="420" w:type="dxa"/>
            <w:vAlign w:val="bottom"/>
          </w:tcPr>
          <w:p>
            <w:pPr>
              <w:jc w:val="right"/>
              <w:spacing w:after="0"/>
              <w:rPr>
                <w:sz w:val="20"/>
                <w:szCs w:val="20"/>
                <w:color w:val="auto"/>
              </w:rPr>
            </w:pPr>
            <w:r>
              <w:rPr>
                <w:rFonts w:ascii="Arial" w:cs="Arial" w:eastAsia="Arial" w:hAnsi="Arial"/>
                <w:sz w:val="18"/>
                <w:szCs w:val="18"/>
                <w:color w:val="auto"/>
              </w:rPr>
              <w:t>C-8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9660" w:type="dxa"/>
            <w:vAlign w:val="bottom"/>
          </w:tcPr>
          <w:p>
            <w:pPr>
              <w:ind w:left="200"/>
              <w:spacing w:after="0"/>
              <w:rPr>
                <w:sz w:val="20"/>
                <w:szCs w:val="20"/>
                <w:color w:val="auto"/>
              </w:rPr>
            </w:pPr>
            <w:r>
              <w:rPr>
                <w:rFonts w:ascii="Arial" w:cs="Arial" w:eastAsia="Arial" w:hAnsi="Arial"/>
                <w:sz w:val="18"/>
                <w:szCs w:val="18"/>
                <w:color w:val="auto"/>
              </w:rPr>
              <w:t>Adjourned Meeting; Notice</w:t>
            </w:r>
          </w:p>
        </w:tc>
        <w:tc>
          <w:tcPr>
            <w:tcW w:w="420" w:type="dxa"/>
            <w:vAlign w:val="bottom"/>
          </w:tcPr>
          <w:p>
            <w:pPr>
              <w:jc w:val="right"/>
              <w:spacing w:after="0"/>
              <w:rPr>
                <w:sz w:val="20"/>
                <w:szCs w:val="20"/>
                <w:color w:val="auto"/>
              </w:rPr>
            </w:pPr>
            <w:r>
              <w:rPr>
                <w:rFonts w:ascii="Arial" w:cs="Arial" w:eastAsia="Arial" w:hAnsi="Arial"/>
                <w:sz w:val="18"/>
                <w:szCs w:val="18"/>
                <w:color w:val="auto"/>
              </w:rPr>
              <w:t>C-8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966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420" w:type="dxa"/>
            <w:vAlign w:val="bottom"/>
          </w:tcPr>
          <w:p>
            <w:pPr>
              <w:jc w:val="right"/>
              <w:spacing w:after="0"/>
              <w:rPr>
                <w:sz w:val="20"/>
                <w:szCs w:val="20"/>
                <w:color w:val="auto"/>
              </w:rPr>
            </w:pPr>
            <w:r>
              <w:rPr>
                <w:rFonts w:ascii="Arial" w:cs="Arial" w:eastAsia="Arial" w:hAnsi="Arial"/>
                <w:sz w:val="18"/>
                <w:szCs w:val="18"/>
                <w:color w:val="auto"/>
              </w:rPr>
              <w:t>C-9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9660" w:type="dxa"/>
            <w:vAlign w:val="bottom"/>
          </w:tcPr>
          <w:p>
            <w:pPr>
              <w:ind w:left="200"/>
              <w:spacing w:after="0"/>
              <w:rPr>
                <w:sz w:val="20"/>
                <w:szCs w:val="20"/>
                <w:color w:val="auto"/>
              </w:rPr>
            </w:pPr>
            <w:r>
              <w:rPr>
                <w:rFonts w:ascii="Arial" w:cs="Arial" w:eastAsia="Arial" w:hAnsi="Arial"/>
                <w:sz w:val="18"/>
                <w:szCs w:val="18"/>
                <w:color w:val="auto"/>
              </w:rPr>
              <w:t>Voting</w:t>
            </w:r>
          </w:p>
        </w:tc>
        <w:tc>
          <w:tcPr>
            <w:tcW w:w="420" w:type="dxa"/>
            <w:vAlign w:val="bottom"/>
          </w:tcPr>
          <w:p>
            <w:pPr>
              <w:jc w:val="right"/>
              <w:spacing w:after="0"/>
              <w:rPr>
                <w:sz w:val="20"/>
                <w:szCs w:val="20"/>
                <w:color w:val="auto"/>
              </w:rPr>
            </w:pPr>
            <w:r>
              <w:rPr>
                <w:rFonts w:ascii="Arial" w:cs="Arial" w:eastAsia="Arial" w:hAnsi="Arial"/>
                <w:sz w:val="18"/>
                <w:szCs w:val="18"/>
                <w:color w:val="auto"/>
              </w:rPr>
              <w:t>C-9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9660" w:type="dxa"/>
            <w:vAlign w:val="bottom"/>
          </w:tcPr>
          <w:p>
            <w:pPr>
              <w:ind w:left="200"/>
              <w:spacing w:after="0"/>
              <w:rPr>
                <w:sz w:val="20"/>
                <w:szCs w:val="20"/>
                <w:color w:val="auto"/>
              </w:rPr>
            </w:pPr>
            <w:r>
              <w:rPr>
                <w:rFonts w:ascii="Arial" w:cs="Arial" w:eastAsia="Arial" w:hAnsi="Arial"/>
                <w:sz w:val="18"/>
                <w:szCs w:val="18"/>
                <w:color w:val="auto"/>
              </w:rPr>
              <w:t>Record Date for Stockholder Meetings and Other Purposes</w:t>
            </w:r>
          </w:p>
        </w:tc>
        <w:tc>
          <w:tcPr>
            <w:tcW w:w="420" w:type="dxa"/>
            <w:vAlign w:val="bottom"/>
          </w:tcPr>
          <w:p>
            <w:pPr>
              <w:jc w:val="right"/>
              <w:spacing w:after="0"/>
              <w:rPr>
                <w:sz w:val="20"/>
                <w:szCs w:val="20"/>
                <w:color w:val="auto"/>
              </w:rPr>
            </w:pPr>
            <w:r>
              <w:rPr>
                <w:rFonts w:ascii="Arial" w:cs="Arial" w:eastAsia="Arial" w:hAnsi="Arial"/>
                <w:sz w:val="18"/>
                <w:szCs w:val="18"/>
                <w:color w:val="auto"/>
              </w:rPr>
              <w:t>C-10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9660" w:type="dxa"/>
            <w:vAlign w:val="bottom"/>
          </w:tcPr>
          <w:p>
            <w:pPr>
              <w:ind w:left="200"/>
              <w:spacing w:after="0"/>
              <w:rPr>
                <w:sz w:val="20"/>
                <w:szCs w:val="20"/>
                <w:color w:val="auto"/>
              </w:rPr>
            </w:pPr>
            <w:r>
              <w:rPr>
                <w:rFonts w:ascii="Arial" w:cs="Arial" w:eastAsia="Arial" w:hAnsi="Arial"/>
                <w:sz w:val="18"/>
                <w:szCs w:val="18"/>
                <w:color w:val="auto"/>
              </w:rPr>
              <w:t>Proxies</w:t>
            </w:r>
          </w:p>
        </w:tc>
        <w:tc>
          <w:tcPr>
            <w:tcW w:w="420" w:type="dxa"/>
            <w:vAlign w:val="bottom"/>
          </w:tcPr>
          <w:p>
            <w:pPr>
              <w:jc w:val="right"/>
              <w:spacing w:after="0"/>
              <w:rPr>
                <w:sz w:val="20"/>
                <w:szCs w:val="20"/>
                <w:color w:val="auto"/>
              </w:rPr>
            </w:pPr>
            <w:r>
              <w:rPr>
                <w:rFonts w:ascii="Arial" w:cs="Arial" w:eastAsia="Arial" w:hAnsi="Arial"/>
                <w:sz w:val="18"/>
                <w:szCs w:val="18"/>
                <w:color w:val="auto"/>
              </w:rPr>
              <w:t>C-10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9660" w:type="dxa"/>
            <w:vAlign w:val="bottom"/>
          </w:tcPr>
          <w:p>
            <w:pPr>
              <w:ind w:left="200"/>
              <w:spacing w:after="0"/>
              <w:rPr>
                <w:sz w:val="20"/>
                <w:szCs w:val="20"/>
                <w:color w:val="auto"/>
              </w:rPr>
            </w:pPr>
            <w:r>
              <w:rPr>
                <w:rFonts w:ascii="Arial" w:cs="Arial" w:eastAsia="Arial" w:hAnsi="Arial"/>
                <w:sz w:val="18"/>
                <w:szCs w:val="18"/>
                <w:color w:val="auto"/>
              </w:rPr>
              <w:t>List of Stockholders Entitled to Vote</w:t>
            </w:r>
          </w:p>
        </w:tc>
        <w:tc>
          <w:tcPr>
            <w:tcW w:w="420" w:type="dxa"/>
            <w:vAlign w:val="bottom"/>
          </w:tcPr>
          <w:p>
            <w:pPr>
              <w:jc w:val="right"/>
              <w:spacing w:after="0"/>
              <w:rPr>
                <w:sz w:val="20"/>
                <w:szCs w:val="20"/>
                <w:color w:val="auto"/>
              </w:rPr>
            </w:pPr>
            <w:r>
              <w:rPr>
                <w:rFonts w:ascii="Arial" w:cs="Arial" w:eastAsia="Arial" w:hAnsi="Arial"/>
                <w:sz w:val="18"/>
                <w:szCs w:val="18"/>
                <w:color w:val="auto"/>
              </w:rPr>
              <w:t>C-10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2.15</w:t>
            </w:r>
          </w:p>
        </w:tc>
        <w:tc>
          <w:tcPr>
            <w:tcW w:w="9660" w:type="dxa"/>
            <w:vAlign w:val="bottom"/>
          </w:tcPr>
          <w:p>
            <w:pPr>
              <w:ind w:left="200"/>
              <w:spacing w:after="0"/>
              <w:rPr>
                <w:sz w:val="20"/>
                <w:szCs w:val="20"/>
                <w:color w:val="auto"/>
              </w:rPr>
            </w:pPr>
            <w:r>
              <w:rPr>
                <w:rFonts w:ascii="Arial" w:cs="Arial" w:eastAsia="Arial" w:hAnsi="Arial"/>
                <w:sz w:val="18"/>
                <w:szCs w:val="18"/>
                <w:color w:val="auto"/>
              </w:rPr>
              <w:t>Inspectors of Election</w:t>
            </w:r>
          </w:p>
        </w:tc>
        <w:tc>
          <w:tcPr>
            <w:tcW w:w="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2.16</w:t>
            </w:r>
          </w:p>
        </w:tc>
        <w:tc>
          <w:tcPr>
            <w:tcW w:w="9660" w:type="dxa"/>
            <w:vAlign w:val="bottom"/>
          </w:tcPr>
          <w:p>
            <w:pPr>
              <w:ind w:left="200"/>
              <w:spacing w:after="0"/>
              <w:rPr>
                <w:sz w:val="20"/>
                <w:szCs w:val="20"/>
                <w:color w:val="auto"/>
              </w:rPr>
            </w:pPr>
            <w:r>
              <w:rPr>
                <w:rFonts w:ascii="Arial" w:cs="Arial" w:eastAsia="Arial" w:hAnsi="Arial"/>
                <w:sz w:val="18"/>
                <w:szCs w:val="18"/>
                <w:color w:val="auto"/>
              </w:rPr>
              <w:t>Delivery to the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9660" w:type="dxa"/>
            <w:vAlign w:val="bottom"/>
          </w:tcPr>
          <w:p>
            <w:pPr>
              <w:ind w:left="200"/>
              <w:spacing w:after="0"/>
              <w:rPr>
                <w:sz w:val="20"/>
                <w:szCs w:val="20"/>
                <w:color w:val="auto"/>
              </w:rPr>
            </w:pPr>
            <w:r>
              <w:rPr>
                <w:rFonts w:ascii="Arial" w:cs="Arial" w:eastAsia="Arial" w:hAnsi="Arial"/>
                <w:sz w:val="18"/>
                <w:szCs w:val="18"/>
                <w:color w:val="auto"/>
              </w:rPr>
              <w:t>Powers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9660" w:type="dxa"/>
            <w:vAlign w:val="bottom"/>
          </w:tcPr>
          <w:p>
            <w:pPr>
              <w:ind w:left="200"/>
              <w:spacing w:after="0"/>
              <w:rPr>
                <w:sz w:val="20"/>
                <w:szCs w:val="20"/>
                <w:color w:val="auto"/>
              </w:rPr>
            </w:pPr>
            <w:r>
              <w:rPr>
                <w:rFonts w:ascii="Arial" w:cs="Arial" w:eastAsia="Arial" w:hAnsi="Arial"/>
                <w:sz w:val="18"/>
                <w:szCs w:val="18"/>
                <w:color w:val="auto"/>
              </w:rPr>
              <w:t>Number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9660" w:type="dxa"/>
            <w:vAlign w:val="bottom"/>
          </w:tcPr>
          <w:p>
            <w:pPr>
              <w:ind w:left="200"/>
              <w:spacing w:after="0"/>
              <w:rPr>
                <w:sz w:val="20"/>
                <w:szCs w:val="20"/>
                <w:color w:val="auto"/>
              </w:rPr>
            </w:pPr>
            <w:r>
              <w:rPr>
                <w:rFonts w:ascii="Arial" w:cs="Arial" w:eastAsia="Arial" w:hAnsi="Arial"/>
                <w:sz w:val="18"/>
                <w:szCs w:val="18"/>
                <w:color w:val="auto"/>
              </w:rPr>
              <w:t>Election, Qualification and Term of Office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9660" w:type="dxa"/>
            <w:vAlign w:val="bottom"/>
          </w:tcPr>
          <w:p>
            <w:pPr>
              <w:ind w:left="200"/>
              <w:spacing w:after="0"/>
              <w:rPr>
                <w:sz w:val="20"/>
                <w:szCs w:val="20"/>
                <w:color w:val="auto"/>
              </w:rPr>
            </w:pPr>
            <w:r>
              <w:rPr>
                <w:rFonts w:ascii="Arial" w:cs="Arial" w:eastAsia="Arial" w:hAnsi="Arial"/>
                <w:sz w:val="18"/>
                <w:szCs w:val="18"/>
                <w:color w:val="auto"/>
              </w:rPr>
              <w:t>Resignation and Vacancies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9660" w:type="dxa"/>
            <w:vAlign w:val="bottom"/>
          </w:tcPr>
          <w:p>
            <w:pPr>
              <w:ind w:left="200"/>
              <w:spacing w:after="0"/>
              <w:rPr>
                <w:sz w:val="20"/>
                <w:szCs w:val="20"/>
                <w:color w:val="auto"/>
              </w:rPr>
            </w:pPr>
            <w:r>
              <w:rPr>
                <w:rFonts w:ascii="Arial" w:cs="Arial" w:eastAsia="Arial" w:hAnsi="Arial"/>
                <w:sz w:val="18"/>
                <w:szCs w:val="18"/>
                <w:color w:val="auto"/>
              </w:rPr>
              <w:t>Place of Meetings; Meetings by Telephone</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3.6</w:t>
            </w:r>
          </w:p>
        </w:tc>
        <w:tc>
          <w:tcPr>
            <w:tcW w:w="9660" w:type="dxa"/>
            <w:vAlign w:val="bottom"/>
          </w:tcPr>
          <w:p>
            <w:pPr>
              <w:ind w:left="200"/>
              <w:spacing w:after="0"/>
              <w:rPr>
                <w:sz w:val="20"/>
                <w:szCs w:val="20"/>
                <w:color w:val="auto"/>
              </w:rPr>
            </w:pPr>
            <w:r>
              <w:rPr>
                <w:rFonts w:ascii="Arial" w:cs="Arial" w:eastAsia="Arial" w:hAnsi="Arial"/>
                <w:sz w:val="18"/>
                <w:szCs w:val="18"/>
                <w:color w:val="auto"/>
              </w:rPr>
              <w:t>Regular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3.7</w:t>
            </w:r>
          </w:p>
        </w:tc>
        <w:tc>
          <w:tcPr>
            <w:tcW w:w="9660" w:type="dxa"/>
            <w:vAlign w:val="bottom"/>
          </w:tcPr>
          <w:p>
            <w:pPr>
              <w:ind w:left="200"/>
              <w:spacing w:after="0"/>
              <w:rPr>
                <w:sz w:val="20"/>
                <w:szCs w:val="20"/>
                <w:color w:val="auto"/>
              </w:rPr>
            </w:pPr>
            <w:r>
              <w:rPr>
                <w:rFonts w:ascii="Arial" w:cs="Arial" w:eastAsia="Arial" w:hAnsi="Arial"/>
                <w:sz w:val="18"/>
                <w:szCs w:val="18"/>
                <w:color w:val="auto"/>
              </w:rPr>
              <w:t>Special Meetings; Notice</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3.8</w:t>
            </w:r>
          </w:p>
        </w:tc>
        <w:tc>
          <w:tcPr>
            <w:tcW w:w="9660" w:type="dxa"/>
            <w:vAlign w:val="bottom"/>
          </w:tcPr>
          <w:p>
            <w:pPr>
              <w:ind w:left="200"/>
              <w:spacing w:after="0"/>
              <w:rPr>
                <w:sz w:val="20"/>
                <w:szCs w:val="20"/>
                <w:color w:val="auto"/>
              </w:rPr>
            </w:pPr>
            <w:r>
              <w:rPr>
                <w:rFonts w:ascii="Arial" w:cs="Arial" w:eastAsia="Arial" w:hAnsi="Arial"/>
                <w:sz w:val="18"/>
                <w:szCs w:val="18"/>
                <w:color w:val="auto"/>
              </w:rPr>
              <w:t>Quorum</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3.9</w:t>
            </w:r>
          </w:p>
        </w:tc>
        <w:tc>
          <w:tcPr>
            <w:tcW w:w="9660" w:type="dxa"/>
            <w:vAlign w:val="bottom"/>
          </w:tcPr>
          <w:p>
            <w:pPr>
              <w:ind w:left="200"/>
              <w:spacing w:after="0"/>
              <w:rPr>
                <w:sz w:val="20"/>
                <w:szCs w:val="20"/>
                <w:color w:val="auto"/>
              </w:rPr>
            </w:pPr>
            <w:r>
              <w:rPr>
                <w:rFonts w:ascii="Arial" w:cs="Arial" w:eastAsia="Arial" w:hAnsi="Arial"/>
                <w:sz w:val="18"/>
                <w:szCs w:val="18"/>
                <w:color w:val="auto"/>
              </w:rPr>
              <w:t>Board Action without a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3.10</w:t>
            </w:r>
          </w:p>
        </w:tc>
        <w:tc>
          <w:tcPr>
            <w:tcW w:w="9660" w:type="dxa"/>
            <w:vAlign w:val="bottom"/>
          </w:tcPr>
          <w:p>
            <w:pPr>
              <w:ind w:left="200"/>
              <w:spacing w:after="0"/>
              <w:rPr>
                <w:sz w:val="20"/>
                <w:szCs w:val="20"/>
                <w:color w:val="auto"/>
              </w:rPr>
            </w:pPr>
            <w:r>
              <w:rPr>
                <w:rFonts w:ascii="Arial" w:cs="Arial" w:eastAsia="Arial" w:hAnsi="Arial"/>
                <w:sz w:val="18"/>
                <w:szCs w:val="18"/>
                <w:color w:val="auto"/>
              </w:rPr>
              <w:t>Fees and Compensation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9660" w:type="dxa"/>
            <w:vAlign w:val="bottom"/>
          </w:tcPr>
          <w:p>
            <w:pPr>
              <w:ind w:left="200"/>
              <w:spacing w:after="0"/>
              <w:rPr>
                <w:sz w:val="20"/>
                <w:szCs w:val="20"/>
                <w:color w:val="auto"/>
              </w:rPr>
            </w:pPr>
            <w:r>
              <w:rPr>
                <w:rFonts w:ascii="Arial" w:cs="Arial" w:eastAsia="Arial" w:hAnsi="Arial"/>
                <w:sz w:val="18"/>
                <w:szCs w:val="18"/>
                <w:color w:val="auto"/>
              </w:rPr>
              <w:t>Committees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9660" w:type="dxa"/>
            <w:vAlign w:val="bottom"/>
          </w:tcPr>
          <w:p>
            <w:pPr>
              <w:ind w:left="200"/>
              <w:spacing w:after="0"/>
              <w:rPr>
                <w:sz w:val="20"/>
                <w:szCs w:val="20"/>
                <w:color w:val="auto"/>
              </w:rPr>
            </w:pPr>
            <w:r>
              <w:rPr>
                <w:rFonts w:ascii="Arial" w:cs="Arial" w:eastAsia="Arial" w:hAnsi="Arial"/>
                <w:sz w:val="18"/>
                <w:szCs w:val="18"/>
                <w:color w:val="auto"/>
              </w:rPr>
              <w:t>Meetings and Actions of Committees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9660" w:type="dxa"/>
            <w:vAlign w:val="bottom"/>
          </w:tcPr>
          <w:p>
            <w:pPr>
              <w:ind w:left="200"/>
              <w:spacing w:after="0"/>
              <w:rPr>
                <w:sz w:val="20"/>
                <w:szCs w:val="20"/>
                <w:color w:val="auto"/>
              </w:rPr>
            </w:pPr>
            <w:r>
              <w:rPr>
                <w:rFonts w:ascii="Arial" w:cs="Arial" w:eastAsia="Arial" w:hAnsi="Arial"/>
                <w:sz w:val="18"/>
                <w:szCs w:val="18"/>
                <w:color w:val="auto"/>
              </w:rPr>
              <w:t>Subcommittees.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96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9660" w:type="dxa"/>
            <w:vAlign w:val="bottom"/>
          </w:tcPr>
          <w:p>
            <w:pPr>
              <w:ind w:left="200"/>
              <w:spacing w:after="0"/>
              <w:rPr>
                <w:sz w:val="20"/>
                <w:szCs w:val="20"/>
                <w:color w:val="auto"/>
              </w:rPr>
            </w:pPr>
            <w:r>
              <w:rPr>
                <w:rFonts w:ascii="Arial" w:cs="Arial" w:eastAsia="Arial" w:hAnsi="Arial"/>
                <w:sz w:val="18"/>
                <w:szCs w:val="18"/>
                <w:color w:val="auto"/>
              </w:rPr>
              <w:t>Appointment of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9660" w:type="dxa"/>
            <w:vAlign w:val="bottom"/>
          </w:tcPr>
          <w:p>
            <w:pPr>
              <w:ind w:left="200"/>
              <w:spacing w:after="0"/>
              <w:rPr>
                <w:sz w:val="20"/>
                <w:szCs w:val="20"/>
                <w:color w:val="auto"/>
              </w:rPr>
            </w:pPr>
            <w:r>
              <w:rPr>
                <w:rFonts w:ascii="Arial" w:cs="Arial" w:eastAsia="Arial" w:hAnsi="Arial"/>
                <w:sz w:val="18"/>
                <w:szCs w:val="18"/>
                <w:color w:val="auto"/>
              </w:rPr>
              <w:t>Subordinate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9660" w:type="dxa"/>
            <w:vAlign w:val="bottom"/>
          </w:tcPr>
          <w:p>
            <w:pPr>
              <w:ind w:left="200"/>
              <w:spacing w:after="0"/>
              <w:rPr>
                <w:sz w:val="20"/>
                <w:szCs w:val="20"/>
                <w:color w:val="auto"/>
              </w:rPr>
            </w:pPr>
            <w:r>
              <w:rPr>
                <w:rFonts w:ascii="Arial" w:cs="Arial" w:eastAsia="Arial" w:hAnsi="Arial"/>
                <w:sz w:val="18"/>
                <w:szCs w:val="18"/>
                <w:color w:val="auto"/>
              </w:rPr>
              <w:t>Removal and Resignation of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9660" w:type="dxa"/>
            <w:vAlign w:val="bottom"/>
          </w:tcPr>
          <w:p>
            <w:pPr>
              <w:ind w:left="200"/>
              <w:spacing w:after="0"/>
              <w:rPr>
                <w:sz w:val="20"/>
                <w:szCs w:val="20"/>
                <w:color w:val="auto"/>
              </w:rPr>
            </w:pPr>
            <w:r>
              <w:rPr>
                <w:rFonts w:ascii="Arial" w:cs="Arial" w:eastAsia="Arial" w:hAnsi="Arial"/>
                <w:sz w:val="18"/>
                <w:szCs w:val="18"/>
                <w:color w:val="auto"/>
              </w:rPr>
              <w:t>Vacancies in Offices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9660" w:type="dxa"/>
            <w:vAlign w:val="bottom"/>
          </w:tcPr>
          <w:p>
            <w:pPr>
              <w:ind w:left="200"/>
              <w:spacing w:after="0"/>
              <w:rPr>
                <w:sz w:val="20"/>
                <w:szCs w:val="20"/>
                <w:color w:val="auto"/>
              </w:rPr>
            </w:pPr>
            <w:r>
              <w:rPr>
                <w:rFonts w:ascii="Arial" w:cs="Arial" w:eastAsia="Arial" w:hAnsi="Arial"/>
                <w:sz w:val="18"/>
                <w:szCs w:val="18"/>
                <w:color w:val="auto"/>
              </w:rPr>
              <w:t>Representation of Shares of Other Corporations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9660" w:type="dxa"/>
            <w:vAlign w:val="bottom"/>
          </w:tcPr>
          <w:p>
            <w:pPr>
              <w:ind w:left="200"/>
              <w:spacing w:after="0"/>
              <w:rPr>
                <w:sz w:val="20"/>
                <w:szCs w:val="20"/>
                <w:color w:val="auto"/>
              </w:rPr>
            </w:pPr>
            <w:r>
              <w:rPr>
                <w:rFonts w:ascii="Arial" w:cs="Arial" w:eastAsia="Arial" w:hAnsi="Arial"/>
                <w:sz w:val="18"/>
                <w:szCs w:val="18"/>
                <w:color w:val="auto"/>
              </w:rPr>
              <w:t>Authority and Duties of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C-i</w:t>
      </w:r>
    </w:p>
    <w:p>
      <w:pPr>
        <w:sectPr>
          <w:pgSz w:w="11900" w:h="16838" w:orient="portrait"/>
          <w:cols w:equalWidth="0" w:num="1">
            <w:col w:w="11080"/>
          </w:cols>
          <w:pgMar w:left="320" w:top="459" w:right="49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ind w:left="360"/>
              <w:spacing w:after="0"/>
              <w:rPr>
                <w:sz w:val="20"/>
                <w:szCs w:val="20"/>
                <w:color w:val="auto"/>
              </w:rPr>
            </w:pPr>
            <w:r>
              <w:rPr>
                <w:rFonts w:ascii="Arial" w:cs="Arial" w:eastAsia="Arial" w:hAnsi="Arial"/>
                <w:sz w:val="18"/>
                <w:szCs w:val="18"/>
                <w:color w:val="auto"/>
              </w:rPr>
              <w:t>5.8</w:t>
            </w:r>
          </w:p>
        </w:tc>
        <w:tc>
          <w:tcPr>
            <w:tcW w:w="9660" w:type="dxa"/>
            <w:vAlign w:val="bottom"/>
            <w:vMerge w:val="restart"/>
          </w:tcPr>
          <w:p>
            <w:pPr>
              <w:ind w:left="200"/>
              <w:spacing w:after="0"/>
              <w:rPr>
                <w:sz w:val="20"/>
                <w:szCs w:val="20"/>
                <w:color w:val="auto"/>
              </w:rPr>
            </w:pPr>
            <w:r>
              <w:rPr>
                <w:rFonts w:ascii="Arial" w:cs="Arial" w:eastAsia="Arial" w:hAnsi="Arial"/>
                <w:sz w:val="18"/>
                <w:szCs w:val="18"/>
                <w:color w:val="auto"/>
              </w:rPr>
              <w:t>Compensation.</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80" w:type="dxa"/>
            <w:vAlign w:val="bottom"/>
            <w:vMerge w:val="continue"/>
          </w:tcPr>
          <w:p>
            <w:pPr>
              <w:spacing w:after="0"/>
              <w:rPr>
                <w:sz w:val="19"/>
                <w:szCs w:val="19"/>
                <w:color w:val="auto"/>
              </w:rPr>
            </w:pPr>
          </w:p>
        </w:tc>
        <w:tc>
          <w:tcPr>
            <w:tcW w:w="9660" w:type="dxa"/>
            <w:vAlign w:val="bottom"/>
            <w:vMerge w:val="continue"/>
          </w:tcPr>
          <w:p>
            <w:pPr>
              <w:spacing w:after="0"/>
              <w:rPr>
                <w:sz w:val="19"/>
                <w:szCs w:val="19"/>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C-16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VI - Records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9660" w:type="dxa"/>
            <w:vAlign w:val="bottom"/>
          </w:tcPr>
          <w:p>
            <w:pPr>
              <w:ind w:left="200"/>
              <w:spacing w:after="0"/>
              <w:rPr>
                <w:sz w:val="20"/>
                <w:szCs w:val="20"/>
                <w:color w:val="auto"/>
              </w:rPr>
            </w:pPr>
            <w:r>
              <w:rPr>
                <w:rFonts w:ascii="Arial" w:cs="Arial" w:eastAsia="Arial" w:hAnsi="Arial"/>
                <w:sz w:val="18"/>
                <w:szCs w:val="18"/>
                <w:color w:val="auto"/>
              </w:rPr>
              <w:t>Execution of Corporate Contracts and Instruments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9660" w:type="dxa"/>
            <w:vAlign w:val="bottom"/>
          </w:tcPr>
          <w:p>
            <w:pPr>
              <w:ind w:left="200"/>
              <w:spacing w:after="0"/>
              <w:rPr>
                <w:sz w:val="20"/>
                <w:szCs w:val="20"/>
                <w:color w:val="auto"/>
              </w:rPr>
            </w:pPr>
            <w:r>
              <w:rPr>
                <w:rFonts w:ascii="Arial" w:cs="Arial" w:eastAsia="Arial" w:hAnsi="Arial"/>
                <w:sz w:val="18"/>
                <w:szCs w:val="18"/>
                <w:color w:val="auto"/>
              </w:rPr>
              <w:t>Stock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9660" w:type="dxa"/>
            <w:vAlign w:val="bottom"/>
          </w:tcPr>
          <w:p>
            <w:pPr>
              <w:ind w:left="200"/>
              <w:spacing w:after="0"/>
              <w:rPr>
                <w:sz w:val="20"/>
                <w:szCs w:val="20"/>
                <w:color w:val="auto"/>
              </w:rPr>
            </w:pPr>
            <w:r>
              <w:rPr>
                <w:rFonts w:ascii="Arial" w:cs="Arial" w:eastAsia="Arial" w:hAnsi="Arial"/>
                <w:sz w:val="18"/>
                <w:szCs w:val="18"/>
                <w:color w:val="auto"/>
              </w:rPr>
              <w:t>Special Designation of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7.4</w:t>
            </w:r>
          </w:p>
        </w:tc>
        <w:tc>
          <w:tcPr>
            <w:tcW w:w="966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7.5</w:t>
            </w:r>
          </w:p>
        </w:tc>
        <w:tc>
          <w:tcPr>
            <w:tcW w:w="9660" w:type="dxa"/>
            <w:vAlign w:val="bottom"/>
          </w:tcPr>
          <w:p>
            <w:pPr>
              <w:ind w:left="200"/>
              <w:spacing w:after="0"/>
              <w:rPr>
                <w:sz w:val="20"/>
                <w:szCs w:val="20"/>
                <w:color w:val="auto"/>
              </w:rPr>
            </w:pPr>
            <w:r>
              <w:rPr>
                <w:rFonts w:ascii="Arial" w:cs="Arial" w:eastAsia="Arial" w:hAnsi="Arial"/>
                <w:sz w:val="18"/>
                <w:szCs w:val="18"/>
                <w:color w:val="auto"/>
              </w:rPr>
              <w:t>Shares Without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7.6</w:t>
            </w:r>
          </w:p>
        </w:tc>
        <w:tc>
          <w:tcPr>
            <w:tcW w:w="9660" w:type="dxa"/>
            <w:vAlign w:val="bottom"/>
          </w:tcPr>
          <w:p>
            <w:pPr>
              <w:ind w:left="200"/>
              <w:spacing w:after="0"/>
              <w:rPr>
                <w:sz w:val="20"/>
                <w:szCs w:val="20"/>
                <w:color w:val="auto"/>
              </w:rPr>
            </w:pPr>
            <w:r>
              <w:rPr>
                <w:rFonts w:ascii="Arial" w:cs="Arial" w:eastAsia="Arial" w:hAnsi="Arial"/>
                <w:sz w:val="18"/>
                <w:szCs w:val="18"/>
                <w:color w:val="auto"/>
              </w:rPr>
              <w:t>Construction; Definitions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7.7</w:t>
            </w:r>
          </w:p>
        </w:tc>
        <w:tc>
          <w:tcPr>
            <w:tcW w:w="96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7.8</w:t>
            </w:r>
          </w:p>
        </w:tc>
        <w:tc>
          <w:tcPr>
            <w:tcW w:w="96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7.9</w:t>
            </w:r>
          </w:p>
        </w:tc>
        <w:tc>
          <w:tcPr>
            <w:tcW w:w="9660" w:type="dxa"/>
            <w:vAlign w:val="bottom"/>
          </w:tcPr>
          <w:p>
            <w:pPr>
              <w:ind w:left="200"/>
              <w:spacing w:after="0"/>
              <w:rPr>
                <w:sz w:val="20"/>
                <w:szCs w:val="20"/>
                <w:color w:val="auto"/>
              </w:rPr>
            </w:pPr>
            <w:r>
              <w:rPr>
                <w:rFonts w:ascii="Arial" w:cs="Arial" w:eastAsia="Arial" w:hAnsi="Arial"/>
                <w:sz w:val="18"/>
                <w:szCs w:val="18"/>
                <w:color w:val="auto"/>
              </w:rPr>
              <w:t>Seal</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7.10</w:t>
            </w:r>
          </w:p>
        </w:tc>
        <w:tc>
          <w:tcPr>
            <w:tcW w:w="9660" w:type="dxa"/>
            <w:vAlign w:val="bottom"/>
          </w:tcPr>
          <w:p>
            <w:pPr>
              <w:ind w:left="200"/>
              <w:spacing w:after="0"/>
              <w:rPr>
                <w:sz w:val="20"/>
                <w:szCs w:val="20"/>
                <w:color w:val="auto"/>
              </w:rPr>
            </w:pPr>
            <w:r>
              <w:rPr>
                <w:rFonts w:ascii="Arial" w:cs="Arial" w:eastAsia="Arial" w:hAnsi="Arial"/>
                <w:sz w:val="18"/>
                <w:szCs w:val="18"/>
                <w:color w:val="auto"/>
              </w:rPr>
              <w:t>Transfer of Stock</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7.11</w:t>
            </w:r>
          </w:p>
        </w:tc>
        <w:tc>
          <w:tcPr>
            <w:tcW w:w="9660" w:type="dxa"/>
            <w:vAlign w:val="bottom"/>
          </w:tcPr>
          <w:p>
            <w:pPr>
              <w:ind w:left="200"/>
              <w:spacing w:after="0"/>
              <w:rPr>
                <w:sz w:val="20"/>
                <w:szCs w:val="20"/>
                <w:color w:val="auto"/>
              </w:rPr>
            </w:pPr>
            <w:r>
              <w:rPr>
                <w:rFonts w:ascii="Arial" w:cs="Arial" w:eastAsia="Arial" w:hAnsi="Arial"/>
                <w:sz w:val="18"/>
                <w:szCs w:val="18"/>
                <w:color w:val="auto"/>
              </w:rPr>
              <w:t>Stock Transfer Agreements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7.12</w:t>
            </w:r>
          </w:p>
        </w:tc>
        <w:tc>
          <w:tcPr>
            <w:tcW w:w="9660" w:type="dxa"/>
            <w:vAlign w:val="bottom"/>
          </w:tcPr>
          <w:p>
            <w:pPr>
              <w:ind w:left="200"/>
              <w:spacing w:after="0"/>
              <w:rPr>
                <w:sz w:val="20"/>
                <w:szCs w:val="20"/>
                <w:color w:val="auto"/>
              </w:rPr>
            </w:pPr>
            <w:r>
              <w:rPr>
                <w:rFonts w:ascii="Arial" w:cs="Arial" w:eastAsia="Arial" w:hAnsi="Arial"/>
                <w:sz w:val="18"/>
                <w:szCs w:val="18"/>
                <w:color w:val="auto"/>
              </w:rPr>
              <w:t>Lock-Up.</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7.13</w:t>
            </w:r>
          </w:p>
        </w:tc>
        <w:tc>
          <w:tcPr>
            <w:tcW w:w="9660" w:type="dxa"/>
            <w:vAlign w:val="bottom"/>
          </w:tcPr>
          <w:p>
            <w:pPr>
              <w:ind w:left="200"/>
              <w:spacing w:after="0"/>
              <w:rPr>
                <w:sz w:val="20"/>
                <w:szCs w:val="20"/>
                <w:color w:val="auto"/>
              </w:rPr>
            </w:pPr>
            <w:r>
              <w:rPr>
                <w:rFonts w:ascii="Arial" w:cs="Arial" w:eastAsia="Arial" w:hAnsi="Arial"/>
                <w:sz w:val="18"/>
                <w:szCs w:val="18"/>
                <w:color w:val="auto"/>
              </w:rPr>
              <w:t>Registered Stockholders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7.14</w:t>
            </w:r>
          </w:p>
        </w:tc>
        <w:tc>
          <w:tcPr>
            <w:tcW w:w="9660" w:type="dxa"/>
            <w:vAlign w:val="bottom"/>
          </w:tcPr>
          <w:p>
            <w:pPr>
              <w:ind w:left="200"/>
              <w:spacing w:after="0"/>
              <w:rPr>
                <w:sz w:val="20"/>
                <w:szCs w:val="20"/>
                <w:color w:val="auto"/>
              </w:rPr>
            </w:pPr>
            <w:r>
              <w:rPr>
                <w:rFonts w:ascii="Arial" w:cs="Arial" w:eastAsia="Arial" w:hAnsi="Arial"/>
                <w:sz w:val="18"/>
                <w:szCs w:val="18"/>
                <w:color w:val="auto"/>
              </w:rPr>
              <w:t>Waiver of Notice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VIII - Notice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8.1</w:t>
            </w:r>
          </w:p>
        </w:tc>
        <w:tc>
          <w:tcPr>
            <w:tcW w:w="9660" w:type="dxa"/>
            <w:vAlign w:val="bottom"/>
          </w:tcPr>
          <w:p>
            <w:pPr>
              <w:ind w:left="200"/>
              <w:spacing w:after="0"/>
              <w:rPr>
                <w:sz w:val="20"/>
                <w:szCs w:val="20"/>
                <w:color w:val="auto"/>
              </w:rPr>
            </w:pPr>
            <w:r>
              <w:rPr>
                <w:rFonts w:ascii="Arial" w:cs="Arial" w:eastAsia="Arial" w:hAnsi="Arial"/>
                <w:sz w:val="18"/>
                <w:szCs w:val="18"/>
                <w:color w:val="auto"/>
              </w:rPr>
              <w:t>Delivery of Notice; Notice by Electronic Transmission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IX -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9.1</w:t>
            </w:r>
          </w:p>
        </w:tc>
        <w:tc>
          <w:tcPr>
            <w:tcW w:w="9660" w:type="dxa"/>
            <w:vAlign w:val="bottom"/>
          </w:tcPr>
          <w:p>
            <w:pPr>
              <w:ind w:left="20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9.2</w:t>
            </w:r>
          </w:p>
        </w:tc>
        <w:tc>
          <w:tcPr>
            <w:tcW w:w="9660" w:type="dxa"/>
            <w:vAlign w:val="bottom"/>
          </w:tcPr>
          <w:p>
            <w:pPr>
              <w:ind w:left="20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9.3</w:t>
            </w:r>
          </w:p>
        </w:tc>
        <w:tc>
          <w:tcPr>
            <w:tcW w:w="9660" w:type="dxa"/>
            <w:vAlign w:val="bottom"/>
          </w:tcPr>
          <w:p>
            <w:pPr>
              <w:ind w:left="200"/>
              <w:spacing w:after="0"/>
              <w:rPr>
                <w:sz w:val="20"/>
                <w:szCs w:val="20"/>
                <w:color w:val="auto"/>
              </w:rPr>
            </w:pPr>
            <w:r>
              <w:rPr>
                <w:rFonts w:ascii="Arial" w:cs="Arial" w:eastAsia="Arial" w:hAnsi="Arial"/>
                <w:sz w:val="18"/>
                <w:szCs w:val="18"/>
                <w:color w:val="auto"/>
              </w:rPr>
              <w:t>Authorization of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9.4</w:t>
            </w:r>
          </w:p>
        </w:tc>
        <w:tc>
          <w:tcPr>
            <w:tcW w:w="9660" w:type="dxa"/>
            <w:vAlign w:val="bottom"/>
          </w:tcPr>
          <w:p>
            <w:pPr>
              <w:ind w:left="200"/>
              <w:spacing w:after="0"/>
              <w:rPr>
                <w:sz w:val="20"/>
                <w:szCs w:val="20"/>
                <w:color w:val="auto"/>
              </w:rPr>
            </w:pPr>
            <w:r>
              <w:rPr>
                <w:rFonts w:ascii="Arial" w:cs="Arial" w:eastAsia="Arial" w:hAnsi="Arial"/>
                <w:sz w:val="18"/>
                <w:szCs w:val="18"/>
                <w:color w:val="auto"/>
              </w:rPr>
              <w:t>Good Faith Defined</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9.5</w:t>
            </w:r>
          </w:p>
        </w:tc>
        <w:tc>
          <w:tcPr>
            <w:tcW w:w="9660" w:type="dxa"/>
            <w:vAlign w:val="bottom"/>
          </w:tcPr>
          <w:p>
            <w:pPr>
              <w:ind w:left="200"/>
              <w:spacing w:after="0"/>
              <w:rPr>
                <w:sz w:val="20"/>
                <w:szCs w:val="20"/>
                <w:color w:val="auto"/>
              </w:rPr>
            </w:pPr>
            <w:r>
              <w:rPr>
                <w:rFonts w:ascii="Arial" w:cs="Arial" w:eastAsia="Arial" w:hAnsi="Arial"/>
                <w:sz w:val="18"/>
                <w:szCs w:val="18"/>
                <w:color w:val="auto"/>
              </w:rPr>
              <w:t>Indemnification by a Court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9.6</w:t>
            </w:r>
          </w:p>
        </w:tc>
        <w:tc>
          <w:tcPr>
            <w:tcW w:w="9660" w:type="dxa"/>
            <w:vAlign w:val="bottom"/>
          </w:tcPr>
          <w:p>
            <w:pPr>
              <w:ind w:left="200"/>
              <w:spacing w:after="0"/>
              <w:rPr>
                <w:sz w:val="20"/>
                <w:szCs w:val="20"/>
                <w:color w:val="auto"/>
              </w:rPr>
            </w:pPr>
            <w:r>
              <w:rPr>
                <w:rFonts w:ascii="Arial" w:cs="Arial" w:eastAsia="Arial" w:hAnsi="Arial"/>
                <w:sz w:val="18"/>
                <w:szCs w:val="18"/>
                <w:color w:val="auto"/>
              </w:rPr>
              <w:t>Expenses Payable in Advance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9.7</w:t>
            </w:r>
          </w:p>
        </w:tc>
        <w:tc>
          <w:tcPr>
            <w:tcW w:w="9660" w:type="dxa"/>
            <w:vAlign w:val="bottom"/>
          </w:tcPr>
          <w:p>
            <w:pPr>
              <w:ind w:left="200"/>
              <w:spacing w:after="0"/>
              <w:rPr>
                <w:sz w:val="20"/>
                <w:szCs w:val="20"/>
                <w:color w:val="auto"/>
              </w:rPr>
            </w:pPr>
            <w:r>
              <w:rPr>
                <w:rFonts w:ascii="Arial" w:cs="Arial" w:eastAsia="Arial" w:hAnsi="Arial"/>
                <w:sz w:val="18"/>
                <w:szCs w:val="18"/>
                <w:color w:val="auto"/>
              </w:rPr>
              <w:t>Nonexclusivity of Indemnification and Advancement of Expenses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9.8</w:t>
            </w:r>
          </w:p>
        </w:tc>
        <w:tc>
          <w:tcPr>
            <w:tcW w:w="96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9.9</w:t>
            </w:r>
          </w:p>
        </w:tc>
        <w:tc>
          <w:tcPr>
            <w:tcW w:w="966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9.10</w:t>
            </w:r>
          </w:p>
        </w:tc>
        <w:tc>
          <w:tcPr>
            <w:tcW w:w="9660" w:type="dxa"/>
            <w:vAlign w:val="bottom"/>
          </w:tcPr>
          <w:p>
            <w:pPr>
              <w:ind w:left="200"/>
              <w:spacing w:after="0"/>
              <w:rPr>
                <w:sz w:val="20"/>
                <w:szCs w:val="20"/>
                <w:color w:val="auto"/>
              </w:rPr>
            </w:pPr>
            <w:r>
              <w:rPr>
                <w:rFonts w:ascii="Arial" w:cs="Arial" w:eastAsia="Arial" w:hAnsi="Arial"/>
                <w:sz w:val="18"/>
                <w:szCs w:val="18"/>
                <w:color w:val="auto"/>
              </w:rPr>
              <w:t>Survival of Indemnification and Advancement of Expenses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9.11</w:t>
            </w:r>
          </w:p>
        </w:tc>
        <w:tc>
          <w:tcPr>
            <w:tcW w:w="9660" w:type="dxa"/>
            <w:vAlign w:val="bottom"/>
          </w:tcPr>
          <w:p>
            <w:pPr>
              <w:ind w:left="200"/>
              <w:spacing w:after="0"/>
              <w:rPr>
                <w:sz w:val="20"/>
                <w:szCs w:val="20"/>
                <w:color w:val="auto"/>
              </w:rPr>
            </w:pPr>
            <w:r>
              <w:rPr>
                <w:rFonts w:ascii="Arial" w:cs="Arial" w:eastAsia="Arial" w:hAnsi="Arial"/>
                <w:sz w:val="18"/>
                <w:szCs w:val="18"/>
                <w:color w:val="auto"/>
              </w:rPr>
              <w:t>Limitation on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9.12</w:t>
            </w:r>
          </w:p>
        </w:tc>
        <w:tc>
          <w:tcPr>
            <w:tcW w:w="9660" w:type="dxa"/>
            <w:vAlign w:val="bottom"/>
          </w:tcPr>
          <w:p>
            <w:pPr>
              <w:ind w:left="200"/>
              <w:spacing w:after="0"/>
              <w:rPr>
                <w:sz w:val="20"/>
                <w:szCs w:val="20"/>
                <w:color w:val="auto"/>
              </w:rPr>
            </w:pPr>
            <w:r>
              <w:rPr>
                <w:rFonts w:ascii="Arial" w:cs="Arial" w:eastAsia="Arial" w:hAnsi="Arial"/>
                <w:sz w:val="18"/>
                <w:szCs w:val="18"/>
                <w:color w:val="auto"/>
              </w:rPr>
              <w:t>Indemnification of Employees and Agents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9.13</w:t>
            </w:r>
          </w:p>
        </w:tc>
        <w:tc>
          <w:tcPr>
            <w:tcW w:w="9660" w:type="dxa"/>
            <w:vAlign w:val="bottom"/>
          </w:tcPr>
          <w:p>
            <w:pPr>
              <w:ind w:left="200"/>
              <w:spacing w:after="0"/>
              <w:rPr>
                <w:sz w:val="20"/>
                <w:szCs w:val="20"/>
                <w:color w:val="auto"/>
              </w:rPr>
            </w:pPr>
            <w:r>
              <w:rPr>
                <w:rFonts w:ascii="Arial" w:cs="Arial" w:eastAsia="Arial" w:hAnsi="Arial"/>
                <w:sz w:val="18"/>
                <w:szCs w:val="18"/>
                <w:color w:val="auto"/>
              </w:rPr>
              <w:t>Primacy of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Article X - Amendments</w:t>
            </w:r>
          </w:p>
        </w:tc>
        <w:tc>
          <w:tcPr>
            <w:tcW w:w="7380" w:type="dxa"/>
            <w:vAlign w:val="bottom"/>
          </w:tcPr>
          <w:p>
            <w:pPr>
              <w:ind w:left="7020"/>
              <w:spacing w:after="0"/>
              <w:rPr>
                <w:sz w:val="20"/>
                <w:szCs w:val="20"/>
                <w:color w:val="auto"/>
              </w:rPr>
            </w:pPr>
            <w:r>
              <w:rPr>
                <w:rFonts w:ascii="Arial" w:cs="Arial" w:eastAsia="Arial" w:hAnsi="Arial"/>
                <w:sz w:val="18"/>
                <w:szCs w:val="18"/>
                <w:color w:val="auto"/>
                <w:w w:val="87"/>
              </w:rPr>
              <w:t>C-24</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Article XI - Definitions</w:t>
            </w:r>
          </w:p>
        </w:tc>
        <w:tc>
          <w:tcPr>
            <w:tcW w:w="7380" w:type="dxa"/>
            <w:vAlign w:val="bottom"/>
          </w:tcPr>
          <w:p>
            <w:pPr>
              <w:ind w:left="7020"/>
              <w:spacing w:after="0"/>
              <w:rPr>
                <w:sz w:val="20"/>
                <w:szCs w:val="20"/>
                <w:color w:val="auto"/>
              </w:rPr>
            </w:pPr>
            <w:r>
              <w:rPr>
                <w:rFonts w:ascii="Arial" w:cs="Arial" w:eastAsia="Arial" w:hAnsi="Arial"/>
                <w:sz w:val="18"/>
                <w:szCs w:val="18"/>
                <w:color w:val="auto"/>
                <w:w w:val="87"/>
              </w:rPr>
              <w:t>C-24</w:t>
            </w:r>
          </w:p>
        </w:tc>
      </w:tr>
      <w:tr>
        <w:trPr>
          <w:trHeight w:val="365"/>
        </w:trPr>
        <w:tc>
          <w:tcPr>
            <w:tcW w:w="358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Arial" w:cs="Arial" w:eastAsia="Arial" w:hAnsi="Arial"/>
                <w:sz w:val="18"/>
                <w:szCs w:val="18"/>
                <w:color w:val="auto"/>
              </w:rPr>
              <w:t>C-ii</w:t>
            </w:r>
          </w:p>
        </w:tc>
      </w:tr>
    </w:tbl>
    <w:p>
      <w:pPr>
        <w:sectPr>
          <w:pgSz w:w="11900" w:h="16838" w:orient="portrait"/>
          <w:cols w:equalWidth="0" w:num="1">
            <w:col w:w="11080"/>
          </w:cols>
          <w:pgMar w:left="320" w:top="459" w:right="49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Talkspace, Inc.</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address of the registered office of Talkspace,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Corporation may have additional offices at any place or places, within or outside the State of Delaware, as the Corporation’s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establish or as the business of the Corporation may require.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Meeting</w:t>
      </w:r>
      <w:r>
        <w:rPr>
          <w:rFonts w:ascii="Arial" w:cs="Arial" w:eastAsia="Arial" w:hAnsi="Arial"/>
          <w:sz w:val="18"/>
          <w:szCs w:val="18"/>
          <w:color w:val="auto"/>
        </w:rPr>
        <w: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Special meetings of the stockholders may be called, postponed, rescheduled or cancelled only by such persons and only in such manner as set forth in the Certificate of Incorporation.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business may be transacted at any special meeting of stockholders other than the business specified in the notice of such meeting.</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Business to be Brought before a Meeting</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57" w:lineRule="auto"/>
        <w:tabs>
          <w:tab w:leader="none" w:pos="132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(or any supplement thereto) given by or at the direction of the Board, (ii) 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80"/>
          </w:cols>
          <w:pgMar w:left="320" w:top="459" w:right="49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7"/>
          <w:szCs w:val="17"/>
          <w:u w:val="single" w:color="auto"/>
          <w:color w:val="auto"/>
        </w:rPr>
        <w:t>Exchange Act</w:t>
      </w:r>
      <w:r>
        <w:rPr>
          <w:rFonts w:ascii="Arial" w:cs="Arial" w:eastAsia="Arial" w:hAnsi="Arial"/>
          <w:sz w:val="17"/>
          <w:szCs w:val="17"/>
          <w:color w:val="auto"/>
        </w:rPr>
        <w:t>”). The foregoing clause (iii) 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and this Section 2.4 shall not be applicable to nominations except as expressly provided in Section 2.5 and Section 2.6.</w:t>
      </w:r>
    </w:p>
    <w:p>
      <w:pPr>
        <w:spacing w:after="0" w:line="182" w:lineRule="exact"/>
        <w:rPr>
          <w:sz w:val="20"/>
          <w:szCs w:val="20"/>
          <w:color w:val="auto"/>
        </w:rPr>
      </w:pPr>
    </w:p>
    <w:p>
      <w:pPr>
        <w:ind w:left="120" w:firstLine="987"/>
        <w:spacing w:after="0" w:line="269" w:lineRule="auto"/>
        <w:tabs>
          <w:tab w:leader="none" w:pos="1376"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90 days nor more than 120 days prior to the one-year anniversary of the preceding year’s annual meeting (which, in the case of the first annual meeting of stockholders following the Effective Time (as defined in the Corporation’s Certification of Incorporation), the date of the preceding year’s annual meeting shall be deemed to be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(such notice within such time periods, “</w:t>
      </w:r>
      <w:r>
        <w:rPr>
          <w:rFonts w:ascii="Arial" w:cs="Arial" w:eastAsia="Arial" w:hAnsi="Arial"/>
          <w:sz w:val="17"/>
          <w:szCs w:val="17"/>
          <w:u w:val="single" w:color="auto"/>
          <w:color w:val="auto"/>
        </w:rPr>
        <w:t>Timely Notice</w:t>
      </w:r>
      <w:r>
        <w:rPr>
          <w:rFonts w:ascii="Arial" w:cs="Arial" w:eastAsia="Arial" w:hAnsi="Arial"/>
          <w:sz w:val="17"/>
          <w:szCs w:val="17"/>
          <w:color w:val="auto"/>
        </w:rPr>
        <w:t>”). In no event shall any adjournment or postponement of an annual meeting or the announcement thereof commence a new time period (or extend any time period) for the giving of Timely Notice as described above.</w:t>
      </w:r>
    </w:p>
    <w:p>
      <w:pPr>
        <w:spacing w:after="0" w:line="181" w:lineRule="exact"/>
        <w:rPr>
          <w:rFonts w:ascii="Arial" w:cs="Arial" w:eastAsia="Arial" w:hAnsi="Arial"/>
          <w:sz w:val="17"/>
          <w:szCs w:val="17"/>
          <w:color w:val="auto"/>
        </w:rPr>
      </w:pPr>
    </w:p>
    <w:p>
      <w:pPr>
        <w:ind w:left="1420" w:hanging="313"/>
        <w:spacing w:after="0"/>
        <w:tabs>
          <w:tab w:leader="none" w:pos="14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2.4, a stockholder’s notice to the Secretary shall set forth:</w:t>
      </w:r>
    </w:p>
    <w:p>
      <w:pPr>
        <w:spacing w:after="0" w:line="117" w:lineRule="exact"/>
        <w:rPr>
          <w:rFonts w:ascii="Arial" w:cs="Arial" w:eastAsia="Arial" w:hAnsi="Arial"/>
          <w:sz w:val="18"/>
          <w:szCs w:val="18"/>
          <w:color w:val="auto"/>
        </w:rPr>
      </w:pPr>
    </w:p>
    <w:p>
      <w:pPr>
        <w:jc w:val="both"/>
        <w:ind w:left="1100" w:right="80" w:firstLine="408"/>
        <w:spacing w:after="0" w:line="293" w:lineRule="auto"/>
        <w:tabs>
          <w:tab w:leader="none" w:pos="1745" w:val="left"/>
        </w:tabs>
        <w:numPr>
          <w:ilvl w:val="1"/>
          <w:numId w:val="441"/>
        </w:numPr>
        <w:rPr>
          <w:rFonts w:ascii="Arial" w:cs="Arial" w:eastAsia="Arial" w:hAnsi="Arial"/>
          <w:sz w:val="16"/>
          <w:szCs w:val="16"/>
          <w:color w:val="auto"/>
        </w:rPr>
      </w:pPr>
      <w:r>
        <w:rPr>
          <w:rFonts w:ascii="Arial" w:cs="Arial" w:eastAsia="Arial" w:hAnsi="Arial"/>
          <w:sz w:val="16"/>
          <w:szCs w:val="16"/>
          <w:color w:val="auto"/>
        </w:rPr>
        <w:t>As to each Proposing Person (as defined below), (1) the name and address of such Proposing Person (including, if applicable, the name and address that appear on the Corporation’s books and records); and (2)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(1) and (2) are referred to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1100" w:right="40" w:firstLine="408"/>
        <w:spacing w:after="0" w:line="253" w:lineRule="auto"/>
        <w:tabs>
          <w:tab w:leader="none" w:pos="1756"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As to each Proposing Person, (1)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8"/>
          <w:szCs w:val="18"/>
          <w:u w:val="single" w:color="auto"/>
          <w:color w:val="auto"/>
        </w:rPr>
        <w:t>Synthetic Equity Position</w:t>
      </w:r>
      <w:r>
        <w:rPr>
          <w:rFonts w:ascii="Arial" w:cs="Arial" w:eastAsia="Arial" w:hAnsi="Arial"/>
          <w:sz w:val="18"/>
          <w:szCs w:val="18"/>
          <w:color w:val="auto"/>
        </w:rPr>
        <w:t>”)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40"/>
          </w:cols>
          <w:pgMar w:left="320" w:top="459" w:right="43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3" w:lineRule="auto"/>
        <w:rPr>
          <w:sz w:val="20"/>
          <w:szCs w:val="20"/>
          <w:color w:val="auto"/>
        </w:rPr>
      </w:pPr>
      <w:r>
        <w:rPr>
          <w:rFonts w:ascii="Arial" w:cs="Arial" w:eastAsia="Arial" w:hAnsi="Arial"/>
          <w:sz w:val="16"/>
          <w:szCs w:val="16"/>
          <w:color w:val="auto"/>
        </w:rPr>
        <w:t xml:space="preserve">such security or instrument is immediately convertible or exercisable at the time of such determination;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(2) any rights to dividends on the shares of any class or series of shares of the Corporation owned beneficially by such Proposing Person that are separated or separable from the underlying shares of the Corporation, (3) any material pending or threatened legal proceeding in which such Proposing Person is a party or material participant involving the Corporation or any of its officers or directors, or any affiliate of the Corporation, (4) any other material relationship between such Proposing Person, on the one hand, and the Corporation, any affiliate of the Corporation, on the other hand, (5) any direct or indirect material interest in any material contract or agreement of such Proposing Person with the Corporation or any affiliate of the Corporation (including, in any such case, any employment agreement, collective bargaining agreement or consulting agreement), (6)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w:t>
      </w:r>
    </w:p>
    <w:p>
      <w:pPr>
        <w:spacing w:after="0" w:line="1" w:lineRule="exact"/>
        <w:rPr>
          <w:sz w:val="20"/>
          <w:szCs w:val="20"/>
          <w:color w:val="auto"/>
        </w:rPr>
      </w:pPr>
    </w:p>
    <w:p>
      <w:pPr>
        <w:ind w:left="1100" w:firstLine="7"/>
        <w:spacing w:after="0" w:line="252" w:lineRule="auto"/>
        <w:tabs>
          <w:tab w:leader="none" w:pos="135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(7) are referred to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84" w:lineRule="exact"/>
        <w:rPr>
          <w:rFonts w:ascii="Arial" w:cs="Arial" w:eastAsia="Arial" w:hAnsi="Arial"/>
          <w:sz w:val="18"/>
          <w:szCs w:val="18"/>
          <w:color w:val="auto"/>
        </w:rPr>
      </w:pPr>
    </w:p>
    <w:p>
      <w:pPr>
        <w:ind w:left="1100" w:right="20" w:firstLine="408"/>
        <w:spacing w:after="0" w:line="286" w:lineRule="auto"/>
        <w:tabs>
          <w:tab w:leader="none" w:pos="1745" w:val="left"/>
        </w:tabs>
        <w:numPr>
          <w:ilvl w:val="1"/>
          <w:numId w:val="442"/>
        </w:numPr>
        <w:rPr>
          <w:rFonts w:ascii="Arial" w:cs="Arial" w:eastAsia="Arial" w:hAnsi="Arial"/>
          <w:sz w:val="16"/>
          <w:szCs w:val="16"/>
          <w:color w:val="auto"/>
        </w:rPr>
      </w:pPr>
      <w:r>
        <w:rPr>
          <w:rFonts w:ascii="Arial" w:cs="Arial" w:eastAsia="Arial" w:hAnsi="Arial"/>
          <w:sz w:val="16"/>
          <w:szCs w:val="16"/>
          <w:color w:val="auto"/>
        </w:rPr>
        <w:t xml:space="preserve">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of the Corporation, the language of the proposed amendment), (3)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 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disclosures required by this paragraph (c)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purposes of this Section 2.4,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00"/>
          </w:cols>
          <w:pgMar w:left="320" w:top="459" w:right="47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is made, and (iii) any participant (as defined in paragraphs (a)(ii)-(vi) of Instruction 3 to Item 4 of Schedule 14A) with such stockholder in such solicitation.</w:t>
      </w:r>
    </w:p>
    <w:p>
      <w:pPr>
        <w:spacing w:after="0" w:line="170" w:lineRule="exact"/>
        <w:rPr>
          <w:sz w:val="20"/>
          <w:szCs w:val="20"/>
          <w:color w:val="auto"/>
        </w:rPr>
      </w:pPr>
    </w:p>
    <w:p>
      <w:pPr>
        <w:ind w:left="120" w:firstLine="987"/>
        <w:spacing w:after="0" w:line="287" w:lineRule="auto"/>
        <w:tabs>
          <w:tab w:leader="none" w:pos="1416"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67"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2.4. The Board or chairperson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Notwithstanding the foregoing provisions of this Section 2.4, if the Proposing Person (or a qualified representative of the Proposing Person) does not appear at the annual meeting to present the proposed business, such proposed business shall not be transacted, notwithstanding that proxies in respect of such matter may have been received by the Corporation.</w:t>
      </w:r>
    </w:p>
    <w:p>
      <w:pPr>
        <w:spacing w:after="0" w:line="194" w:lineRule="exact"/>
        <w:rPr>
          <w:rFonts w:ascii="Arial" w:cs="Arial" w:eastAsia="Arial" w:hAnsi="Arial"/>
          <w:sz w:val="18"/>
          <w:szCs w:val="18"/>
          <w:color w:val="auto"/>
        </w:rPr>
      </w:pPr>
    </w:p>
    <w:p>
      <w:pPr>
        <w:ind w:left="120" w:firstLine="987"/>
        <w:spacing w:after="0" w:line="296" w:lineRule="auto"/>
        <w:tabs>
          <w:tab w:leader="none" w:pos="1416"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61" w:lineRule="exact"/>
        <w:rPr>
          <w:rFonts w:ascii="Arial" w:cs="Arial" w:eastAsia="Arial" w:hAnsi="Arial"/>
          <w:sz w:val="16"/>
          <w:szCs w:val="16"/>
          <w:color w:val="auto"/>
        </w:rPr>
      </w:pPr>
    </w:p>
    <w:p>
      <w:pPr>
        <w:ind w:left="120" w:right="140" w:firstLine="987"/>
        <w:spacing w:after="0" w:line="259" w:lineRule="auto"/>
        <w:tabs>
          <w:tab w:leader="none" w:pos="146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in a press release reported by a national news service, in a document publicly filed by the Corporation with the Securities and Exchange Commission pursuant to Sections 13, 14 or 15(d) of the Exchange Act or by such other means as is reasonably designed to inform the public or securityholders of the Corporation in general of such information including, without limitation, posting on the Corporation’s investor relations website.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Nominations for Election to the Board of Directors</w:t>
      </w:r>
      <w:r>
        <w:rPr>
          <w:rFonts w:ascii="Arial" w:cs="Arial" w:eastAsia="Arial" w:hAnsi="Arial"/>
          <w:sz w:val="18"/>
          <w:szCs w:val="18"/>
          <w:color w:val="auto"/>
        </w:rPr>
        <w:t>.</w:t>
      </w:r>
    </w:p>
    <w:p>
      <w:pPr>
        <w:spacing w:after="0" w:line="225" w:lineRule="exact"/>
        <w:rPr>
          <w:sz w:val="20"/>
          <w:szCs w:val="20"/>
          <w:color w:val="auto"/>
        </w:rPr>
      </w:pPr>
    </w:p>
    <w:p>
      <w:pPr>
        <w:ind w:left="120" w:right="200" w:firstLine="987"/>
        <w:spacing w:after="0" w:line="279" w:lineRule="auto"/>
        <w:tabs>
          <w:tab w:leader="none" w:pos="1326" w:val="left"/>
        </w:tabs>
        <w:numPr>
          <w:ilvl w:val="0"/>
          <w:numId w:val="444"/>
        </w:numPr>
        <w:rPr>
          <w:rFonts w:ascii="Arial" w:cs="Arial" w:eastAsia="Arial" w:hAnsi="Arial"/>
          <w:sz w:val="17"/>
          <w:szCs w:val="17"/>
          <w:color w:val="auto"/>
        </w:rPr>
      </w:pPr>
      <w:r>
        <w:rPr>
          <w:rFonts w:ascii="Arial" w:cs="Arial" w:eastAsia="Arial" w:hAnsi="Arial"/>
          <w:sz w:val="17"/>
          <w:szCs w:val="17"/>
          <w:color w:val="auto"/>
        </w:rPr>
        <w:t>Subject in all respects to the provisions of the Certificate of Incorporation,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(x) by or at the direction of the Board, including by any committee or persons authorized to do so by the Board or these bylaws, or (y) by a stockholder present in person (A) who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was a record owner of shares of the Corporation both at the time of giving the notice provided for in this Section 2.5 and at the time of the meeting,</w:t>
      </w:r>
    </w:p>
    <w:p>
      <w:pPr>
        <w:spacing w:after="0" w:line="35" w:lineRule="exact"/>
        <w:rPr>
          <w:sz w:val="20"/>
          <w:szCs w:val="20"/>
          <w:color w:val="auto"/>
        </w:rPr>
      </w:pPr>
    </w:p>
    <w:p>
      <w:pPr>
        <w:ind w:left="120" w:right="60" w:hanging="4"/>
        <w:spacing w:after="0" w:line="268" w:lineRule="auto"/>
        <w:tabs>
          <w:tab w:leader="none" w:pos="405" w:val="left"/>
        </w:tabs>
        <w:numPr>
          <w:ilvl w:val="0"/>
          <w:numId w:val="445"/>
        </w:numPr>
        <w:rPr>
          <w:rFonts w:ascii="Arial" w:cs="Arial" w:eastAsia="Arial" w:hAnsi="Arial"/>
          <w:sz w:val="17"/>
          <w:szCs w:val="17"/>
          <w:color w:val="auto"/>
        </w:rPr>
      </w:pPr>
      <w:r>
        <w:rPr>
          <w:rFonts w:ascii="Arial" w:cs="Arial" w:eastAsia="Arial" w:hAnsi="Arial"/>
          <w:sz w:val="17"/>
          <w:szCs w:val="17"/>
          <w:color w:val="auto"/>
        </w:rPr>
        <w:t>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Except as may be otherwise provided by the terms of one or more series of Preferred Stock with respect to the rights of holders of one or more series of Preferred Stock to elect directors, the foregoing clause (y) shall be the exclusive means for a stockholder to make any nomination of a person or persons for election to the Board at an annual meeting or special meeting.</w:t>
      </w:r>
    </w:p>
    <w:p>
      <w:pPr>
        <w:spacing w:after="0" w:line="181" w:lineRule="exact"/>
        <w:rPr>
          <w:rFonts w:ascii="Arial" w:cs="Arial" w:eastAsia="Arial" w:hAnsi="Arial"/>
          <w:sz w:val="17"/>
          <w:szCs w:val="17"/>
          <w:color w:val="auto"/>
        </w:rPr>
      </w:pPr>
    </w:p>
    <w:p>
      <w:pPr>
        <w:ind w:left="120" w:right="100" w:firstLine="987"/>
        <w:spacing w:after="0" w:line="291" w:lineRule="auto"/>
        <w:tabs>
          <w:tab w:leader="none" w:pos="1376" w:val="left"/>
        </w:tabs>
        <w:numPr>
          <w:ilvl w:val="1"/>
          <w:numId w:val="445"/>
        </w:numPr>
        <w:rPr>
          <w:rFonts w:ascii="Arial" w:cs="Arial" w:eastAsia="Arial" w:hAnsi="Arial"/>
          <w:sz w:val="16"/>
          <w:szCs w:val="16"/>
          <w:color w:val="auto"/>
        </w:rPr>
      </w:pPr>
      <w:r>
        <w:rPr>
          <w:rFonts w:ascii="Arial" w:cs="Arial" w:eastAsia="Arial" w:hAnsi="Arial"/>
          <w:sz w:val="16"/>
          <w:szCs w:val="16"/>
          <w:color w:val="auto"/>
        </w:rPr>
        <w:t>Without qualification, for a stockholder to make any nomination of a person or persons for election to the Board at an annual meeting, the stockholder must (1) provide Timely Notice (as defined in Section 2.4) thereof in writing and in proper form to the Secretary of the Corporation,</w:t>
      </w:r>
    </w:p>
    <w:p>
      <w:pPr>
        <w:jc w:val="both"/>
        <w:ind w:left="120" w:right="120"/>
        <w:spacing w:after="0" w:line="255" w:lineRule="auto"/>
        <w:rPr>
          <w:rFonts w:ascii="Arial" w:cs="Arial" w:eastAsia="Arial" w:hAnsi="Arial"/>
          <w:sz w:val="16"/>
          <w:szCs w:val="16"/>
          <w:color w:val="auto"/>
        </w:rPr>
      </w:pPr>
      <w:r>
        <w:rPr>
          <w:rFonts w:ascii="Arial" w:cs="Arial" w:eastAsia="Arial" w:hAnsi="Arial"/>
          <w:sz w:val="18"/>
          <w:szCs w:val="18"/>
          <w:color w:val="auto"/>
        </w:rPr>
        <w:t>(2)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p>
    <w:p>
      <w:pPr>
        <w:spacing w:after="0" w:line="189" w:lineRule="exact"/>
        <w:rPr>
          <w:rFonts w:ascii="Arial" w:cs="Arial" w:eastAsia="Arial" w:hAnsi="Arial"/>
          <w:sz w:val="16"/>
          <w:szCs w:val="16"/>
          <w:color w:val="auto"/>
        </w:rPr>
      </w:pPr>
    </w:p>
    <w:p>
      <w:pPr>
        <w:ind w:left="120" w:firstLine="987"/>
        <w:spacing w:after="0" w:line="270" w:lineRule="auto"/>
        <w:tabs>
          <w:tab w:leader="none" w:pos="1426" w:val="left"/>
        </w:tabs>
        <w:numPr>
          <w:ilvl w:val="1"/>
          <w:numId w:val="445"/>
        </w:numPr>
        <w:rPr>
          <w:rFonts w:ascii="Arial" w:cs="Arial" w:eastAsia="Arial" w:hAnsi="Arial"/>
          <w:sz w:val="17"/>
          <w:szCs w:val="17"/>
          <w:color w:val="auto"/>
        </w:rPr>
      </w:pPr>
      <w:r>
        <w:rPr>
          <w:rFonts w:ascii="Arial" w:cs="Arial" w:eastAsia="Arial" w:hAnsi="Arial"/>
          <w:sz w:val="17"/>
          <w:szCs w:val="17"/>
          <w:color w:val="auto"/>
        </w:rPr>
        <w:t>Without qualification, if the election of directors is a matter specified in the notice of meeting given by or at the direction of the person calling a special meeting in accordance with the Certificate of Incorporation,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10th day following the day on which public disclosure (as defined in Section 2.4) of the date of such special meeting was first made.</w:t>
      </w:r>
    </w:p>
    <w:p>
      <w:pPr>
        <w:spacing w:after="0" w:line="180" w:lineRule="exact"/>
        <w:rPr>
          <w:rFonts w:ascii="Arial" w:cs="Arial" w:eastAsia="Arial" w:hAnsi="Arial"/>
          <w:sz w:val="17"/>
          <w:szCs w:val="17"/>
          <w:color w:val="auto"/>
        </w:rPr>
      </w:pPr>
    </w:p>
    <w:p>
      <w:pPr>
        <w:ind w:left="120" w:right="20" w:firstLine="987"/>
        <w:spacing w:after="0" w:line="277" w:lineRule="auto"/>
        <w:tabs>
          <w:tab w:leader="none" w:pos="1416" w:val="left"/>
        </w:tabs>
        <w:numPr>
          <w:ilvl w:val="1"/>
          <w:numId w:val="445"/>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70" w:lineRule="exact"/>
        <w:rPr>
          <w:rFonts w:ascii="Arial" w:cs="Arial" w:eastAsia="Arial" w:hAnsi="Arial"/>
          <w:sz w:val="18"/>
          <w:szCs w:val="18"/>
          <w:color w:val="auto"/>
        </w:rPr>
      </w:pPr>
    </w:p>
    <w:p>
      <w:pPr>
        <w:ind w:left="120" w:right="20" w:firstLine="987"/>
        <w:spacing w:after="0" w:line="301" w:lineRule="auto"/>
        <w:tabs>
          <w:tab w:leader="none" w:pos="1366" w:val="left"/>
        </w:tabs>
        <w:numPr>
          <w:ilvl w:val="1"/>
          <w:numId w:val="445"/>
        </w:numPr>
        <w:rPr>
          <w:rFonts w:ascii="Arial" w:cs="Arial" w:eastAsia="Arial" w:hAnsi="Arial"/>
          <w:sz w:val="16"/>
          <w:szCs w:val="16"/>
          <w:color w:val="auto"/>
        </w:rPr>
      </w:pPr>
      <w:r>
        <w:rPr>
          <w:rFonts w:ascii="Arial" w:cs="Arial" w:eastAsia="Arial" w:hAnsi="Arial"/>
          <w:sz w:val="16"/>
          <w:szCs w:val="16"/>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Section 2.5(ii)(b), or (iii) the tenth day following the date of public disclosure (as defined in Section 2.4) of such increase.</w:t>
      </w:r>
    </w:p>
    <w:p>
      <w:pPr>
        <w:spacing w:after="0" w:line="157" w:lineRule="exact"/>
        <w:rPr>
          <w:rFonts w:ascii="Arial" w:cs="Arial" w:eastAsia="Arial" w:hAnsi="Arial"/>
          <w:sz w:val="16"/>
          <w:szCs w:val="16"/>
          <w:color w:val="auto"/>
        </w:rPr>
      </w:pPr>
    </w:p>
    <w:p>
      <w:pPr>
        <w:ind w:left="1420" w:hanging="313"/>
        <w:spacing w:after="0"/>
        <w:tabs>
          <w:tab w:leader="none" w:pos="14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2.5, a stockholder’s notice to the Secretary shall set forth:</w:t>
      </w:r>
    </w:p>
    <w:p>
      <w:pPr>
        <w:spacing w:after="0" w:line="117" w:lineRule="exact"/>
        <w:rPr>
          <w:rFonts w:ascii="Arial" w:cs="Arial" w:eastAsia="Arial" w:hAnsi="Arial"/>
          <w:sz w:val="18"/>
          <w:szCs w:val="18"/>
          <w:color w:val="auto"/>
        </w:rPr>
      </w:pPr>
    </w:p>
    <w:p>
      <w:pPr>
        <w:jc w:val="both"/>
        <w:ind w:left="1100" w:right="160" w:firstLine="408"/>
        <w:spacing w:after="0" w:line="263" w:lineRule="auto"/>
        <w:tabs>
          <w:tab w:leader="none" w:pos="1745" w:val="left"/>
        </w:tabs>
        <w:numPr>
          <w:ilvl w:val="2"/>
          <w:numId w:val="445"/>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2.4(iii)(a), except that for purposes of this Section 2.5 the term “Nominating Person” shall be substituted for the term “Proposing Person” in all places it appears in Section 2.4(iii)(a));</w:t>
      </w:r>
    </w:p>
    <w:p>
      <w:pPr>
        <w:spacing w:after="0" w:line="75" w:lineRule="exact"/>
        <w:rPr>
          <w:rFonts w:ascii="Arial" w:cs="Arial" w:eastAsia="Arial" w:hAnsi="Arial"/>
          <w:sz w:val="18"/>
          <w:szCs w:val="18"/>
          <w:color w:val="auto"/>
        </w:rPr>
      </w:pPr>
    </w:p>
    <w:p>
      <w:pPr>
        <w:ind w:left="1100" w:right="600" w:firstLine="408"/>
        <w:spacing w:after="0" w:line="277" w:lineRule="auto"/>
        <w:tabs>
          <w:tab w:leader="none" w:pos="1756" w:val="left"/>
        </w:tabs>
        <w:numPr>
          <w:ilvl w:val="2"/>
          <w:numId w:val="445"/>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2.4(iii)(b), except that for purposes of this Section 2.5 the term “Nominating Person” shall be substituted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20"/>
          </w:cols>
          <w:pgMar w:left="320" w:top="459" w:right="45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term “Proposing Person” in all places it appears in Section 2.4(iii)(b) and the disclosure with respect to the business to be brought before the meeting in Section 2.4(iii)(b) shall be made with respect to the election of directors at the meeting); and</w:t>
      </w:r>
    </w:p>
    <w:p>
      <w:pPr>
        <w:spacing w:after="0" w:line="62" w:lineRule="exact"/>
        <w:rPr>
          <w:sz w:val="20"/>
          <w:szCs w:val="20"/>
          <w:color w:val="auto"/>
        </w:rPr>
      </w:pPr>
    </w:p>
    <w:p>
      <w:pPr>
        <w:ind w:left="1100" w:firstLine="408"/>
        <w:spacing w:after="0" w:line="269" w:lineRule="auto"/>
        <w:tabs>
          <w:tab w:leader="none" w:pos="1745"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7"/>
          <w:szCs w:val="17"/>
          <w:u w:val="single" w:color="auto"/>
          <w:color w:val="auto"/>
        </w:rPr>
        <w:t>Nominee Information</w:t>
      </w:r>
      <w:r>
        <w:rPr>
          <w:rFonts w:ascii="Arial" w:cs="Arial" w:eastAsia="Arial" w:hAnsi="Arial"/>
          <w:sz w:val="17"/>
          <w:szCs w:val="17"/>
          <w:color w:val="auto"/>
        </w:rPr>
        <w:t>”), and (D) a completed and signed questionnaire, representation and agreement as provided in Section 2.6(i).</w:t>
      </w:r>
    </w:p>
    <w:p>
      <w:pPr>
        <w:spacing w:after="0" w:line="17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purposes of this Section 2.5,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84" w:lineRule="exact"/>
        <w:rPr>
          <w:sz w:val="20"/>
          <w:szCs w:val="20"/>
          <w:color w:val="auto"/>
        </w:rPr>
      </w:pPr>
    </w:p>
    <w:p>
      <w:pPr>
        <w:ind w:left="120" w:right="80" w:firstLine="987"/>
        <w:spacing w:after="0" w:line="269" w:lineRule="auto"/>
        <w:tabs>
          <w:tab w:leader="none" w:pos="146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8" w:lineRule="exact"/>
        <w:rPr>
          <w:rFonts w:ascii="Arial" w:cs="Arial" w:eastAsia="Arial" w:hAnsi="Arial"/>
          <w:sz w:val="17"/>
          <w:szCs w:val="17"/>
          <w:color w:val="auto"/>
        </w:rPr>
      </w:pPr>
    </w:p>
    <w:p>
      <w:pPr>
        <w:ind w:left="120" w:right="900" w:firstLine="987"/>
        <w:spacing w:after="0" w:line="308" w:lineRule="auto"/>
        <w:tabs>
          <w:tab w:leader="none" w:pos="151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Additional Requirements for Valid Nomination of Candidates to Serve as Director and, if Elected, to be Seated as Directors</w:t>
      </w:r>
      <w:r>
        <w:rPr>
          <w:rFonts w:ascii="Arial" w:cs="Arial" w:eastAsia="Arial" w:hAnsi="Arial"/>
          <w:sz w:val="18"/>
          <w:szCs w:val="18"/>
          <w:color w:val="auto"/>
        </w:rPr>
        <w:t>.</w:t>
      </w:r>
    </w:p>
    <w:p>
      <w:pPr>
        <w:spacing w:after="0" w:line="225" w:lineRule="exact"/>
        <w:rPr>
          <w:sz w:val="20"/>
          <w:szCs w:val="20"/>
          <w:color w:val="auto"/>
        </w:rPr>
      </w:pPr>
    </w:p>
    <w:p>
      <w:pPr>
        <w:ind w:left="120" w:right="620" w:firstLine="987"/>
        <w:spacing w:after="0" w:line="277" w:lineRule="auto"/>
        <w:tabs>
          <w:tab w:leader="none" w:pos="1326"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Corporation at an annual or special meeting, a candidate must be nominated in the manner prescribed in Section 2.5 and the candidate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40"/>
          </w:cols>
          <w:pgMar w:left="320" w:top="459" w:right="43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a form provided by the Corporation)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(D) if elected as director of the Corporation, intends to serve the entire term until the next meeting at which such candidate would face re-election and (E) consents to being named as a nominee in the Corporation’s proxy statement pursuant to Rule 14a-4(d) under the Exchange Act and any associated proxy card of the Corporation and agrees to serve if elected as a director.</w:t>
      </w:r>
    </w:p>
    <w:p>
      <w:pPr>
        <w:spacing w:after="0" w:line="171" w:lineRule="exact"/>
        <w:rPr>
          <w:sz w:val="20"/>
          <w:szCs w:val="20"/>
          <w:color w:val="auto"/>
        </w:rPr>
      </w:pPr>
    </w:p>
    <w:p>
      <w:pPr>
        <w:ind w:left="120" w:firstLine="987"/>
        <w:spacing w:after="0" w:line="259" w:lineRule="auto"/>
        <w:tabs>
          <w:tab w:leader="none" w:pos="137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w:t>
      </w:r>
    </w:p>
    <w:p>
      <w:pPr>
        <w:spacing w:after="0" w:line="186" w:lineRule="exact"/>
        <w:rPr>
          <w:rFonts w:ascii="Arial" w:cs="Arial" w:eastAsia="Arial" w:hAnsi="Arial"/>
          <w:sz w:val="18"/>
          <w:szCs w:val="18"/>
          <w:color w:val="auto"/>
        </w:rPr>
      </w:pPr>
    </w:p>
    <w:p>
      <w:pPr>
        <w:ind w:left="120" w:firstLine="987"/>
        <w:spacing w:after="0" w:line="286" w:lineRule="auto"/>
        <w:tabs>
          <w:tab w:leader="none" w:pos="142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73" w:lineRule="exact"/>
        <w:rPr>
          <w:rFonts w:ascii="Arial" w:cs="Arial" w:eastAsia="Arial" w:hAnsi="Arial"/>
          <w:sz w:val="16"/>
          <w:szCs w:val="16"/>
          <w:color w:val="auto"/>
        </w:rPr>
      </w:pPr>
    </w:p>
    <w:p>
      <w:pPr>
        <w:ind w:left="120" w:right="860" w:firstLine="987"/>
        <w:spacing w:after="0" w:line="277" w:lineRule="auto"/>
        <w:tabs>
          <w:tab w:leader="none" w:pos="141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No candidate shall be eligible for nomination as a director of the Corporation unless such candidate for nomination and the Nominating Person seeking to place such candidate’s name in nomination has complied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20"/>
          </w:cols>
          <w:pgMar w:left="320" w:top="459" w:right="45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with Section 2.5 and this Section 2.6, as applicable. The Board or chairperson of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Notwithstanding the foregoing provisions of Section 2.5,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95" w:lineRule="exact"/>
        <w:rPr>
          <w:sz w:val="20"/>
          <w:szCs w:val="20"/>
          <w:color w:val="auto"/>
        </w:rPr>
      </w:pPr>
    </w:p>
    <w:p>
      <w:pPr>
        <w:ind w:left="120" w:right="60" w:firstLine="987"/>
        <w:spacing w:after="0" w:line="277" w:lineRule="auto"/>
        <w:tabs>
          <w:tab w:leader="none" w:pos="136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Notice of Stockholders’ Meetings</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of stockholders shall be sent or otherwise given in accordance with Section 8.1 of these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and the business transacted at such meeting shall be limited to the matters so stated in the notice of meeting (or any supplement thereto).</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20"/>
          </w:cols>
          <w:pgMar w:left="320" w:top="459" w:right="45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chairperson of each annual and special meeting shall be the Chairperson of the Board or, in the absence (or inability or refusal to act) of the Chairperson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of stockholders shall have the right and authority to convene and (for any or no reason) to recess and/or adjourn the meeting, to prescribe such rules, regulations and procedures (which need not be in writing) and to do all such acts as, in the judgment of the chairperson of the meeting,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The chairperson of the meeting,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chairperson of the meeting), shall, if the facts warrant, determine and declare to the meeting that a matter of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chairperson of the meeting. In the absence (or inability or refusal to act) of the Secretary and all Assistant Secretaries, the chairperson of the meeting may appoint any person to act as secretary of the meeting.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Except as may be otherwise provided in the Certificate of Incorporation, these bylaws or the DGCL, each stockholder shall be entitled to one vote for each share of capital stock held by such stockholder.</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Except as otherwise provided by the Certificate of Incorporation and subject to the rights of the holders of one or more series of Preferred Stock, voting separately by class or series, to elect directors pursuant to the terms of one or more series of Preferred Stock,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120"/>
          </w:cols>
          <w:pgMar w:left="320" w:top="459" w:right="45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at which a quorum is present shall be decided by the affirmative vote of the holders of a majority in voting power of the votes cast (excluding abstentions and broker non-votes) on such matter.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Record Date for Stockholder Meetings and Other Purposes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Proxies</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proxy may be in the form of an electronic transmission that sets forth or is submitted with information from which it can be determined that the transmission was authorized by the stockholder.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Corporation shall prepare, at least 10 days before every meeting of stockholders, a complete list of the stockholders entitled to vote at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record date for determining the stockholders entitled to vote is less than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w:t>
      </w:r>
    </w:p>
    <w:p>
      <w:pPr>
        <w:spacing w:after="0" w:line="22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inspectors shall:</w:t>
      </w:r>
    </w:p>
    <w:p>
      <w:pPr>
        <w:spacing w:after="0" w:line="225" w:lineRule="exact"/>
        <w:rPr>
          <w:sz w:val="20"/>
          <w:szCs w:val="20"/>
          <w:color w:val="auto"/>
        </w:rPr>
      </w:pPr>
    </w:p>
    <w:p>
      <w:pPr>
        <w:ind w:left="120" w:right="400" w:firstLine="987"/>
        <w:spacing w:after="0" w:line="277" w:lineRule="auto"/>
        <w:tabs>
          <w:tab w:leader="none" w:pos="132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determine the number of shares outstanding and the voting power of each, the number of shares represented at the meeting and the validity of any proxies and ballots;</w:t>
      </w:r>
    </w:p>
    <w:p>
      <w:pPr>
        <w:spacing w:after="0" w:line="170" w:lineRule="exact"/>
        <w:rPr>
          <w:rFonts w:ascii="Arial" w:cs="Arial" w:eastAsia="Arial" w:hAnsi="Arial"/>
          <w:sz w:val="18"/>
          <w:szCs w:val="18"/>
          <w:color w:val="auto"/>
        </w:rPr>
      </w:pPr>
    </w:p>
    <w:p>
      <w:pPr>
        <w:ind w:left="1380" w:hanging="273"/>
        <w:spacing w:after="0"/>
        <w:tabs>
          <w:tab w:leader="none" w:pos="13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count all votes or ballots;</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count and tabulate all votes;</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inspector(s); and</w:t>
      </w:r>
    </w:p>
    <w:p>
      <w:pPr>
        <w:spacing w:after="0" w:line="210" w:lineRule="exact"/>
        <w:rPr>
          <w:rFonts w:ascii="Arial" w:cs="Arial" w:eastAsia="Arial" w:hAnsi="Arial"/>
          <w:sz w:val="17"/>
          <w:szCs w:val="17"/>
          <w:color w:val="auto"/>
        </w:rPr>
      </w:pPr>
    </w:p>
    <w:p>
      <w:pPr>
        <w:ind w:left="1360" w:hanging="253"/>
        <w:spacing w:after="0"/>
        <w:tabs>
          <w:tab w:leader="none" w:pos="13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certify its or their determination of the number of shares represented at the meeting and its or their count of all votes and ballots.</w:t>
      </w:r>
    </w:p>
    <w:p>
      <w:pPr>
        <w:spacing w:after="0" w:line="23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Delivery to the Corporation.</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320" w:top="459" w:right="45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Except as otherwise provided by the Certificate of Incorporation or the DGCL, the business and affairs of the Corporation shall be managed by or under the direction of the Board.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22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Subject to the Certificate of Incorporation or any certificate of designation with respect to any series of Preferred Stock,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Election, Qualification and Term of Office of Directors</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in accordance with the Certificate of Incorporation. Directors need not be stockholders. The Certificate of Incorporation or these bylaws may prescribe qualifications for directors.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Resignation and Vacancies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6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Place of Meetings; Meetings by Telephone</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w:t>
      </w:r>
    </w:p>
    <w:p>
      <w:pPr>
        <w:spacing w:after="0" w:line="22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Regular meetings of the Board may be held within or outside the State of Delaware and at such time and at such place as which has been designated by the Board and publicized among all directors, either orally or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Special meetings of the Board for any purpose or purposes may be held within or outside the State of Delaware and called at any time by the Chairperson of the Board, the Chief Executive Officer, the President, the Secretary or a majority of the total number of directors constituting the Board.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320" w:hanging="213"/>
        <w:spacing w:after="0"/>
        <w:tabs>
          <w:tab w:leader="none" w:pos="13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380" w:hanging="273"/>
        <w:spacing w:after="0"/>
        <w:tabs>
          <w:tab w:leader="none" w:pos="13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sent by facsimile or electronic mail; or</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sent by other means of electronic transmission,</w:t>
      </w:r>
    </w:p>
    <w:p>
      <w:pPr>
        <w:spacing w:after="0" w:line="22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electronic mail, or (iii) sent by other means of electronic transmission, it shall be delivered or sent at least 24 hours before the time of the holding of the meeting. If the notice is sent by U.S. mail, it shall be deposited in the U.S. mail at least four days before the time of the holding of the meeting. The notice need not specify the place of the meeting (if the meeting is to be held at the Corporation’s principal executive office) nor the purpose of the meeting.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Board Action without a Meeting</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080"/>
          </w:cols>
          <w:pgMar w:left="320" w:top="459" w:right="49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120" w:right="560" w:hanging="4"/>
        <w:spacing w:after="0" w:line="260" w:lineRule="auto"/>
        <w:tabs>
          <w:tab w:leader="none" w:pos="33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Meetings and Actions of Committees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320" w:hanging="213"/>
        <w:spacing w:after="0"/>
        <w:tabs>
          <w:tab w:leader="none" w:pos="13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Section 3.5 (place of meetings; meetings by telephone);</w:t>
      </w:r>
    </w:p>
    <w:p>
      <w:pPr>
        <w:spacing w:after="0" w:line="225" w:lineRule="exact"/>
        <w:rPr>
          <w:rFonts w:ascii="Arial" w:cs="Arial" w:eastAsia="Arial" w:hAnsi="Arial"/>
          <w:sz w:val="18"/>
          <w:szCs w:val="18"/>
          <w:color w:val="auto"/>
        </w:rPr>
      </w:pPr>
    </w:p>
    <w:p>
      <w:pPr>
        <w:ind w:left="1380" w:hanging="273"/>
        <w:spacing w:after="0"/>
        <w:tabs>
          <w:tab w:leader="none" w:pos="13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Section 3.7 (special meetings; notice);</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Section 3.9 (board action without a meeting); and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Section 7.14 (waiver of notice),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1320" w:hanging="213"/>
        <w:spacing w:after="0"/>
        <w:tabs>
          <w:tab w:leader="none" w:pos="13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380" w:hanging="273"/>
        <w:spacing w:after="0"/>
        <w:tabs>
          <w:tab w:leader="none" w:pos="138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Board or the chairperson of the applicable committee; and</w:t>
      </w:r>
    </w:p>
    <w:p>
      <w:pPr>
        <w:spacing w:after="0" w:line="236" w:lineRule="exact"/>
        <w:rPr>
          <w:rFonts w:ascii="Arial" w:cs="Arial" w:eastAsia="Arial" w:hAnsi="Arial"/>
          <w:sz w:val="17"/>
          <w:szCs w:val="17"/>
          <w:color w:val="auto"/>
        </w:rPr>
      </w:pPr>
    </w:p>
    <w:p>
      <w:pPr>
        <w:ind w:left="120" w:right="520" w:firstLine="987"/>
        <w:spacing w:after="0" w:line="342" w:lineRule="auto"/>
        <w:tabs>
          <w:tab w:leader="none" w:pos="1426"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Board may adopt rules for the governance of any committee to override the provisions that would otherwise apply to the committee pursuant to this Section 4.2, provided that such rules do not violate the provisions of the Certificate of Incorporation or applicable law.</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Subcommittees.</w:t>
      </w:r>
    </w:p>
    <w:p>
      <w:pPr>
        <w:spacing w:after="0" w:line="22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Unless otherwise provided in the Certificate of Incorporation, these bylaws, the resolutions of the Board designating the committee or the charter of such committee adopted by the Board, a committee may create one or more subcommittees, each subcommittee to consist of one or more members of the committee, and delegate to a subcommittee any or all of the powers and authority of the committee.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120"/>
          </w:cols>
          <w:pgMar w:left="320" w:top="459" w:right="45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22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 5.3 of these bylaws.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Subordinate Officers</w:t>
      </w:r>
      <w:r>
        <w:rPr>
          <w:rFonts w:ascii="Arial" w:cs="Arial" w:eastAsia="Arial" w:hAnsi="Arial"/>
          <w:sz w:val="18"/>
          <w:szCs w:val="18"/>
          <w:color w:val="auto"/>
        </w:rPr>
        <w:t>.</w:t>
      </w:r>
    </w:p>
    <w:p>
      <w:pPr>
        <w:spacing w:after="0" w:line="225"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w:t>
      </w:r>
    </w:p>
    <w:p>
      <w:pPr>
        <w:spacing w:after="0" w:line="225"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2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vacancy occurring in any office of the Corporation shall be filled as provided in Section 5.2 or Section 5.3, as applicable.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Representation of Shares of Other Corporations</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w:t>
      </w:r>
    </w:p>
    <w:p>
      <w:pPr>
        <w:spacing w:after="0" w:line="22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080"/>
          </w:cols>
          <w:pgMar w:left="320" w:top="459" w:right="49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 Records</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39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 VII - General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w:t>
      </w:r>
    </w:p>
    <w:p>
      <w:pPr>
        <w:spacing w:after="0" w:line="22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Certificates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120"/>
          </w:cols>
          <w:pgMar w:left="320" w:top="459" w:right="45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Special Designation of Certificates.</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Lost Certificates</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in addition to any other requirements as may be imposed by the Corporation,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Shares Without Certificates</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Fiscal Year</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120"/>
          </w:cols>
          <w:pgMar w:left="320" w:top="459" w:right="45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Seal</w:t>
      </w:r>
      <w:r>
        <w:rPr>
          <w:rFonts w:ascii="Arial" w:cs="Arial" w:eastAsia="Arial" w:hAnsi="Arial"/>
          <w:sz w:val="18"/>
          <w:szCs w:val="18"/>
          <w:color w:val="auto"/>
        </w:rPr>
        <w:t>.</w:t>
      </w:r>
    </w:p>
    <w:p>
      <w:pPr>
        <w:spacing w:after="0" w:line="225"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Transfer of Stock</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Subject to the restrictions set forth in Section 7.12,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Stock Transfer Agreements</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or other applicable law.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Lock-Up.</w:t>
      </w:r>
    </w:p>
    <w:p>
      <w:pPr>
        <w:spacing w:after="0" w:line="225" w:lineRule="exact"/>
        <w:rPr>
          <w:sz w:val="20"/>
          <w:szCs w:val="20"/>
          <w:color w:val="auto"/>
        </w:rPr>
      </w:pPr>
    </w:p>
    <w:p>
      <w:pPr>
        <w:ind w:left="120" w:firstLine="987"/>
        <w:spacing w:after="0" w:line="269" w:lineRule="auto"/>
        <w:tabs>
          <w:tab w:leader="none" w:pos="1326" w:val="left"/>
        </w:tabs>
        <w:numPr>
          <w:ilvl w:val="0"/>
          <w:numId w:val="456"/>
        </w:numPr>
        <w:rPr>
          <w:rFonts w:ascii="Arial" w:cs="Arial" w:eastAsia="Arial" w:hAnsi="Arial"/>
          <w:sz w:val="17"/>
          <w:szCs w:val="17"/>
          <w:color w:val="auto"/>
        </w:rPr>
      </w:pPr>
      <w:r>
        <w:rPr>
          <w:rFonts w:ascii="Arial" w:cs="Arial" w:eastAsia="Arial" w:hAnsi="Arial"/>
          <w:sz w:val="17"/>
          <w:szCs w:val="17"/>
          <w:color w:val="auto"/>
        </w:rPr>
        <w:t>Subject to Section 7.12(ii), the holders (the “</w:t>
      </w:r>
      <w:r>
        <w:rPr>
          <w:rFonts w:ascii="Arial" w:cs="Arial" w:eastAsia="Arial" w:hAnsi="Arial"/>
          <w:sz w:val="17"/>
          <w:szCs w:val="17"/>
          <w:u w:val="single" w:color="auto"/>
          <w:color w:val="auto"/>
        </w:rPr>
        <w:t>Lock-up Holders</w:t>
      </w:r>
      <w:r>
        <w:rPr>
          <w:rFonts w:ascii="Arial" w:cs="Arial" w:eastAsia="Arial" w:hAnsi="Arial"/>
          <w:sz w:val="17"/>
          <w:szCs w:val="17"/>
          <w:color w:val="auto"/>
        </w:rPr>
        <w:t>”) of common stock of the Corporation issued (a) as consideration pursuant to the merger of Tailwind Merger Sub I, Inc., a Delaware corporation (“</w:t>
      </w:r>
      <w:r>
        <w:rPr>
          <w:rFonts w:ascii="Arial" w:cs="Arial" w:eastAsia="Arial" w:hAnsi="Arial"/>
          <w:sz w:val="17"/>
          <w:szCs w:val="17"/>
          <w:u w:val="single" w:color="auto"/>
          <w:color w:val="auto"/>
        </w:rPr>
        <w:t>First Merger Sub</w:t>
      </w:r>
      <w:r>
        <w:rPr>
          <w:rFonts w:ascii="Arial" w:cs="Arial" w:eastAsia="Arial" w:hAnsi="Arial"/>
          <w:sz w:val="17"/>
          <w:szCs w:val="17"/>
          <w:color w:val="auto"/>
        </w:rPr>
        <w:t>”), with and into Group Internet Platform, Inc. (d/b/a Talkspace), a Delaware corporation (“</w:t>
      </w:r>
      <w:r>
        <w:rPr>
          <w:rFonts w:ascii="Arial" w:cs="Arial" w:eastAsia="Arial" w:hAnsi="Arial"/>
          <w:sz w:val="17"/>
          <w:szCs w:val="17"/>
          <w:u w:val="single" w:color="auto"/>
          <w:color w:val="auto"/>
        </w:rPr>
        <w:t>Talkspace</w:t>
      </w:r>
      <w:r>
        <w:rPr>
          <w:rFonts w:ascii="Arial" w:cs="Arial" w:eastAsia="Arial" w:hAnsi="Arial"/>
          <w:sz w:val="17"/>
          <w:szCs w:val="17"/>
          <w:color w:val="auto"/>
        </w:rPr>
        <w:t>”), with Talkspace surviving as a wholly owned subsidiary of Hudson Executive Investment Corp., a Delaware corporation (the “</w:t>
      </w:r>
      <w:r>
        <w:rPr>
          <w:rFonts w:ascii="Arial" w:cs="Arial" w:eastAsia="Arial" w:hAnsi="Arial"/>
          <w:sz w:val="17"/>
          <w:szCs w:val="17"/>
          <w:u w:val="single" w:color="auto"/>
          <w:color w:val="auto"/>
        </w:rPr>
        <w:t>First Merger</w:t>
      </w:r>
      <w:r>
        <w:rPr>
          <w:rFonts w:ascii="Arial" w:cs="Arial" w:eastAsia="Arial" w:hAnsi="Arial"/>
          <w:sz w:val="17"/>
          <w:szCs w:val="17"/>
          <w:color w:val="auto"/>
        </w:rPr>
        <w:t>”), and immediately thereafter and as part of the same overall transaction as the First Merger, the merger of Talkspace with and into Tailwind Merger Sub II, LLC, a Delaware limited liability company (“</w:t>
      </w:r>
      <w:r>
        <w:rPr>
          <w:rFonts w:ascii="Arial" w:cs="Arial" w:eastAsia="Arial" w:hAnsi="Arial"/>
          <w:sz w:val="17"/>
          <w:szCs w:val="17"/>
          <w:u w:val="single" w:color="auto"/>
          <w:color w:val="auto"/>
        </w:rPr>
        <w:t>Second Merger Sub</w:t>
      </w:r>
      <w:r>
        <w:rPr>
          <w:rFonts w:ascii="Arial" w:cs="Arial" w:eastAsia="Arial" w:hAnsi="Arial"/>
          <w:sz w:val="17"/>
          <w:szCs w:val="17"/>
          <w:color w:val="auto"/>
        </w:rPr>
        <w:t>”), with Second Merger Sub surviving as a wholly owned subsidiary of Acquiror (such merger, together with the First Merger, the “</w:t>
      </w:r>
      <w:r>
        <w:rPr>
          <w:rFonts w:ascii="Arial" w:cs="Arial" w:eastAsia="Arial" w:hAnsi="Arial"/>
          <w:sz w:val="17"/>
          <w:szCs w:val="17"/>
          <w:u w:val="single" w:color="auto"/>
          <w:color w:val="auto"/>
        </w:rPr>
        <w:t>Talkspace Transaction</w:t>
      </w:r>
      <w:r>
        <w:rPr>
          <w:rFonts w:ascii="Arial" w:cs="Arial" w:eastAsia="Arial" w:hAnsi="Arial"/>
          <w:sz w:val="17"/>
          <w:szCs w:val="17"/>
          <w:color w:val="auto"/>
        </w:rPr>
        <w:t>”) or (b) to directors, officers and employees of the Corporation upon the settlement or exercise of restricted stock units, stock options or other equity awards outstanding as of immediately following the closing of the Talkspace Transaction in respect of awards of Talkspace outstanding immediately prior to the closing of the Talkspace Transaction (excluding, for the avoidance of doubt, the Acquiror Warrants (as defined in the Merger Agreement, dated as of January 12, 2021, by and among the Corporation, First Merger Sub, Second Merger Sub and Talkspace (as amended, restated, amended and restated, supplemented or otherwise modified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(such shares referred to in Section 7.12(i)(b), the “</w:t>
      </w:r>
      <w:r>
        <w:rPr>
          <w:rFonts w:ascii="Arial" w:cs="Arial" w:eastAsia="Arial" w:hAnsi="Arial"/>
          <w:sz w:val="17"/>
          <w:szCs w:val="17"/>
          <w:u w:val="single" w:color="auto"/>
          <w:color w:val="auto"/>
        </w:rPr>
        <w:t>Talkspace Equity Award Shares</w:t>
      </w:r>
      <w:r>
        <w:rPr>
          <w:rFonts w:ascii="Arial" w:cs="Arial" w:eastAsia="Arial" w:hAnsi="Arial"/>
          <w:sz w:val="17"/>
          <w:szCs w:val="17"/>
          <w:color w:val="auto"/>
        </w:rPr>
        <w:t>”), may not Transfer any Lock-up Shares until the end of the Lock-up Period (the “</w:t>
      </w:r>
      <w:r>
        <w:rPr>
          <w:rFonts w:ascii="Arial" w:cs="Arial" w:eastAsia="Arial" w:hAnsi="Arial"/>
          <w:sz w:val="17"/>
          <w:szCs w:val="17"/>
          <w:u w:val="single" w:color="auto"/>
          <w:color w:val="auto"/>
        </w:rPr>
        <w:t>Lock-up</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firstLine="987"/>
        <w:spacing w:after="0" w:line="293" w:lineRule="auto"/>
        <w:tabs>
          <w:tab w:leader="none" w:pos="137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Notwithstanding the provisions set forth in Section 7.12(i), the Lock-up Holders or their respective Permitted Transferees may Transfer the Lock-up Shares during the Lock-up Period (a) to (i) the Corporation’s officers or directors, (ii) any affiliates or family members of the Corporation’s officers or directors, or (iii)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120"/>
          </w:cols>
          <w:pgMar w:left="320" w:top="459" w:right="45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virtue of laws of descent and distribution upon death of the individual; (d) in the case of an individual, pursuant to a qualified domestic relations order;</w:t>
      </w:r>
    </w:p>
    <w:p>
      <w:pPr>
        <w:spacing w:after="0" w:line="46" w:lineRule="exact"/>
        <w:rPr>
          <w:sz w:val="20"/>
          <w:szCs w:val="20"/>
          <w:color w:val="auto"/>
        </w:rPr>
      </w:pPr>
    </w:p>
    <w:p>
      <w:pPr>
        <w:ind w:left="120" w:hanging="4"/>
        <w:spacing w:after="0" w:line="253" w:lineRule="auto"/>
        <w:tabs>
          <w:tab w:leader="none" w:pos="36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connection with any bona fide mortgage, encumbrance or pledge to a financial institution in connection with any bona fide loan or debt transaction or enforcement thereunder, including foreclosure thereof; (f) to the Corporation; or (g) in connection with a liquidation, merger, stock exchange, reorganization, tender offer approved by the Board or a duly authorized committee thereof or other similar transaction which results in all of the Corporation’s stockholders having the right to exchange their shares of common stock for cash, securities or other property subsequent to the closing date of the Talkspace Transaction.</w:t>
      </w:r>
    </w:p>
    <w:p>
      <w:pPr>
        <w:spacing w:after="0" w:line="190" w:lineRule="exact"/>
        <w:rPr>
          <w:rFonts w:ascii="Arial" w:cs="Arial" w:eastAsia="Arial" w:hAnsi="Arial"/>
          <w:sz w:val="18"/>
          <w:szCs w:val="18"/>
          <w:color w:val="auto"/>
        </w:rPr>
      </w:pPr>
    </w:p>
    <w:p>
      <w:pPr>
        <w:ind w:left="120" w:firstLine="987"/>
        <w:spacing w:after="0" w:line="277" w:lineRule="auto"/>
        <w:tabs>
          <w:tab w:leader="none" w:pos="142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Notwithstanding the other provisions set forth in this Section 7.12, the Board may, in its sole discretion, determine to waive, amend, or repeal the Lock-up obligations set forth herein.</w:t>
      </w:r>
    </w:p>
    <w:p>
      <w:pPr>
        <w:spacing w:after="0" w:line="170" w:lineRule="exact"/>
        <w:rPr>
          <w:rFonts w:ascii="Arial" w:cs="Arial" w:eastAsia="Arial" w:hAnsi="Arial"/>
          <w:sz w:val="18"/>
          <w:szCs w:val="18"/>
          <w:color w:val="auto"/>
        </w:rPr>
      </w:pPr>
    </w:p>
    <w:p>
      <w:pPr>
        <w:ind w:left="1420" w:hanging="313"/>
        <w:spacing w:after="0"/>
        <w:tabs>
          <w:tab w:leader="none" w:pos="14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For purposes of this Section 7.12:</w:t>
      </w:r>
    </w:p>
    <w:p>
      <w:pPr>
        <w:spacing w:after="0" w:line="117" w:lineRule="exact"/>
        <w:rPr>
          <w:rFonts w:ascii="Arial" w:cs="Arial" w:eastAsia="Arial" w:hAnsi="Arial"/>
          <w:sz w:val="18"/>
          <w:szCs w:val="18"/>
          <w:color w:val="auto"/>
        </w:rPr>
      </w:pPr>
    </w:p>
    <w:p>
      <w:pPr>
        <w:ind w:left="1100" w:right="220" w:firstLine="408"/>
        <w:spacing w:after="0" w:line="277" w:lineRule="auto"/>
        <w:tabs>
          <w:tab w:leader="none" w:pos="1745" w:val="left"/>
        </w:tabs>
        <w:numPr>
          <w:ilvl w:val="2"/>
          <w:numId w:val="4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Lock-up Period</w:t>
      </w:r>
      <w:r>
        <w:rPr>
          <w:rFonts w:ascii="Arial" w:cs="Arial" w:eastAsia="Arial" w:hAnsi="Arial"/>
          <w:sz w:val="18"/>
          <w:szCs w:val="18"/>
          <w:color w:val="auto"/>
        </w:rPr>
        <w:t>” means the period beginning on the closing date of the Talkspace Transaction and ending on the date that is 180 days after the closing date of the Talkspace Transaction;</w:t>
      </w:r>
    </w:p>
    <w:p>
      <w:pPr>
        <w:spacing w:after="0" w:line="62" w:lineRule="exact"/>
        <w:rPr>
          <w:rFonts w:ascii="Arial" w:cs="Arial" w:eastAsia="Arial" w:hAnsi="Arial"/>
          <w:sz w:val="18"/>
          <w:szCs w:val="18"/>
          <w:color w:val="auto"/>
        </w:rPr>
      </w:pPr>
    </w:p>
    <w:p>
      <w:pPr>
        <w:ind w:left="1100" w:right="40" w:firstLine="408"/>
        <w:spacing w:after="0" w:line="296" w:lineRule="auto"/>
        <w:tabs>
          <w:tab w:leader="none" w:pos="1756" w:val="left"/>
        </w:tabs>
        <w:numPr>
          <w:ilvl w:val="2"/>
          <w:numId w:val="45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shares of common stock held by the Lock-up Holders immediately following the closing of the Talkspace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Talkspace Transaction) and the Talkspace Equity Award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for clarity, shares of common stock issued in connection with the PIPE Investment (as defined in the Merger Agreement) shall not constitute Lock-up Shares;</w:t>
      </w:r>
    </w:p>
    <w:p>
      <w:pPr>
        <w:spacing w:after="0" w:line="53" w:lineRule="exact"/>
        <w:rPr>
          <w:rFonts w:ascii="Arial" w:cs="Arial" w:eastAsia="Arial" w:hAnsi="Arial"/>
          <w:sz w:val="16"/>
          <w:szCs w:val="16"/>
          <w:color w:val="auto"/>
        </w:rPr>
      </w:pPr>
    </w:p>
    <w:p>
      <w:pPr>
        <w:ind w:left="1760" w:hanging="252"/>
        <w:spacing w:after="0"/>
        <w:tabs>
          <w:tab w:leader="none" w:pos="1760" w:val="left"/>
        </w:tabs>
        <w:numPr>
          <w:ilvl w:val="2"/>
          <w:numId w:val="45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means, prior to the expiration of the Lock-up Period, any person or entity to whom such</w:t>
      </w:r>
    </w:p>
    <w:p>
      <w:pPr>
        <w:spacing w:after="0" w:line="35" w:lineRule="exact"/>
        <w:rPr>
          <w:sz w:val="20"/>
          <w:szCs w:val="20"/>
          <w:color w:val="auto"/>
        </w:rPr>
      </w:pPr>
    </w:p>
    <w:p>
      <w:pPr>
        <w:ind w:left="1100" w:right="920"/>
        <w:spacing w:after="0" w:line="260" w:lineRule="auto"/>
        <w:rPr>
          <w:sz w:val="20"/>
          <w:szCs w:val="20"/>
          <w:color w:val="auto"/>
        </w:rPr>
      </w:pPr>
      <w:r>
        <w:rPr>
          <w:rFonts w:ascii="Arial" w:cs="Arial" w:eastAsia="Arial" w:hAnsi="Arial"/>
          <w:sz w:val="18"/>
          <w:szCs w:val="18"/>
          <w:color w:val="auto"/>
        </w:rPr>
        <w:t>Lock-up Holder is permitted to transfer such shares of common stock prior to the expiration of the Lock-up Period pursuant to Section 7.12(ii); and</w:t>
      </w:r>
    </w:p>
    <w:p>
      <w:pPr>
        <w:spacing w:after="0" w:line="77" w:lineRule="exact"/>
        <w:rPr>
          <w:sz w:val="20"/>
          <w:szCs w:val="20"/>
          <w:color w:val="auto"/>
        </w:rPr>
      </w:pPr>
    </w:p>
    <w:p>
      <w:pPr>
        <w:ind w:left="1100" w:right="80" w:firstLine="408"/>
        <w:spacing w:after="0" w:line="293" w:lineRule="auto"/>
        <w:tabs>
          <w:tab w:leader="none" w:pos="175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Transfer</w:t>
      </w:r>
      <w:r>
        <w:rPr>
          <w:rFonts w:ascii="Arial" w:cs="Arial" w:eastAsia="Arial" w:hAnsi="Arial"/>
          <w:sz w:val="16"/>
          <w:szCs w:val="16"/>
          <w:color w:val="auto"/>
        </w:rPr>
        <w:t>” means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left="120" w:right="220" w:firstLine="987"/>
        <w:spacing w:after="0" w:line="277" w:lineRule="auto"/>
        <w:tabs>
          <w:tab w:leader="none" w:pos="132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 and</w:t>
      </w:r>
    </w:p>
    <w:p>
      <w:pPr>
        <w:spacing w:after="0" w:line="170" w:lineRule="exact"/>
        <w:rPr>
          <w:rFonts w:ascii="Arial" w:cs="Arial" w:eastAsia="Arial" w:hAnsi="Arial"/>
          <w:sz w:val="18"/>
          <w:szCs w:val="18"/>
          <w:color w:val="auto"/>
        </w:rPr>
      </w:pPr>
    </w:p>
    <w:p>
      <w:pPr>
        <w:ind w:left="120" w:right="20" w:firstLine="987"/>
        <w:spacing w:after="0" w:line="277" w:lineRule="auto"/>
        <w:tabs>
          <w:tab w:leader="none" w:pos="137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22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120"/>
          </w:cols>
          <w:pgMar w:left="320" w:top="459" w:right="45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 - Notice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Delivery of Notice; Notice by Electronic Transmission</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6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31" w:lineRule="exact"/>
        <w:rPr>
          <w:sz w:val="20"/>
          <w:szCs w:val="20"/>
          <w:color w:val="auto"/>
        </w:rPr>
      </w:pPr>
    </w:p>
    <w:p>
      <w:pPr>
        <w:ind w:left="2520" w:right="520" w:hanging="649"/>
        <w:spacing w:after="0" w:line="277" w:lineRule="auto"/>
        <w:tabs>
          <w:tab w:leader="none" w:pos="25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75" w:lineRule="exact"/>
        <w:rPr>
          <w:rFonts w:ascii="Arial" w:cs="Arial" w:eastAsia="Arial" w:hAnsi="Arial"/>
          <w:sz w:val="18"/>
          <w:szCs w:val="18"/>
          <w:color w:val="auto"/>
        </w:rPr>
      </w:pPr>
    </w:p>
    <w:p>
      <w:pPr>
        <w:ind w:left="2520" w:right="80" w:hanging="649"/>
        <w:spacing w:after="0" w:line="277" w:lineRule="auto"/>
        <w:tabs>
          <w:tab w:leader="none" w:pos="25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75" w:lineRule="exact"/>
        <w:rPr>
          <w:rFonts w:ascii="Arial" w:cs="Arial" w:eastAsia="Arial" w:hAnsi="Arial"/>
          <w:sz w:val="18"/>
          <w:szCs w:val="18"/>
          <w:color w:val="auto"/>
        </w:rPr>
      </w:pPr>
    </w:p>
    <w:p>
      <w:pPr>
        <w:ind w:left="2520" w:hanging="649"/>
        <w:spacing w:after="0"/>
        <w:tabs>
          <w:tab w:leader="none" w:pos="25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Notwithstanding the foregoing, a notice may not be given by an electronic transmission from and after the time that (1) the Corporation is unable to deliver by such electronic transmission two consecutive notices given by the Corporation and (2) such inability becomes known to the Secretary or an Assistant Secretary of the Corporation or to the transfer agent, or other person responsible for the giving of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inadvertent failure to discover such inability shall not invalidate any meeting or other action.</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120"/>
          </w:cols>
          <w:pgMar w:left="320" w:top="459" w:right="45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 - Indemnification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Power to Indemnify in Actions, Suits or Proceedings other than Those by or in the Right of the Corporation</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Subject to Section 9.3,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Power to Indemnify in Actions, Suits or Proceedings by or in the Right of the Corporation</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Subject to Section 9.3,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Authorization of Indemnification</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9.1 or Section 9.2,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100"/>
          </w:cols>
          <w:pgMar w:left="320" w:top="459" w:right="47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Good Faith Defined</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purposes of any determination under Section 9.3,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9.4 shall not be deemed to be exclusive or to limit in any way the circumstances in which a person may be deemed to have met the applicable standard of conduct set forth in Section 9.1 or 9.2, as the case may be.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Notwithstanding any contrary determination in the specific case under Section 9.3,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9.1 or 9.2. The basis of such indemnification by a court shall be a determination by such court that indemnification of the director or officer is proper in the circumstances because such person has met the applicable standard of conduct set forth in Section 9.1 or Section 9.2, as the case may be. Neither a contrary determination in the specific case under Section 9.3 nor the absence of any determination thereunder shall be a defense to such application or create a presumption that the director or officer seeking indemnification has not met any applicable standard of conduct. Notice of any application for indemnification pursuant to this Article IX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former directors and officers or other employees and agents may be so paid upon such terms and conditions, if any, as the Corporation deems appropriate.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or 9.2 shall be made to the fullest extent permitted by law. The provisions of this Article IX shall not be deemed to preclude the indemnification of any person who is not specified in Section 9.1 or Section 9.2 but whom the Corporation has the power or obligation to indemnify under the provisions of the DGCL, or otherwise.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120"/>
          </w:cols>
          <w:pgMar w:left="320" w:top="459" w:right="45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indemnification and advancement of expenses provided by, or granted pursuant to, this Article IX shall, unless otherwise provided when authorized or ratified, continue as to a person who has ceased to be a director or officer and shall inure to the benefit of the heirs, executors and administrators of such a person.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w:t>
      </w:r>
    </w:p>
    <w:p>
      <w:pPr>
        <w:spacing w:after="0" w:line="225"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Notwithstanding anything contained in this Article IX to the contrary, except for proceedings to enforce rights to indemnification (which shall be governed by Section 9.5),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the Corporation.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w:t>
      </w:r>
    </w:p>
    <w:p>
      <w:pPr>
        <w:spacing w:after="0" w:line="225"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The Corporation may, to the extent authorized from time to time by the Board, provide rights to indemnification and to the advancement of expenses to employees and agents of the Corporation similar to those conferred in this Article IX to directors and officers of the Corporation.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Primacy of Indemnification</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Notwithstanding that a director, officer, employee or agent of the Corporation (collectively, the “</w:t>
      </w:r>
      <w:r>
        <w:rPr>
          <w:rFonts w:ascii="Arial" w:cs="Arial" w:eastAsia="Arial" w:hAnsi="Arial"/>
          <w:sz w:val="18"/>
          <w:szCs w:val="18"/>
          <w:u w:val="single" w:color="auto"/>
          <w:color w:val="auto"/>
        </w:rPr>
        <w:t>Covered Persons</w:t>
      </w:r>
      <w:r>
        <w:rPr>
          <w:rFonts w:ascii="Arial" w:cs="Arial" w:eastAsia="Arial" w:hAnsi="Arial"/>
          <w:sz w:val="18"/>
          <w:szCs w:val="18"/>
          <w:color w:val="auto"/>
        </w:rPr>
        <w:t>”) may have certain rights to indemnification, advancement of expenses and/or insurance provided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100"/>
          </w:cols>
          <w:pgMar w:left="320" w:top="459" w:right="47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other persons (collectively, the “</w:t>
      </w:r>
      <w:r>
        <w:rPr>
          <w:rFonts w:ascii="Arial" w:cs="Arial" w:eastAsia="Arial" w:hAnsi="Arial"/>
          <w:sz w:val="16"/>
          <w:szCs w:val="16"/>
          <w:u w:val="single" w:color="auto"/>
          <w:color w:val="auto"/>
        </w:rPr>
        <w:t>Other Indemnitors</w:t>
      </w:r>
      <w:r>
        <w:rPr>
          <w:rFonts w:ascii="Arial" w:cs="Arial" w:eastAsia="Arial" w:hAnsi="Arial"/>
          <w:sz w:val="16"/>
          <w:szCs w:val="16"/>
          <w:color w:val="auto"/>
        </w:rPr>
        <w:t>”), with respect to the rights to indemnification, advancement of expenses and/or insurance set forth herein, the Corporation: (i) shall be the indemnitor of first resort (i.e., its obligations to Covered Persons are primary and any obligation of the Other Indemnitors to advance expenses or to provide indemnification for the same expenses or liabilities incurred by Covered Persons are secondary); and</w:t>
      </w:r>
    </w:p>
    <w:p>
      <w:pPr>
        <w:spacing w:after="0" w:line="2" w:lineRule="exact"/>
        <w:rPr>
          <w:sz w:val="20"/>
          <w:szCs w:val="20"/>
          <w:color w:val="auto"/>
        </w:rPr>
      </w:pPr>
    </w:p>
    <w:p>
      <w:pPr>
        <w:ind w:left="120" w:hanging="4"/>
        <w:spacing w:after="0" w:line="290" w:lineRule="auto"/>
        <w:tabs>
          <w:tab w:leader="none" w:pos="385" w:val="left"/>
        </w:tabs>
        <w:numPr>
          <w:ilvl w:val="0"/>
          <w:numId w:val="461"/>
        </w:numPr>
        <w:rPr>
          <w:rFonts w:ascii="Arial" w:cs="Arial" w:eastAsia="Arial" w:hAnsi="Arial"/>
          <w:sz w:val="16"/>
          <w:szCs w:val="16"/>
          <w:color w:val="auto"/>
        </w:rPr>
      </w:pPr>
      <w:r>
        <w:rPr>
          <w:rFonts w:ascii="Arial" w:cs="Arial" w:eastAsia="Arial" w:hAnsi="Arial"/>
          <w:sz w:val="16"/>
          <w:szCs w:val="16"/>
          <w:color w:val="auto"/>
        </w:rPr>
        <w:t>shall be required to advance the full amount of expenses incurred by Covered Persons and shall be liable for the full amount of all liabilities, without regard to any rights Covered Persons may have against any of the Other Indemnitors. No advancement or payment by the Other Indemnitors on behalf of Covered Persons with respect to any claim for which Covered Persons have sought indemnification from the Corporation shall affect the immediately preceding sentence, and the Other Indemnitors shall have a right of contribution and/or be subrogated to the extent of such advancement or payment to all of the rights of recovery of Covered Persons against the Corporation. Notwithstanding anything to the contrary herein, the obligations of the Corporation under this Section 9.13 shall only apply to Covered Persons in their capacity as Covered Persons.</w:t>
      </w:r>
    </w:p>
    <w:p>
      <w:pPr>
        <w:spacing w:after="0" w:line="16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Amendments</w:t>
      </w:r>
      <w:r>
        <w:rPr>
          <w:rFonts w:ascii="Arial" w:cs="Arial" w:eastAsia="Arial" w:hAnsi="Arial"/>
          <w:sz w:val="16"/>
          <w:szCs w:val="16"/>
          <w:color w:val="auto"/>
        </w:rPr>
        <w:t>. Any repeal or amendment of this Article IX by the Board or the stockholders of the Corporation or by changes in applicable law, or the adoption of any other provision of these bylaws inconsistent with this Article IX,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The Board is expressly empowered to adopt, amend or repeal the bylaws of the Corporation. The stockholders also shall have power to adopt, amend or repeal the bylaws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 -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mail</w:t>
      </w:r>
      <w:r>
        <w:rPr>
          <w:rFonts w:ascii="Arial" w:cs="Arial" w:eastAsia="Arial" w:hAnsi="Arial"/>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mail address</w:t>
      </w:r>
      <w:r>
        <w:rPr>
          <w:rFonts w:ascii="Arial" w:cs="Arial" w:eastAsia="Arial" w:hAnsi="Arial"/>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100"/>
          </w:cols>
          <w:pgMar w:left="320" w:top="459" w:right="47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120"/>
          </w:cols>
          <w:pgMar w:left="320" w:top="459" w:right="45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07"/>
        </w:trPr>
        <w:tc>
          <w:tcPr>
            <w:tcW w:w="9140" w:type="dxa"/>
            <w:vAlign w:val="bottom"/>
            <w:gridSpan w:val="2"/>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780" w:type="dxa"/>
            <w:vAlign w:val="bottom"/>
          </w:tcPr>
          <w:p>
            <w:pPr>
              <w:spacing w:after="0"/>
              <w:rPr>
                <w:sz w:val="24"/>
                <w:szCs w:val="24"/>
                <w:color w:val="auto"/>
              </w:rPr>
            </w:pPr>
          </w:p>
        </w:tc>
        <w:tc>
          <w:tcPr>
            <w:tcW w:w="2000" w:type="dxa"/>
            <w:vAlign w:val="bottom"/>
          </w:tcPr>
          <w:p>
            <w:pPr>
              <w:ind w:left="1320"/>
              <w:spacing w:after="0"/>
              <w:rPr>
                <w:sz w:val="20"/>
                <w:szCs w:val="20"/>
                <w:color w:val="auto"/>
              </w:rPr>
            </w:pPr>
            <w:r>
              <w:rPr>
                <w:rFonts w:ascii="Arial" w:cs="Arial" w:eastAsia="Arial" w:hAnsi="Arial"/>
                <w:sz w:val="18"/>
                <w:szCs w:val="18"/>
                <w:b w:val="1"/>
                <w:bCs w:val="1"/>
                <w:color w:val="auto"/>
                <w:w w:val="90"/>
              </w:rPr>
              <w:t>Annex D</w:t>
            </w:r>
          </w:p>
        </w:tc>
      </w:tr>
      <w:tr>
        <w:trPr>
          <w:trHeight w:val="414"/>
        </w:trPr>
        <w:tc>
          <w:tcPr>
            <w:tcW w:w="1360" w:type="dxa"/>
            <w:vAlign w:val="bottom"/>
          </w:tcPr>
          <w:p>
            <w:pPr>
              <w:spacing w:after="0"/>
              <w:rPr>
                <w:sz w:val="24"/>
                <w:szCs w:val="24"/>
                <w:color w:val="auto"/>
              </w:rPr>
            </w:pPr>
          </w:p>
        </w:tc>
        <w:tc>
          <w:tcPr>
            <w:tcW w:w="778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FORM OF AMENDED AND RESTATED</w:t>
            </w:r>
          </w:p>
        </w:tc>
        <w:tc>
          <w:tcPr>
            <w:tcW w:w="200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780" w:type="dxa"/>
            <w:vAlign w:val="bottom"/>
          </w:tcPr>
          <w:p>
            <w:pPr>
              <w:jc w:val="center"/>
              <w:ind w:left="650"/>
              <w:spacing w:after="0"/>
              <w:rPr>
                <w:sz w:val="20"/>
                <w:szCs w:val="20"/>
                <w:color w:val="auto"/>
              </w:rPr>
            </w:pPr>
            <w:r>
              <w:rPr>
                <w:rFonts w:ascii="Arial" w:cs="Arial" w:eastAsia="Arial" w:hAnsi="Arial"/>
                <w:sz w:val="18"/>
                <w:szCs w:val="18"/>
                <w:b w:val="1"/>
                <w:bCs w:val="1"/>
                <w:color w:val="auto"/>
              </w:rPr>
              <w:t>REGISTRATION RIGHTS AGREEMENT</w:t>
            </w:r>
          </w:p>
        </w:tc>
        <w:tc>
          <w:tcPr>
            <w:tcW w:w="2000" w:type="dxa"/>
            <w:vAlign w:val="bottom"/>
          </w:tcPr>
          <w:p>
            <w:pPr>
              <w:spacing w:after="0"/>
              <w:rPr>
                <w:sz w:val="20"/>
                <w:szCs w:val="20"/>
                <w:color w:val="auto"/>
              </w:rPr>
            </w:pPr>
          </w:p>
        </w:tc>
      </w:tr>
      <w:tr>
        <w:trPr>
          <w:trHeight w:val="432"/>
        </w:trPr>
        <w:tc>
          <w:tcPr>
            <w:tcW w:w="9140" w:type="dxa"/>
            <w:vAlign w:val="bottom"/>
            <w:gridSpan w:val="2"/>
          </w:tcPr>
          <w:p>
            <w:pPr>
              <w:ind w:left="560"/>
              <w:spacing w:after="0"/>
              <w:rPr>
                <w:sz w:val="20"/>
                <w:szCs w:val="20"/>
                <w:color w:val="auto"/>
              </w:rPr>
            </w:pPr>
            <w:r>
              <w:rPr>
                <w:rFonts w:ascii="Arial" w:cs="Arial" w:eastAsia="Arial" w:hAnsi="Arial"/>
                <w:sz w:val="18"/>
                <w:szCs w:val="18"/>
                <w:color w:val="auto"/>
                <w:w w:val="98"/>
              </w:rPr>
              <w:t>THIS AMENDED AND RESTATED REGISTRATION RIGHTS AGREEMENT (this “</w:t>
            </w:r>
            <w:r>
              <w:rPr>
                <w:rFonts w:ascii="Arial" w:cs="Arial" w:eastAsia="Arial" w:hAnsi="Arial"/>
                <w:sz w:val="18"/>
                <w:szCs w:val="18"/>
                <w:b w:val="1"/>
                <w:bCs w:val="1"/>
                <w:i w:val="1"/>
                <w:iCs w:val="1"/>
                <w:color w:val="auto"/>
                <w:w w:val="98"/>
              </w:rPr>
              <w:t>Agreement</w:t>
            </w:r>
            <w:r>
              <w:rPr>
                <w:rFonts w:ascii="Arial" w:cs="Arial" w:eastAsia="Arial" w:hAnsi="Arial"/>
                <w:sz w:val="18"/>
                <w:szCs w:val="18"/>
                <w:color w:val="auto"/>
                <w:w w:val="98"/>
              </w:rPr>
              <w:t>”), dated as of</w:t>
            </w:r>
          </w:p>
        </w:tc>
        <w:tc>
          <w:tcPr>
            <w:tcW w:w="2000" w:type="dxa"/>
            <w:vAlign w:val="bottom"/>
          </w:tcPr>
          <w:p>
            <w:pPr>
              <w:ind w:left="380"/>
              <w:spacing w:after="0"/>
              <w:rPr>
                <w:sz w:val="20"/>
                <w:szCs w:val="20"/>
                <w:color w:val="auto"/>
              </w:rPr>
            </w:pPr>
            <w:r>
              <w:rPr>
                <w:rFonts w:ascii="Arial" w:cs="Arial" w:eastAsia="Arial" w:hAnsi="Arial"/>
                <w:sz w:val="18"/>
                <w:szCs w:val="18"/>
                <w:color w:val="auto"/>
              </w:rPr>
              <w:t>, 2021, is made and</w:t>
            </w:r>
          </w:p>
        </w:tc>
      </w:tr>
    </w:tbl>
    <w:p>
      <w:pPr>
        <w:ind w:left="12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entered into by and among Talkspace,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(formerly known as Hudson Executive Investment Corp., a Delaware corporation), HEC Sponsor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certain former stockholders of Groop Internet Platform, Inc. (d/b/a Talkspace), a Delaware corporation (“</w:t>
      </w:r>
      <w:r>
        <w:rPr>
          <w:rFonts w:ascii="Arial" w:cs="Arial" w:eastAsia="Arial" w:hAnsi="Arial"/>
          <w:sz w:val="18"/>
          <w:szCs w:val="18"/>
          <w:b w:val="1"/>
          <w:bCs w:val="1"/>
          <w:i w:val="1"/>
          <w:iCs w:val="1"/>
          <w:color w:val="auto"/>
        </w:rPr>
        <w:t>Talkspace</w:t>
      </w:r>
      <w:r>
        <w:rPr>
          <w:rFonts w:ascii="Arial" w:cs="Arial" w:eastAsia="Arial" w:hAnsi="Arial"/>
          <w:sz w:val="18"/>
          <w:szCs w:val="18"/>
          <w:color w:val="auto"/>
        </w:rPr>
        <w:t>”) identified on the signature pages hereto (such stockholders, the “</w:t>
      </w:r>
      <w:r>
        <w:rPr>
          <w:rFonts w:ascii="Arial" w:cs="Arial" w:eastAsia="Arial" w:hAnsi="Arial"/>
          <w:sz w:val="18"/>
          <w:szCs w:val="18"/>
          <w:b w:val="1"/>
          <w:bCs w:val="1"/>
          <w:i w:val="1"/>
          <w:iCs w:val="1"/>
          <w:color w:val="auto"/>
        </w:rPr>
        <w:t>Talkspace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and, collectively with the Sponsor, the Talkspace Holders, and any person or entity who hereafter becomes a party to this Agreement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this Agreement,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Sponsor are party to that certain Registration Rights Agreement, dated as of June 8, 2020 (the “</w:t>
      </w:r>
      <w:r>
        <w:rPr>
          <w:rFonts w:ascii="Arial" w:cs="Arial" w:eastAsia="Arial" w:hAnsi="Arial"/>
          <w:sz w:val="18"/>
          <w:szCs w:val="18"/>
          <w:b w:val="1"/>
          <w:bCs w:val="1"/>
          <w:i w:val="1"/>
          <w:iCs w:val="1"/>
          <w:color w:val="auto"/>
        </w:rPr>
        <w:t>Original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RRA</w:t>
      </w:r>
      <w:r>
        <w:rPr>
          <w:rFonts w:ascii="Arial" w:cs="Arial" w:eastAsia="Arial" w:hAnsi="Arial"/>
          <w:sz w:val="18"/>
          <w:szCs w:val="18"/>
          <w:color w:val="auto"/>
        </w:rPr>
        <w: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that certain Agreement and Plan of Merger, dated as of January 12, 2021, (as it may be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the Company, TAILWIND MERGER SUB I, INC., a Delaware corporation and a direct wholly owned subsidiary of the Company, and Talkspace, and TAILWIND MERGER SUB II, LLC, a Delaware limited liability company and direct, wholly owned subsidiary of the Company;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pursuant to the Merger Agreement, the Talkspace Holders received shares of common stock, par value $0.0001</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w:t>
      </w:r>
    </w:p>
    <w:p>
      <w:pPr>
        <w:spacing w:after="0" w:line="162" w:lineRule="exact"/>
        <w:rPr>
          <w:sz w:val="20"/>
          <w:szCs w:val="20"/>
          <w:color w:val="auto"/>
        </w:rPr>
      </w:pPr>
    </w:p>
    <w:p>
      <w:pPr>
        <w:jc w:val="both"/>
        <w:ind w:left="120" w:right="4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certain other investors (such other investors, collectively, the “</w:t>
      </w:r>
      <w:r>
        <w:rPr>
          <w:rFonts w:ascii="Arial" w:cs="Arial" w:eastAsia="Arial" w:hAnsi="Arial"/>
          <w:sz w:val="16"/>
          <w:szCs w:val="16"/>
          <w:b w:val="1"/>
          <w:bCs w:val="1"/>
          <w:i w:val="1"/>
          <w:iCs w:val="1"/>
          <w:color w:val="auto"/>
        </w:rPr>
        <w:t>Third Party Investor Stockholders</w:t>
      </w:r>
      <w:r>
        <w:rPr>
          <w:rFonts w:ascii="Arial" w:cs="Arial" w:eastAsia="Arial" w:hAnsi="Arial"/>
          <w:sz w:val="16"/>
          <w:szCs w:val="16"/>
          <w:color w:val="auto"/>
        </w:rPr>
        <w:t>”) purchased an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of 30,000,000 shares of Common Stock (the “</w:t>
      </w:r>
      <w:r>
        <w:rPr>
          <w:rFonts w:ascii="Arial" w:cs="Arial" w:eastAsia="Arial" w:hAnsi="Arial"/>
          <w:sz w:val="16"/>
          <w:szCs w:val="16"/>
          <w:b w:val="1"/>
          <w:bCs w:val="1"/>
          <w:i w:val="1"/>
          <w:iCs w:val="1"/>
          <w:color w:val="auto"/>
        </w:rPr>
        <w:t>Investor Shares</w:t>
      </w:r>
      <w:r>
        <w:rPr>
          <w:rFonts w:ascii="Arial" w:cs="Arial" w:eastAsia="Arial" w:hAnsi="Arial"/>
          <w:sz w:val="16"/>
          <w:szCs w:val="16"/>
          <w:color w:val="auto"/>
        </w:rPr>
        <w:t>”) in a transaction exempt from registration under the Securities Act pursuant to certain Subscription Agreements, each dated as of January 12, 2021, and entered into by and between the Company and each of the Third Party Investor Stockholders, respectively (each, a “</w:t>
      </w:r>
      <w:r>
        <w:rPr>
          <w:rFonts w:ascii="Arial" w:cs="Arial" w:eastAsia="Arial" w:hAnsi="Arial"/>
          <w:sz w:val="16"/>
          <w:szCs w:val="16"/>
          <w:b w:val="1"/>
          <w:bCs w:val="1"/>
          <w:i w:val="1"/>
          <w:iCs w:val="1"/>
          <w:color w:val="auto"/>
        </w:rPr>
        <w:t>Subscription Agreement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Subscription Agreements</w:t>
      </w:r>
      <w:r>
        <w:rPr>
          <w:rFonts w:ascii="Arial" w:cs="Arial" w:eastAsia="Arial" w:hAnsi="Arial"/>
          <w:sz w:val="16"/>
          <w:szCs w:val="16"/>
          <w:color w:val="auto"/>
        </w:rPr>
        <w:t>”);</w:t>
      </w:r>
    </w:p>
    <w:p>
      <w:pPr>
        <w:spacing w:after="0" w:line="151"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HEC Master Fund LP, a Delaware limited partnership (“</w:t>
      </w:r>
      <w:r>
        <w:rPr>
          <w:rFonts w:ascii="Arial" w:cs="Arial" w:eastAsia="Arial" w:hAnsi="Arial"/>
          <w:sz w:val="18"/>
          <w:szCs w:val="18"/>
          <w:b w:val="1"/>
          <w:bCs w:val="1"/>
          <w:i w:val="1"/>
          <w:iCs w:val="1"/>
          <w:color w:val="auto"/>
        </w:rPr>
        <w:t>HEC Master Fund</w:t>
      </w:r>
      <w:r>
        <w:rPr>
          <w:rFonts w:ascii="Arial" w:cs="Arial" w:eastAsia="Arial" w:hAnsi="Arial"/>
          <w:sz w:val="18"/>
          <w:szCs w:val="18"/>
          <w:color w:val="auto"/>
        </w:rPr>
        <w:t>”), purchased an aggregate of [ ● ]</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pursuant to that certain Forward Purchase Agreement, dated as of June 8, 2020, by and between the Company and HEC Master Fund, as amended on January 12, 2021;</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5.5 of the Original RRA, the provisions, covenants and conditions set forth therein may be amended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written consent of the Company and the Holders (as defined in the Original RRA) of at least a majority-in-interest of the Registrable Securities (as defined in the Original RRA) at the time in question, and the Sponsor is the Holder of at least a majority-in-interest of the Registrable Securities as of the date hereof; and</w:t>
      </w:r>
    </w:p>
    <w:p>
      <w:pPr>
        <w:spacing w:after="0" w:line="180"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Sponsor desire to amend and restate the Original RRA in its entirety and enter into this Agreement,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the Company shall grant the Holders certain registration rights with respect to certain securities of the Company, as set forth in this Agreement.</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45" w:right="43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shall, for all purposes of this Agreement, have the respective meanings set forth below:</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Holder Common Stock</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Disclosure</w:t>
      </w:r>
      <w:r>
        <w:rPr>
          <w:rFonts w:ascii="Arial" w:cs="Arial" w:eastAsia="Arial" w:hAnsi="Arial"/>
          <w:sz w:val="18"/>
          <w:szCs w:val="18"/>
          <w:color w:val="auto"/>
        </w:rPr>
        <w:t>” shall mean any public disclosure of material non-public information, which disclosure, in the good faith judgment of the Chief Executive Officer or the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 hereto and includes the Company’s successors by recapitalization, merger, consolidation, spin-off, reorganization or similar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Competing Registration Rights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00"/>
          </w:cols>
          <w:pgMar w:left="320" w:top="459" w:right="47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 Information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 shall have the meaning given in the Preamble hereto, for so long as such person or entity holds any Registrable Securities.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shall mean (a) with respect to the Sponsor and its respective Permitted Transferees, the Lock-up Period as defined in that certain Sponsor Support Agreement, dated as of January 12, 2021, by and among the Company, Talkspace, the Sponsor and the other parties thereto (the “</w:t>
      </w:r>
      <w:r>
        <w:rPr>
          <w:rFonts w:ascii="Arial" w:cs="Arial" w:eastAsia="Arial" w:hAnsi="Arial"/>
          <w:sz w:val="18"/>
          <w:szCs w:val="18"/>
          <w:b w:val="1"/>
          <w:bCs w:val="1"/>
          <w:i w:val="1"/>
          <w:iCs w:val="1"/>
          <w:color w:val="auto"/>
        </w:rPr>
        <w:t>Sponsor Support Agreement</w:t>
      </w:r>
      <w:r>
        <w:rPr>
          <w:rFonts w:ascii="Arial" w:cs="Arial" w:eastAsia="Arial" w:hAnsi="Arial"/>
          <w:sz w:val="18"/>
          <w:szCs w:val="18"/>
          <w:color w:val="auto"/>
        </w:rPr>
        <w:t>”) and (b) with respect to the Talkspace Holders and their respective Permitted Transferees, the Lock-up Period as defined in the Bylaws of the Company.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Takedown Threshold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RRA</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Coordinated Offering</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Talkspace</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Talkspace Holders</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xml:space="preserve">” shall mean (a) with respect to the Sponsor and its respective Permitted Transferees, (i) prior to the expiration of the Lock-up Period, any person or entity to whom such Holder is permitted to transfer such Registrable Securities prior to the expiration of the Lock-up Period pursuant to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of the Sponsor Support Agreement and (ii) after the expiration of the Lock-up Period, any person or entity to whom such Holder is permitted to transfer such Registrable Securities, subject to and in accordance with any applicable agreement between such Holder and/or their respective Permitted Transferees and the Company and any transferee thereafter; (b) with respect to the Talkspace Holders and their respective Permitted Transferees, (i) prior to the expiration of the Lock-up Period, any person or entity to whom such Holder is permitted to transfer such Registrable Securities prior to the expiration of the Lock-up Period pursuant to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of the Bylaws of the Company and (ii) after the expiration of the Lock-up Period, any person or entity to whom such Holder is permitted to transfer such Registrable Securities, subject to and in accordance with any applicable agreement between such Holder and/or their respective Permitted Transferees and the Company and any transferee thereafter; and</w:t>
      </w:r>
    </w:p>
    <w:p>
      <w:pPr>
        <w:spacing w:after="0" w:line="6" w:lineRule="exact"/>
        <w:rPr>
          <w:sz w:val="20"/>
          <w:szCs w:val="20"/>
          <w:color w:val="auto"/>
        </w:rPr>
      </w:pPr>
    </w:p>
    <w:p>
      <w:pPr>
        <w:ind w:left="120" w:right="240" w:hanging="4"/>
        <w:spacing w:after="0" w:line="255" w:lineRule="auto"/>
        <w:tabs>
          <w:tab w:leader="none" w:pos="36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with respect to all other Holders and their respective Permitted Transferees, any person or entity to whom such Holder of Registrable Securities is permitted to transfer such Registrable Securities, subject to and in accordance with any applicable agreement between such Holder and/or their respective Permitted Transferees and the Company and any transferee thereafter.</w:t>
      </w:r>
    </w:p>
    <w:p>
      <w:pPr>
        <w:spacing w:after="0" w:line="190" w:lineRule="exact"/>
        <w:rPr>
          <w:sz w:val="20"/>
          <w:szCs w:val="20"/>
          <w:color w:val="auto"/>
        </w:rPr>
      </w:pPr>
    </w:p>
    <w:p>
      <w:pPr>
        <w:jc w:val="right"/>
        <w:ind w:right="5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Section 2.2.1</w:t>
      </w:r>
      <w:r>
        <w:rPr>
          <w:rFonts w:ascii="Arial" w:cs="Arial" w:eastAsia="Arial" w:hAnsi="Arial"/>
          <w:sz w:val="17"/>
          <w:szCs w:val="17"/>
          <w:color w:val="auto"/>
        </w:rPr>
        <w:t>.</w:t>
      </w:r>
    </w:p>
    <w:p>
      <w:pPr>
        <w:spacing w:after="0" w:line="169"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00"/>
          </w:cols>
          <w:pgMar w:left="320" w:top="459" w:right="47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any outstanding shares of Common Stock or any other equity security (including warrants to purchase shares of Common Stock and shares of Common Stock issued or issuable upon the exercise of any other equity security) of the Company held by a Holder immediately following the Closing (including any securities distributable pursuant to the Merger Agreement); (b) any outstanding shares of Common Stock or any other equity security (including warrants to purchase shares of Common Stock and shares of Common Stock issued or issuable upon the exercise of any other equity security) of the Company acquired by a Holder following the date hereof to the extent that such securities are “restricted securities” (as defined in Rule 144) or are otherwise held by an “affiliate” (as defined in Rule 144) of the Company; (c) any Additional Holder Common Stock;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 (i) such securities shall have been otherwise transferred, (ii)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volume or other restrictions or limitations including as to manner or timing of sale); and (E) such securities have been sold to, or through, a broker, dealer or underwriter in a public distribution or other public securities transaction.</w:t>
      </w:r>
    </w:p>
    <w:p>
      <w:pPr>
        <w:spacing w:after="0" w:line="392"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shall mean the documented, out-of-pocket expenses of a Registration, including, without limitation, the following:</w:t>
      </w:r>
    </w:p>
    <w:p>
      <w:pPr>
        <w:spacing w:after="0" w:line="237" w:lineRule="exact"/>
        <w:rPr>
          <w:sz w:val="20"/>
          <w:szCs w:val="20"/>
          <w:color w:val="auto"/>
        </w:rPr>
      </w:pPr>
    </w:p>
    <w:p>
      <w:pPr>
        <w:ind w:left="120" w:right="260" w:firstLine="436"/>
        <w:spacing w:after="0" w:line="277" w:lineRule="auto"/>
        <w:tabs>
          <w:tab w:leader="none" w:pos="85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national securities exchange on which the Common Stock is then listed;</w:t>
      </w:r>
    </w:p>
    <w:p>
      <w:pPr>
        <w:spacing w:after="0" w:line="170" w:lineRule="exact"/>
        <w:rPr>
          <w:rFonts w:ascii="Arial" w:cs="Arial" w:eastAsia="Arial" w:hAnsi="Arial"/>
          <w:sz w:val="18"/>
          <w:szCs w:val="18"/>
          <w:color w:val="auto"/>
        </w:rPr>
      </w:pPr>
    </w:p>
    <w:p>
      <w:pPr>
        <w:ind w:left="120" w:right="340" w:firstLine="436"/>
        <w:spacing w:after="0" w:line="277" w:lineRule="auto"/>
        <w:tabs>
          <w:tab w:leader="none" w:pos="84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840" w:hanging="284"/>
        <w:spacing w:after="0"/>
        <w:tabs>
          <w:tab w:leader="none" w:pos="8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860" w:hanging="304"/>
        <w:spacing w:after="0"/>
        <w:tabs>
          <w:tab w:leader="none" w:pos="8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120" w:right="140" w:firstLine="436"/>
        <w:spacing w:after="0" w:line="277" w:lineRule="auto"/>
        <w:tabs>
          <w:tab w:leader="none" w:pos="83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in an Underwritten Offering or Other Coordinated Offering, reasonable fees and expenses of one (1) legal counsel selected by the</w:t>
      </w:r>
    </w:p>
    <w:p>
      <w:pPr>
        <w:spacing w:after="0" w:line="35"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majority-in-interest of the Demanding Holders with any fees and expenses in excess of $30,000 in the aggregate for each Registration subject to the approval of the Company (which approval shall not be unreasonably withheld).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040"/>
          </w:cols>
          <w:pgMar w:left="320" w:top="459" w:right="53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w:t>
      </w:r>
      <w:r>
        <w:rPr>
          <w:rFonts w:ascii="Arial" w:cs="Arial" w:eastAsia="Arial" w:hAnsi="Arial"/>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w:t>
      </w:r>
      <w:r>
        <w:rPr>
          <w:rFonts w:ascii="Arial" w:cs="Arial" w:eastAsia="Arial" w:hAnsi="Arial"/>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Takedown</w:t>
      </w:r>
      <w:r>
        <w:rPr>
          <w:rFonts w:ascii="Arial" w:cs="Arial" w:eastAsia="Arial" w:hAnsi="Arial"/>
          <w:sz w:val="18"/>
          <w:szCs w:val="18"/>
          <w:color w:val="auto"/>
        </w:rPr>
        <w:t>” shall mean an Underwritten Shelf Takedown or any proposed transfer or sale using a Registration Statement, including a Piggyback Registration.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Shelf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Withdrawal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REGISTRATIONS AND OFFERINGS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Filing</w:t>
      </w:r>
      <w:r>
        <w:rPr>
          <w:rFonts w:ascii="Arial" w:cs="Arial" w:eastAsia="Arial" w:hAnsi="Arial"/>
          <w:sz w:val="18"/>
          <w:szCs w:val="18"/>
          <w:color w:val="auto"/>
        </w:rPr>
        <w:t>. Within thirty (30) calendar days following the Closing Date, the Company shall submit to or file with the Commission a Registration Statement for a Shelf Registration on Form S-1 (the “</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or a Registration Statement for a Shelf Registration on Form S-3 (the “</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if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40"/>
          </w:cols>
          <w:pgMar w:left="320" w:top="459" w:right="43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the ninetieth (90</w:t>
      </w:r>
      <w:r>
        <w:rPr>
          <w:rFonts w:ascii="Arial" w:cs="Arial" w:eastAsia="Arial" w:hAnsi="Arial"/>
          <w:sz w:val="14"/>
          <w:szCs w:val="14"/>
          <w:color w:val="auto"/>
        </w:rPr>
        <w:t>th</w:t>
      </w:r>
      <w:r>
        <w:rPr>
          <w:rFonts w:ascii="Arial" w:cs="Arial" w:eastAsia="Arial" w:hAnsi="Arial"/>
          <w:sz w:val="17"/>
          <w:szCs w:val="17"/>
          <w:color w:val="auto"/>
        </w:rPr>
        <w:t>) calendar day following the filing date thereof if the Commission notifies the Company that it will “review” the Registration Statement and (b) the tenth (10</w:t>
      </w:r>
      <w:r>
        <w:rPr>
          <w:rFonts w:ascii="Arial" w:cs="Arial" w:eastAsia="Arial" w:hAnsi="Arial"/>
          <w:sz w:val="14"/>
          <w:szCs w:val="14"/>
          <w:color w:val="auto"/>
        </w:rPr>
        <w:t>th</w:t>
      </w:r>
      <w:r>
        <w:rPr>
          <w:rFonts w:ascii="Arial" w:cs="Arial" w:eastAsia="Arial" w:hAnsi="Arial"/>
          <w:sz w:val="17"/>
          <w:szCs w:val="17"/>
          <w:color w:val="auto"/>
        </w:rPr>
        <w:t xml:space="preserve">)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for the avoidance of doubt, be subject to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86"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xml:space="preserve">. If any Shelf ceases to be effective under the Securities Act for any reason at any time while Registrable Securities are still outstanding, the Company shall,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b w:val="1"/>
          <w:bCs w:val="1"/>
          <w:i w:val="1"/>
          <w:iCs w:val="1"/>
          <w:color w:val="auto"/>
        </w:rPr>
        <w:t>Subsequent Shelf Registration Statement</w:t>
      </w:r>
      <w:r>
        <w:rPr>
          <w:rFonts w:ascii="Arial" w:cs="Arial" w:eastAsia="Arial" w:hAnsi="Arial"/>
          <w:sz w:val="16"/>
          <w:szCs w:val="16"/>
          <w:color w:val="auto"/>
        </w:rPr>
        <w:t xml:space="preserve">”)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for the avoidance of doubt, be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76"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Additional Registrable Securities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in the event that any Holder holds Registrable Securities that are not registered for resale on a delayed or continuous basis, the Company, upon written request of the Sponsor or a Talkspace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only be required to cause such Registrable Securities to be so covered twice per calendar year for each of the Sponsor and the Talkspace Holders.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120"/>
          </w:cols>
          <w:pgMar w:left="320" w:top="459" w:right="45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file with the Commission, the Sponsor or a Talkspace Holder (any of the Sponsor or a Talkspace Holder being in such case, a “</w:t>
      </w:r>
      <w:r>
        <w:rPr>
          <w:rFonts w:ascii="Arial" w:cs="Arial" w:eastAsia="Arial" w:hAnsi="Arial"/>
          <w:sz w:val="16"/>
          <w:szCs w:val="16"/>
          <w:b w:val="1"/>
          <w:bCs w:val="1"/>
          <w:i w:val="1"/>
          <w:iCs w:val="1"/>
          <w:color w:val="auto"/>
        </w:rPr>
        <w:t>Demanding Holder</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request to sell all or any portion of its Registrable Securities in an Underwritten Offering that is registered pursuant to the Shelf (each,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only be obligated to effect an Underwritten Shelf Takedown if such offering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include Registrable Securities proposed to be sold by the Demanding Holder, either individually or together with other Demanding Holders, with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anticipated aggregate offering price, net of underwriting discounts and commissions, of at least $50.0 million (the “</w:t>
      </w:r>
      <w:r>
        <w:rPr>
          <w:rFonts w:ascii="Arial" w:cs="Arial" w:eastAsia="Arial" w:hAnsi="Arial"/>
          <w:sz w:val="16"/>
          <w:szCs w:val="16"/>
          <w:b w:val="1"/>
          <w:bCs w:val="1"/>
          <w:i w:val="1"/>
          <w:iCs w:val="1"/>
          <w:color w:val="auto"/>
        </w:rPr>
        <w:t>Minimum Takedown Threshold</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requests for Underwritten Shelf Takedowns shall be made by giving written notice to the Company, which shall specify the approximate number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Registrable Securities proposed to be sold in the Underwritten Shelf Takedown. Subject to </w:t>
      </w:r>
      <w:r>
        <w:rPr>
          <w:rFonts w:ascii="Arial" w:cs="Arial" w:eastAsia="Arial" w:hAnsi="Arial"/>
          <w:sz w:val="16"/>
          <w:szCs w:val="16"/>
          <w:u w:val="single" w:color="auto"/>
          <w:color w:val="auto"/>
        </w:rPr>
        <w:t>Section 2.4.4</w:t>
      </w:r>
      <w:r>
        <w:rPr>
          <w:rFonts w:ascii="Arial" w:cs="Arial" w:eastAsia="Arial" w:hAnsi="Arial"/>
          <w:sz w:val="16"/>
          <w:szCs w:val="16"/>
          <w:color w:val="auto"/>
        </w:rPr>
        <w:t>, the Company shall have the right to select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Underwriters for such offering (which shall consist of one or more reputable nationally recognized investment banks), subject to the initial Demanding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prior approval (which shall not be unreasonably withheld, conditioned or delayed). The Sponsor and a Talkspace Holder may each demand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more than two (2) Underwritten Shelf Takedowns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any twelve (12) month period. Notwithstanding anything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contrary in this Agreement, the Company may effect any Underwritten Offering pursuant to any then effective Registration Statement, including a Form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S-3, that is then available for such offering.</w:t>
      </w:r>
    </w:p>
    <w:p>
      <w:pPr>
        <w:spacing w:after="0" w:line="21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7"/>
          <w:szCs w:val="17"/>
          <w:b w:val="1"/>
          <w:bCs w:val="1"/>
          <w:i w:val="1"/>
          <w:iCs w:val="1"/>
          <w:color w:val="auto"/>
        </w:rPr>
        <w:t>Requesting Holders</w:t>
      </w:r>
      <w:r>
        <w:rPr>
          <w:rFonts w:ascii="Arial" w:cs="Arial" w:eastAsia="Arial" w:hAnsi="Arial"/>
          <w:sz w:val="17"/>
          <w:szCs w:val="17"/>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w:t>
      </w:r>
    </w:p>
    <w:p>
      <w:pPr>
        <w:spacing w:after="0" w:line="184"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Withdrawal</w:t>
      </w:r>
      <w:r>
        <w:rPr>
          <w:rFonts w:ascii="Arial" w:cs="Arial" w:eastAsia="Arial" w:hAnsi="Arial"/>
          <w:sz w:val="17"/>
          <w:szCs w:val="17"/>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b w:val="1"/>
          <w:bCs w:val="1"/>
          <w:i w:val="1"/>
          <w:iCs w:val="1"/>
          <w:color w:val="auto"/>
        </w:rPr>
        <w:t>Withdrawal Notice</w:t>
      </w:r>
      <w:r>
        <w:rPr>
          <w:rFonts w:ascii="Arial" w:cs="Arial" w:eastAsia="Arial" w:hAnsi="Arial"/>
          <w:sz w:val="17"/>
          <w:szCs w:val="17"/>
          <w:color w:val="auto"/>
        </w:rPr>
        <w:t xml:space="preserve">”) to the Company and the Underwriter or Underwriters (if any) of their intention to withdraw from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Sponsor or a Talkspace Holder, as applicable, may elect to have the Company continue an Underwritten Shelf Takedown if the Minimum Takedown Threshold would still be satisfied by the Registrable Securities proposed to be sold in the Underwritten Shelf Takedown by the Sponsor, the Talkspace Holders or any of their respective Permitted Transferees, as applicable. If withdrawn, a demand for an Underwritten Shelf Takedown shall constitute a demand for an Underwritten Shelf Takedown by the withdrawing Demanding Holder for purposes of </w:t>
      </w:r>
      <w:r>
        <w:rPr>
          <w:rFonts w:ascii="Arial" w:cs="Arial" w:eastAsia="Arial" w:hAnsi="Arial"/>
          <w:sz w:val="17"/>
          <w:szCs w:val="17"/>
          <w:u w:val="single" w:color="auto"/>
          <w:color w:val="auto"/>
        </w:rPr>
        <w:t>Section 2.1.4</w:t>
      </w:r>
      <w:r>
        <w:rPr>
          <w:rFonts w:ascii="Arial" w:cs="Arial" w:eastAsia="Arial" w:hAnsi="Arial"/>
          <w:sz w:val="17"/>
          <w:szCs w:val="17"/>
          <w:color w:val="auto"/>
        </w:rPr>
        <w:t>, unless either (i) such Demanding Holder has not previously withdrawn any Underwritten Shelf Takedown or (ii) such Demanding Holder reimburses the Company for all Registration Expenses with respect to such Underwritten Shelf Takedown (or, if there is more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Sponsor or Talkspace Holder, as applicable, elects to continue an Underwritten Shelf Takedown pursuant to the proviso in the immediately preceding sentence, such Underwritten Shelf Takedown shall instead count as an Underwritten Shelf Takedown demanded by the Sponsor or such Talkspace Holder, as applicable, for purposes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other than if a Demanding Holder elects to pay such Registration Expenses pursuant to clause (ii) of the second sentence of this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left="120" w:firstLine="1432"/>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2.4.3</w:t>
      </w:r>
      <w:r>
        <w:rPr>
          <w:rFonts w:ascii="Arial" w:cs="Arial" w:eastAsia="Arial" w:hAnsi="Arial"/>
          <w:sz w:val="16"/>
          <w:szCs w:val="16"/>
          <w:color w:val="auto"/>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in each case solely for cash and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w:t>
      </w:r>
    </w:p>
    <w:p>
      <w:pPr>
        <w:spacing w:after="0" w:line="2" w:lineRule="exact"/>
        <w:rPr>
          <w:sz w:val="20"/>
          <w:szCs w:val="20"/>
          <w:color w:val="auto"/>
        </w:rPr>
      </w:pPr>
    </w:p>
    <w:p>
      <w:pPr>
        <w:ind w:left="120" w:right="40" w:hanging="4"/>
        <w:spacing w:after="0" w:line="281" w:lineRule="auto"/>
        <w:tabs>
          <w:tab w:leader="none" w:pos="425" w:val="left"/>
        </w:tabs>
        <w:numPr>
          <w:ilvl w:val="0"/>
          <w:numId w:val="464"/>
        </w:numPr>
        <w:rPr>
          <w:rFonts w:ascii="Arial" w:cs="Arial" w:eastAsia="Arial" w:hAnsi="Arial"/>
          <w:sz w:val="16"/>
          <w:szCs w:val="16"/>
          <w:color w:val="auto"/>
        </w:rPr>
      </w:pPr>
      <w:r>
        <w:rPr>
          <w:rFonts w:ascii="Arial" w:cs="Arial" w:eastAsia="Arial" w:hAnsi="Arial"/>
          <w:sz w:val="16"/>
          <w:szCs w:val="16"/>
          <w:color w:val="auto"/>
        </w:rPr>
        <w:t>for a dividend reinvestment plan (v) a Block Trade or (vi) an Other Coordinated Offering, then the Company shall give written notice of such proposed offering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w:t>
      </w:r>
    </w:p>
    <w:p>
      <w:pPr>
        <w:spacing w:after="0" w:line="2" w:lineRule="exact"/>
        <w:rPr>
          <w:rFonts w:ascii="Arial" w:cs="Arial" w:eastAsia="Arial" w:hAnsi="Arial"/>
          <w:sz w:val="16"/>
          <w:szCs w:val="16"/>
          <w:color w:val="auto"/>
        </w:rPr>
      </w:pPr>
    </w:p>
    <w:p>
      <w:pPr>
        <w:ind w:left="120" w:right="80"/>
        <w:spacing w:after="0" w:line="287" w:lineRule="auto"/>
        <w:rPr>
          <w:rFonts w:ascii="Arial" w:cs="Arial" w:eastAsia="Arial" w:hAnsi="Arial"/>
          <w:sz w:val="16"/>
          <w:szCs w:val="16"/>
          <w:color w:val="auto"/>
        </w:rPr>
      </w:pPr>
      <w:r>
        <w:rPr>
          <w:rFonts w:ascii="Arial" w:cs="Arial" w:eastAsia="Arial" w:hAnsi="Arial"/>
          <w:sz w:val="16"/>
          <w:szCs w:val="16"/>
          <w:color w:val="auto"/>
        </w:rPr>
        <w:t>(B)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spacing w:after="0" w:line="170" w:lineRule="exact"/>
        <w:rPr>
          <w:sz w:val="20"/>
          <w:szCs w:val="20"/>
          <w:color w:val="auto"/>
        </w:rPr>
      </w:pPr>
    </w:p>
    <w:p>
      <w:pPr>
        <w:ind w:left="120" w:right="100" w:firstLine="1432"/>
        <w:spacing w:after="0" w:line="28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w:t>
      </w:r>
    </w:p>
    <w:p>
      <w:pPr>
        <w:spacing w:after="0" w:line="2" w:lineRule="exact"/>
        <w:rPr>
          <w:sz w:val="20"/>
          <w:szCs w:val="20"/>
          <w:color w:val="auto"/>
        </w:rPr>
      </w:pPr>
    </w:p>
    <w:p>
      <w:pPr>
        <w:ind w:left="120" w:right="180" w:hanging="4"/>
        <w:spacing w:after="0" w:line="273" w:lineRule="auto"/>
        <w:tabs>
          <w:tab w:leader="none" w:pos="335"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or other equity securities, if any, as to which Registration or a registered offering has been requested pursuant to separate written contractual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20"/>
          </w:cols>
          <w:pgMar w:left="320" w:top="459" w:right="45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piggy-back registration rights of persons or entities other than the Holders of Registrable Securities hereunder, exceeds the Maximum Number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then:</w:t>
      </w:r>
    </w:p>
    <w:p>
      <w:pPr>
        <w:spacing w:after="0" w:line="103" w:lineRule="exact"/>
        <w:rPr>
          <w:sz w:val="20"/>
          <w:szCs w:val="20"/>
          <w:color w:val="auto"/>
        </w:rPr>
      </w:pPr>
    </w:p>
    <w:p>
      <w:pPr>
        <w:ind w:left="1540" w:right="40" w:firstLine="8"/>
        <w:spacing w:after="0" w:line="284" w:lineRule="auto"/>
        <w:tabs>
          <w:tab w:leader="none" w:pos="1785"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if the Registration or registered offering is undertaken for the Company’s account, the Company shall include in any such Registration or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w:t>
      </w:r>
    </w:p>
    <w:p>
      <w:pPr>
        <w:ind w:left="1540" w:right="20"/>
        <w:spacing w:after="0" w:line="277" w:lineRule="auto"/>
        <w:rPr>
          <w:rFonts w:ascii="Arial" w:cs="Arial" w:eastAsia="Arial" w:hAnsi="Arial"/>
          <w:sz w:val="16"/>
          <w:szCs w:val="16"/>
          <w:color w:val="auto"/>
        </w:rPr>
      </w:pPr>
      <w:r>
        <w:rPr>
          <w:rFonts w:ascii="Arial" w:cs="Arial" w:eastAsia="Arial" w:hAnsi="Arial"/>
          <w:sz w:val="17"/>
          <w:szCs w:val="17"/>
          <w:color w:val="auto"/>
        </w:rPr>
        <w:t>(A) and (B),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64" w:lineRule="exact"/>
        <w:rPr>
          <w:rFonts w:ascii="Arial" w:cs="Arial" w:eastAsia="Arial" w:hAnsi="Arial"/>
          <w:sz w:val="16"/>
          <w:szCs w:val="16"/>
          <w:color w:val="auto"/>
        </w:rPr>
      </w:pPr>
    </w:p>
    <w:p>
      <w:pPr>
        <w:ind w:left="1800" w:hanging="252"/>
        <w:spacing w:after="0"/>
        <w:tabs>
          <w:tab w:leader="none" w:pos="180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if the Registration or registered offering is pursuant to a demand by persons or entities other than the Holders of Registrable</w:t>
      </w:r>
    </w:p>
    <w:p>
      <w:pPr>
        <w:spacing w:after="0" w:line="34" w:lineRule="exact"/>
        <w:rPr>
          <w:rFonts w:ascii="Arial" w:cs="Arial" w:eastAsia="Arial" w:hAnsi="Arial"/>
          <w:sz w:val="17"/>
          <w:szCs w:val="17"/>
          <w:color w:val="auto"/>
        </w:rPr>
      </w:pPr>
    </w:p>
    <w:p>
      <w:pPr>
        <w:ind w:left="1540" w:right="80"/>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Securities, then the Company shall include in any such Registration or registered offering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w:t>
      </w:r>
    </w:p>
    <w:p>
      <w:pPr>
        <w:spacing w:after="0" w:line="4" w:lineRule="exact"/>
        <w:rPr>
          <w:rFonts w:ascii="Arial" w:cs="Arial" w:eastAsia="Arial" w:hAnsi="Arial"/>
          <w:sz w:val="17"/>
          <w:szCs w:val="17"/>
          <w:color w:val="auto"/>
        </w:rPr>
      </w:pPr>
    </w:p>
    <w:p>
      <w:pPr>
        <w:ind w:left="1540" w:right="140"/>
        <w:spacing w:after="0" w:line="252" w:lineRule="auto"/>
        <w:rPr>
          <w:rFonts w:ascii="Arial" w:cs="Arial" w:eastAsia="Arial" w:hAnsi="Arial"/>
          <w:sz w:val="17"/>
          <w:szCs w:val="17"/>
          <w:color w:val="auto"/>
        </w:rPr>
      </w:pPr>
      <w:r>
        <w:rPr>
          <w:rFonts w:ascii="Arial" w:cs="Arial" w:eastAsia="Arial" w:hAnsi="Arial"/>
          <w:sz w:val="18"/>
          <w:szCs w:val="18"/>
          <w:color w:val="auto"/>
        </w:rPr>
        <w:t>(C)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84" w:lineRule="exact"/>
        <w:rPr>
          <w:rFonts w:ascii="Arial" w:cs="Arial" w:eastAsia="Arial" w:hAnsi="Arial"/>
          <w:sz w:val="17"/>
          <w:szCs w:val="17"/>
          <w:color w:val="auto"/>
        </w:rPr>
      </w:pPr>
    </w:p>
    <w:p>
      <w:pPr>
        <w:ind w:left="1540" w:firstLine="8"/>
        <w:spacing w:after="0" w:line="263" w:lineRule="auto"/>
        <w:tabs>
          <w:tab w:leader="none" w:pos="178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if the Registration or registered offering and Underwritten Shelf Takedown is pursuant to a request by Holder(s) of Registrable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then the Company shall include in any such Registration or registered offering securities in the priority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84" w:lineRule="exact"/>
        <w:rPr>
          <w:sz w:val="20"/>
          <w:szCs w:val="20"/>
          <w:color w:val="auto"/>
        </w:rPr>
      </w:pPr>
    </w:p>
    <w:p>
      <w:pPr>
        <w:ind w:left="120" w:right="60" w:firstLine="1432"/>
        <w:spacing w:after="0" w:line="293"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(other than a Demanding Holder, whose right to withdraw from an Underwritten Shelf Takedown, and related obligations, shall be governed by </w:t>
      </w:r>
      <w:r>
        <w:rPr>
          <w:rFonts w:ascii="Arial" w:cs="Arial" w:eastAsia="Arial" w:hAnsi="Arial"/>
          <w:sz w:val="16"/>
          <w:szCs w:val="16"/>
          <w:u w:val="single" w:color="auto"/>
          <w:color w:val="auto"/>
        </w:rPr>
        <w:t>Section 2.1.6</w:t>
      </w:r>
      <w:r>
        <w:rPr>
          <w:rFonts w:ascii="Arial" w:cs="Arial" w:eastAsia="Arial" w:hAnsi="Arial"/>
          <w:sz w:val="16"/>
          <w:szCs w:val="16"/>
          <w:color w:val="auto"/>
        </w:rPr>
        <w:t>)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100"/>
          </w:cols>
          <w:pgMar w:left="320" w:top="459" w:right="47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 this Agreement (other than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88" w:lineRule="exact"/>
        <w:rPr>
          <w:sz w:val="20"/>
          <w:szCs w:val="20"/>
          <w:color w:val="auto"/>
        </w:rPr>
      </w:pPr>
    </w:p>
    <w:p>
      <w:pPr>
        <w:ind w:left="120" w:right="420" w:firstLine="991"/>
        <w:spacing w:after="0" w:line="308"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Unlimited Piggyback Registration Rights</w:t>
      </w:r>
      <w:r>
        <w:rPr>
          <w:rFonts w:ascii="Arial" w:cs="Arial" w:eastAsia="Arial" w:hAnsi="Arial"/>
          <w:sz w:val="17"/>
          <w:szCs w:val="17"/>
          <w:color w:val="auto"/>
        </w:rPr>
        <w:t xml:space="preserve">. For purposes of clarity,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any Piggyback Registration effected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shall not be counted as a demand for an Underwritten Shelf Takedown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Market Stand-off</w:t>
      </w:r>
      <w:r>
        <w:rPr>
          <w:rFonts w:ascii="Arial" w:cs="Arial" w:eastAsia="Arial" w:hAnsi="Arial"/>
          <w:sz w:val="17"/>
          <w:szCs w:val="17"/>
          <w:color w:val="auto"/>
        </w:rPr>
        <w:t>. In connection with any Underwritten Offering of equity securities of the Company (other than a Block Trade or Other Coordinated Offering), if requested by the managing Underwriters, each Holder that is an executive officer, director or Holder in excess of five percent (5%) of the outstanding Common Stock (and for which it is customary for such a Holder to agree to a lock-up)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Block Trades; Other Coordinated Offerings</w:t>
      </w:r>
      <w:r>
        <w:rPr>
          <w:rFonts w:ascii="Arial" w:cs="Arial" w:eastAsia="Arial" w:hAnsi="Arial"/>
          <w:sz w:val="18"/>
          <w:szCs w:val="18"/>
          <w:color w:val="auto"/>
        </w:rPr>
        <w:t>.</w:t>
      </w:r>
    </w:p>
    <w:p>
      <w:pPr>
        <w:spacing w:after="0" w:line="225"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 xml:space="preserve">2.4.1 Notwithstanding any other provision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 file with the Commission, if a Demanding Holder wishes to engage in (a) an underwritten registered offering not involving a “roadshow,” an offer commonly known as a “block trade” (a “</w:t>
      </w:r>
      <w:r>
        <w:rPr>
          <w:rFonts w:ascii="Arial" w:cs="Arial" w:eastAsia="Arial" w:hAnsi="Arial"/>
          <w:sz w:val="16"/>
          <w:szCs w:val="16"/>
          <w:b w:val="1"/>
          <w:bCs w:val="1"/>
          <w:i w:val="1"/>
          <w:iCs w:val="1"/>
          <w:color w:val="auto"/>
        </w:rPr>
        <w:t>Block Trade</w:t>
      </w:r>
      <w:r>
        <w:rPr>
          <w:rFonts w:ascii="Arial" w:cs="Arial" w:eastAsia="Arial" w:hAnsi="Arial"/>
          <w:sz w:val="16"/>
          <w:szCs w:val="16"/>
          <w:color w:val="auto"/>
        </w:rPr>
        <w:t>”) or (b) an “at the market” or similar registered offering through a broker, sales agent or distribution agent, whether as agent or principal, (an “</w:t>
      </w:r>
      <w:r>
        <w:rPr>
          <w:rFonts w:ascii="Arial" w:cs="Arial" w:eastAsia="Arial" w:hAnsi="Arial"/>
          <w:sz w:val="16"/>
          <w:szCs w:val="16"/>
          <w:b w:val="1"/>
          <w:bCs w:val="1"/>
          <w:i w:val="1"/>
          <w:iCs w:val="1"/>
          <w:color w:val="auto"/>
        </w:rPr>
        <w:t>Other Coordinated Offering</w:t>
      </w:r>
      <w:r>
        <w:rPr>
          <w:rFonts w:ascii="Arial" w:cs="Arial" w:eastAsia="Arial" w:hAnsi="Arial"/>
          <w:sz w:val="16"/>
          <w:szCs w:val="16"/>
          <w:color w:val="auto"/>
        </w:rPr>
        <w:t>”), in each case, with an anticipated aggregate offering price of, either</w:t>
      </w:r>
    </w:p>
    <w:p>
      <w:pPr>
        <w:spacing w:after="0" w:line="1" w:lineRule="exact"/>
        <w:rPr>
          <w:sz w:val="20"/>
          <w:szCs w:val="20"/>
          <w:color w:val="auto"/>
        </w:rPr>
      </w:pPr>
    </w:p>
    <w:p>
      <w:pPr>
        <w:ind w:left="120" w:right="120" w:hanging="4"/>
        <w:spacing w:after="0" w:line="252" w:lineRule="auto"/>
        <w:tabs>
          <w:tab w:leader="none" w:pos="37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at least $50.0 million or (y)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92"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8"/>
          <w:szCs w:val="18"/>
          <w:u w:val="single" w:color="auto"/>
          <w:color w:val="auto"/>
        </w:rPr>
        <w:t>Section 2.4.2</w:t>
      </w:r>
      <w:r>
        <w:rPr>
          <w:rFonts w:ascii="Arial" w:cs="Arial" w:eastAsia="Arial" w:hAnsi="Arial"/>
          <w:sz w:val="18"/>
          <w:szCs w:val="18"/>
          <w:color w:val="auto"/>
        </w:rPr>
        <w:t>.</w:t>
      </w:r>
    </w:p>
    <w:p>
      <w:pPr>
        <w:spacing w:after="0" w:line="192"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 xml:space="preserve">2.4.3 Notwithstanding anything to the contrary in this Agreement,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not apply to a Block Trade or Other Coordinated Offering initiated by a Demanding Holder pursuant to this Agreement.</w:t>
      </w:r>
    </w:p>
    <w:p>
      <w:pPr>
        <w:spacing w:after="0" w:line="170"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2.4.4 The Demanding Holder in a Block Trade or Other Coordinated Offering shall have the right to select the Underwriters and any brokers, sale agents or placement agents (if any) for such Block Trade or Other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100"/>
          </w:cols>
          <w:pgMar w:left="320" w:top="459" w:right="47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Coordinated Offering (in each case, which shall consist of one or more reputable nationally recognized investment banks).</w:t>
      </w:r>
    </w:p>
    <w:p>
      <w:pPr>
        <w:spacing w:after="0" w:line="225" w:lineRule="exact"/>
        <w:rPr>
          <w:sz w:val="20"/>
          <w:szCs w:val="20"/>
          <w:color w:val="auto"/>
        </w:rPr>
      </w:pPr>
    </w:p>
    <w:p>
      <w:pPr>
        <w:ind w:left="120" w:right="500" w:firstLine="991"/>
        <w:spacing w:after="0" w:line="286" w:lineRule="auto"/>
        <w:rPr>
          <w:sz w:val="20"/>
          <w:szCs w:val="20"/>
          <w:color w:val="auto"/>
        </w:rPr>
      </w:pPr>
      <w:r>
        <w:rPr>
          <w:rFonts w:ascii="Arial" w:cs="Arial" w:eastAsia="Arial" w:hAnsi="Arial"/>
          <w:sz w:val="17"/>
          <w:szCs w:val="17"/>
          <w:color w:val="auto"/>
        </w:rPr>
        <w:t xml:space="preserve">2.4.5 A Holder in the aggregate may demand no more than two (2) Block Trades or Other Coordinated Offerings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 any twelve (12) month period. For the avoidance of doubt, any Block Trade or Other Coordinated Offering effected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be counted as a demand for an Underwritten Shelf Takedown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w:t>
      </w:r>
    </w:p>
    <w:p>
      <w:pPr>
        <w:spacing w:after="0" w:line="165"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Acknowledgment</w:t>
      </w:r>
      <w:r>
        <w:rPr>
          <w:rFonts w:ascii="Arial" w:cs="Arial" w:eastAsia="Arial" w:hAnsi="Arial"/>
          <w:sz w:val="18"/>
          <w:szCs w:val="18"/>
          <w:color w:val="auto"/>
        </w:rPr>
        <w:t>. The Talkspace Holders hereby agree and acknowledge that their respective Registrable Securities are subject to the lock-up provisions set forth in the Bylaws of the Company.</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COMPANY PROCEDURES</w:t>
      </w:r>
    </w:p>
    <w:p>
      <w:pPr>
        <w:spacing w:after="0" w:line="22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8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spacing w:after="0" w:line="184"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8" w:lineRule="exact"/>
        <w:rPr>
          <w:sz w:val="20"/>
          <w:szCs w:val="20"/>
          <w:color w:val="auto"/>
        </w:rPr>
      </w:pPr>
    </w:p>
    <w:p>
      <w:pPr>
        <w:ind w:left="120" w:right="160" w:firstLine="991"/>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120"/>
          </w:cols>
          <w:pgMar w:left="320" w:top="459" w:right="45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4"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3.1.5 cause all such Registrable Securities to be listed on each national securities exchange on which similar securities issued by the Company are then listed;</w:t>
      </w:r>
    </w:p>
    <w:p>
      <w:pPr>
        <w:spacing w:after="0" w:line="17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7"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 xml:space="preserve">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furnish a copy thereof to each seller of such Registrable Securities or its counsel (excluding any exhibits thereto and any filing made under the Exchange Act that is to be incorporated by reference therein);</w:t>
      </w:r>
    </w:p>
    <w:p>
      <w:pPr>
        <w:spacing w:after="0" w:line="176"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4" w:lineRule="exact"/>
        <w:rPr>
          <w:sz w:val="20"/>
          <w:szCs w:val="20"/>
          <w:color w:val="auto"/>
        </w:rPr>
      </w:pPr>
    </w:p>
    <w:p>
      <w:pPr>
        <w:ind w:left="120" w:right="180" w:firstLine="991"/>
        <w:spacing w:after="0" w:line="271" w:lineRule="auto"/>
        <w:rPr>
          <w:sz w:val="20"/>
          <w:szCs w:val="20"/>
          <w:color w:val="auto"/>
        </w:rPr>
      </w:pPr>
      <w:r>
        <w:rPr>
          <w:rFonts w:ascii="Arial" w:cs="Arial" w:eastAsia="Arial" w:hAnsi="Arial"/>
          <w:sz w:val="17"/>
          <w:szCs w:val="17"/>
          <w:color w:val="auto"/>
        </w:rPr>
        <w:t xml:space="preserve">3.1.10 in the event of an Underwritten Offering, a Block Trade, an Other Coordinated Offering, or sale by a broker, placement agent or sales agent pursuant to such Registration,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178"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as the managing Underwriter may reasonably request, and reasonably satisfactory to a majority-in-interest of the participating Holders;</w:t>
      </w:r>
    </w:p>
    <w:p>
      <w:pPr>
        <w:spacing w:after="0" w:line="161"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obtain an opinion, dated such date, of counsel representing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120"/>
          </w:cols>
          <w:pgMar w:left="320" w:top="459" w:right="45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87"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7"/>
          <w:szCs w:val="17"/>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w:t>
      </w:r>
    </w:p>
    <w:p>
      <w:pPr>
        <w:spacing w:after="0" w:line="46" w:lineRule="exact"/>
        <w:rPr>
          <w:sz w:val="20"/>
          <w:szCs w:val="20"/>
          <w:color w:val="auto"/>
        </w:rPr>
      </w:pPr>
    </w:p>
    <w:p>
      <w:pPr>
        <w:ind w:left="120" w:right="20" w:hanging="4"/>
        <w:spacing w:after="0" w:line="260" w:lineRule="auto"/>
        <w:tabs>
          <w:tab w:leader="none" w:pos="46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85"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 xml:space="preserve">3.1.15 with respect to an Underwritten Offering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84"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Notwithstanding the foregoing, the Company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spacing w:after="0" w:line="16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Requirements for Participation in Registration Statement in Offerings</w:t>
      </w:r>
      <w:r>
        <w:rPr>
          <w:rFonts w:ascii="Arial" w:cs="Arial" w:eastAsia="Arial" w:hAnsi="Arial"/>
          <w:sz w:val="17"/>
          <w:szCs w:val="17"/>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not affect the registration of the other Registrable Securities to be included in such Registration.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 Adverse Disclosure; Restrictions on Registration Rights</w:t>
      </w:r>
      <w:r>
        <w:rPr>
          <w:rFonts w:ascii="Arial" w:cs="Arial" w:eastAsia="Arial" w:hAnsi="Arial"/>
          <w:sz w:val="18"/>
          <w:szCs w:val="18"/>
          <w:color w:val="auto"/>
        </w:rPr>
        <w:t>.</w:t>
      </w:r>
    </w:p>
    <w:p>
      <w:pPr>
        <w:spacing w:after="0" w:line="225"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3.4.1 Upon receipt of written notice from the Company that a Registration Statement or Prospectus contains a Misstatement, each of the Holders shall forthwith discontinue disposition of Registrable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120"/>
          </w:cols>
          <w:pgMar w:left="320" w:top="459" w:right="459"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w:t>
      </w:r>
    </w:p>
    <w:p>
      <w:pPr>
        <w:spacing w:after="0" w:line="184"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 xml:space="preserve">3.4.2 Subject to </w:t>
      </w:r>
      <w:r>
        <w:rPr>
          <w:rFonts w:ascii="Arial" w:cs="Arial" w:eastAsia="Arial" w:hAnsi="Arial"/>
          <w:sz w:val="17"/>
          <w:szCs w:val="17"/>
          <w:u w:val="single" w:color="auto"/>
          <w:color w:val="auto"/>
        </w:rPr>
        <w:t>Section 3.4.3</w:t>
      </w:r>
      <w:r>
        <w:rPr>
          <w:rFonts w:ascii="Arial" w:cs="Arial" w:eastAsia="Arial" w:hAnsi="Arial"/>
          <w:sz w:val="17"/>
          <w:szCs w:val="17"/>
          <w:color w:val="auto"/>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and/or the holders of its capital stock and it is therefore essential to defer such filing, initial effectiveness or continued use at such time, the Company shall have the right,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7"/>
          <w:szCs w:val="17"/>
          <w:u w:val="single" w:color="auto"/>
          <w:color w:val="auto"/>
        </w:rPr>
        <w:t>Section 3.4.2</w:t>
      </w:r>
      <w:r>
        <w:rPr>
          <w:rFonts w:ascii="Arial" w:cs="Arial" w:eastAsia="Arial" w:hAnsi="Arial"/>
          <w:sz w:val="17"/>
          <w:szCs w:val="17"/>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82" w:lineRule="exact"/>
        <w:rPr>
          <w:sz w:val="20"/>
          <w:szCs w:val="20"/>
          <w:color w:val="auto"/>
        </w:rPr>
      </w:pPr>
    </w:p>
    <w:p>
      <w:pPr>
        <w:ind w:left="120" w:right="100" w:firstLine="991"/>
        <w:spacing w:after="0" w:line="287" w:lineRule="auto"/>
        <w:rPr>
          <w:sz w:val="20"/>
          <w:szCs w:val="20"/>
          <w:color w:val="auto"/>
        </w:rPr>
      </w:pPr>
      <w:r>
        <w:rPr>
          <w:rFonts w:ascii="Arial" w:cs="Arial" w:eastAsia="Arial" w:hAnsi="Arial"/>
          <w:sz w:val="16"/>
          <w:szCs w:val="16"/>
          <w:color w:val="auto"/>
        </w:rPr>
        <w:t>3.4.3 (a) During the period starting with the date ninety (90) days prior to the Company’s good faith estimate of the date of the filing of, and ending on a date ninety (90) days after the effective date of, a Company-initiated Registration and provided that the Company continues to actively employ, in good faith, all reasonable efforts to maintain the effectiveness of the applicable Shelf Registration Statement, or (b) if, pursuant</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2.4. The right to delay or suspend any filing, initial effectiveness or continued use of a Registration Statement pursuant to </w:t>
      </w:r>
      <w:r>
        <w:rPr>
          <w:rFonts w:ascii="Arial" w:cs="Arial" w:eastAsia="Arial" w:hAnsi="Arial"/>
          <w:sz w:val="18"/>
          <w:szCs w:val="18"/>
          <w:u w:val="single" w:color="auto"/>
          <w:color w:val="auto"/>
        </w:rPr>
        <w:t>Section 3.4.2</w:t>
      </w:r>
      <w:r>
        <w:rPr>
          <w:rFonts w:ascii="Arial" w:cs="Arial" w:eastAsia="Arial" w:hAnsi="Arial"/>
          <w:sz w:val="18"/>
          <w:szCs w:val="18"/>
          <w:color w:val="auto"/>
        </w:rPr>
        <w:t xml:space="preserve"> or a registered offering pursuant to this </w:t>
      </w:r>
      <w:r>
        <w:rPr>
          <w:rFonts w:ascii="Arial" w:cs="Arial" w:eastAsia="Arial" w:hAnsi="Arial"/>
          <w:sz w:val="18"/>
          <w:szCs w:val="18"/>
          <w:u w:val="single" w:color="auto"/>
          <w:color w:val="auto"/>
        </w:rPr>
        <w:t>Section 3.4.3</w:t>
      </w:r>
      <w:r>
        <w:rPr>
          <w:rFonts w:ascii="Arial" w:cs="Arial" w:eastAsia="Arial" w:hAnsi="Arial"/>
          <w:sz w:val="18"/>
          <w:szCs w:val="18"/>
          <w:color w:val="auto"/>
        </w:rPr>
        <w:t xml:space="preserve"> shall be exercised by the Company, in the aggregate, for not more than ninety (90) consecutive calendar days or more than one hundred twenty (120) total calendar days in each case, during any twelve (12)-month period.</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under the Exchange Act, covenants to file timely (or obtain extensions in respect thereof and file within the applicable grace period) all reports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required to be filed by the Company after the date hereof pursuant to Sections 13(a) or 15(d) of the Exchange Act and to promptly furnish the 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with true and complete copies of all such filings;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documents publicly filed or furnished with the Commission pursuant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Electronic Data Gathering, Analysis and Retrieval System shall be deemed to have been furnished or delivered to the Holders pursuant to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Section 3.5</w:t>
      </w:r>
      <w:r>
        <w:rPr>
          <w:rFonts w:ascii="Arial" w:cs="Arial" w:eastAsia="Arial" w:hAnsi="Arial"/>
          <w:sz w:val="16"/>
          <w:szCs w:val="16"/>
          <w:color w:val="auto"/>
        </w:rPr>
        <w:t>. The Company further covenants that it shall take such further action as any Holder may reasonably request, all to the extent required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 to time to enable such Holder to sell shares of Common Stock held by such Holder without registration under the Securities Act within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limitation of the exemptions provided by Rule 144 promulgated under the Securities Act (or any successor rule then in effect). Upon the request of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the Company shall deliver to such Holder a written certification of a duly authorized officer as to whether it has complied with such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100"/>
          </w:cols>
          <w:pgMar w:left="320" w:top="459" w:right="47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INDEMNIFICATION AND CONTRIBUTION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directors and agents and each person or entity who controls such Holder (within the meaning of the Securities Act), against all losses, claims, damages, liabilities and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or entity who controls such Underwriters (within the meaning of the Securities Act) to the same extent as provided in the foregoing with respect to the indemnification of the Holder.</w:t>
      </w:r>
    </w:p>
    <w:p>
      <w:pPr>
        <w:spacing w:after="0" w:line="196"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4.1.2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Arial" w:cs="Arial" w:eastAsia="Arial" w:hAnsi="Arial"/>
          <w:sz w:val="16"/>
          <w:szCs w:val="16"/>
          <w:b w:val="1"/>
          <w:bCs w:val="1"/>
          <w:i w:val="1"/>
          <w:iCs w:val="1"/>
          <w:color w:val="auto"/>
        </w:rPr>
        <w:t>Holder Information</w:t>
      </w:r>
      <w:r>
        <w:rPr>
          <w:rFonts w:ascii="Arial" w:cs="Arial" w:eastAsia="Arial" w:hAnsi="Arial"/>
          <w:sz w:val="16"/>
          <w:szCs w:val="16"/>
          <w:color w:val="auto"/>
        </w:rPr>
        <w:t xml:space="preserve">”) and, to the extent permitted by law, shall indemnify the Company, its directors, officers and agents and each person or entity who controls the Company (within the meaning of the Securities Act) against all losses, claims, damages, liabilities and out-of-pocket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or on behalf of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74"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4.1.3 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120"/>
          </w:cols>
          <w:pgMar w:left="320" w:top="459" w:right="45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4"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8" w:lineRule="exact"/>
        <w:rPr>
          <w:sz w:val="20"/>
          <w:szCs w:val="20"/>
          <w:color w:val="auto"/>
        </w:rPr>
      </w:pPr>
    </w:p>
    <w:p>
      <w:pPr>
        <w:ind w:left="120" w:right="20" w:firstLine="991"/>
        <w:spacing w:after="0" w:line="285"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No person or entity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from any person or entity who was not guilty of such fraudulent misrepresentation.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Notices</w:t>
      </w:r>
      <w:r>
        <w:rPr>
          <w:rFonts w:ascii="Arial" w:cs="Arial" w:eastAsia="Arial" w:hAnsi="Arial"/>
          <w:sz w:val="17"/>
          <w:szCs w:val="17"/>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Talkspace, Inc., 570 Lexington Avenue, 35th Floor, New York, NY 10022, Attn: Douglas G. Bergeron, Douglas L. Braunstein and Jonathan Dobres, Email: Doug.Bergeron@hudsonexecutive.com; Douglas.Braunstein@hudsonexecutive.com, and Jonathan.Dobres@hudsonexecutive.com, and, if to any Holder, at such Holder’s address, electronic mail address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120"/>
          </w:cols>
          <w:pgMar w:left="320" w:top="459" w:right="45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 xml:space="preserve">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left="120" w:right="100" w:firstLine="991"/>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left="120" w:right="120" w:firstLine="991"/>
        <w:spacing w:after="0" w:line="291" w:lineRule="auto"/>
        <w:rPr>
          <w:sz w:val="20"/>
          <w:szCs w:val="20"/>
          <w:color w:val="auto"/>
        </w:rPr>
      </w:pPr>
      <w:r>
        <w:rPr>
          <w:rFonts w:ascii="Arial" w:cs="Arial" w:eastAsia="Arial" w:hAnsi="Arial"/>
          <w:sz w:val="16"/>
          <w:szCs w:val="16"/>
          <w:color w:val="auto"/>
        </w:rPr>
        <w:t xml:space="preserve">5.2.2 Subject to </w:t>
      </w:r>
      <w:r>
        <w:rPr>
          <w:rFonts w:ascii="Arial" w:cs="Arial" w:eastAsia="Arial" w:hAnsi="Arial"/>
          <w:sz w:val="16"/>
          <w:szCs w:val="16"/>
          <w:u w:val="single" w:color="auto"/>
          <w:color w:val="auto"/>
        </w:rPr>
        <w:t>Section 5.2.4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5.2.5</w:t>
      </w:r>
      <w:r>
        <w:rPr>
          <w:rFonts w:ascii="Arial" w:cs="Arial" w:eastAsia="Arial" w:hAnsi="Arial"/>
          <w:sz w:val="16"/>
          <w:szCs w:val="16"/>
          <w:color w:val="auto"/>
        </w:rPr>
        <w:t xml:space="preserve">, this Agreement and the rights, duties and obligations of a Holder hereunder may be assigned in whole or in part to such Holder’s Permitted Transferees;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the Talkspace Holders and the Sponsor, the rights hereunder that are personal to such Holders may not be assigned or delegated in whole or in part, except that (x) each of the Talkspace Holders shall be permitted to transfer its rights hereunder as the Talkspace Holders to one or more affiliates or any direct or indirect partners, members or equity holders of such Talkspace Holder (it being understood that no such transfer shall reduce any rights of such Talkspace Holder or such transferees) and (y) the Sponsor shall be permitted to transfer its rights hereunder as the Sponsor to one or more affiliates or any direct or indirect partners, members or equity holders of the Sponsor (it being understood that no such transfer shall reduce any rights of the Sponsor or such transferees).</w:t>
      </w:r>
    </w:p>
    <w:p>
      <w:pPr>
        <w:spacing w:after="0" w:line="166"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or entities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(1) THIS AGREEMENT SHALL BE GOVERNED BY AND CONSTRUED UNDER THE LAWS OF THE STATE OF NEW YORK AND (2) THE VENUE FOR ANY ACTION TAKEN WITH RESPECT TO THIS AGREEMENT SHALL BE EXCLUSIVELY IN THE SUPREME COURT OF THE STATE OF NEW YORK, NEW YORK COUNTY, AND ANY STATE APPELLATE COURT THEREFROM WITHIN THE STATE OF NEW YORK, NEW YORK COUNTY, OR IN THE UNITED STATES DISTRICT COURT FOR THE SOUTHERN DISTRICT OF NEW YORK.</w:t>
      </w:r>
    </w:p>
    <w:p>
      <w:pPr>
        <w:spacing w:after="0" w:line="188"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TRIAL BY JURY</w:t>
      </w:r>
      <w:r>
        <w:rPr>
          <w:rFonts w:ascii="Arial" w:cs="Arial" w:eastAsia="Arial" w:hAnsi="Arial"/>
          <w:sz w:val="18"/>
          <w:szCs w:val="18"/>
          <w:b w:val="1"/>
          <w:bCs w:val="1"/>
          <w:color w:val="auto"/>
        </w:rPr>
        <w:t>.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120"/>
          </w:cols>
          <w:pgMar w:left="320" w:top="459" w:right="45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RESPECT TO ANY ACTION DIRECTLY OR INDIRECTLY ARISING OUT OF, UNDER OR IN CONNECTION WITH OR RELATING TO THIS AGREEMENT OR THE TRANSACTIONS CONTEMPLATED BY THIS AGREEMENT.</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any amendment hereto or waiver hereof shall also require the written consent of the Sponsor so long as the Sponsor and its affiliates hold, in the aggregate, at least five percent (5%) of the outstanding shares of Common Stock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the foregoing, any amendment hereto or waiver hereof shall also require the written consent of each Talkspace Holder so long as such Talkspace Holder and its affiliates hold, in the aggregate, at least five percent (5%) of the outstanding shares of Common Stock of the Company;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(i) the Third Party Investor Stockholders who have registration rights with respect to their Investor Shares pursuant to their respective Subscription Agreements and (ii) as provided in the Warrant Agreement, dated as of June 8, 2020, between the Company and Continental Stock Transfer &amp; Trust Company,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For so long as (a) the Sponsor and its affiliates hold, in the aggregate, at least five percent (5%) of the outstanding shares of Common Stock of the Company,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(such rights “</w:t>
      </w:r>
      <w:r>
        <w:rPr>
          <w:rFonts w:ascii="Arial" w:cs="Arial" w:eastAsia="Arial" w:hAnsi="Arial"/>
          <w:sz w:val="16"/>
          <w:szCs w:val="16"/>
          <w:b w:val="1"/>
          <w:bCs w:val="1"/>
          <w:i w:val="1"/>
          <w:iCs w:val="1"/>
          <w:color w:val="auto"/>
        </w:rPr>
        <w:t>Competing Registration Rights</w:t>
      </w:r>
      <w:r>
        <w:rPr>
          <w:rFonts w:ascii="Arial" w:cs="Arial" w:eastAsia="Arial" w:hAnsi="Arial"/>
          <w:sz w:val="16"/>
          <w:szCs w:val="16"/>
          <w:color w:val="auto"/>
        </w:rPr>
        <w:t>”) without the prior written consent of the Sponsor, and (b) an Talkspace Holder and its affiliates hold, in the aggregate, at least five percent (5%) of the outstanding shares of Common Stock of the Company, the Company hereby agrees and covenants that it will not grant Competing Registration Rights without the prior written consent of such Talkspace Holder.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on the earlier of (a) the tenth anniversary of the date of this Agreement or (b) with respect to any Holder, on the date that such Holder no longer holds any Registrable Securities.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Holder Information</w:t>
      </w:r>
      <w:r>
        <w:rPr>
          <w:rFonts w:ascii="Arial" w:cs="Arial" w:eastAsia="Arial" w:hAnsi="Arial"/>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Additional Holders; Joinder</w:t>
      </w:r>
      <w:r>
        <w:rPr>
          <w:rFonts w:ascii="Arial" w:cs="Arial" w:eastAsia="Arial" w:hAnsi="Arial"/>
          <w:sz w:val="18"/>
          <w:szCs w:val="18"/>
          <w:color w:val="auto"/>
        </w:rPr>
        <w:t xml:space="preserve">. In addition to persons or entities who may become Holders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 subject to the prior written consent of each of the Sponsor and each Talkspace Holder (in each case, so long as such Holder and its affiliates hold, in the aggregate, at least five percent (5%) of the outstanding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1120"/>
          </w:cols>
          <w:pgMar w:left="320" w:top="459" w:right="45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xml:space="preserve">”) by obtaining an executed joinder to this Agreement from such Additional Holder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 “</w:t>
      </w:r>
      <w:r>
        <w:rPr>
          <w:rFonts w:ascii="Arial" w:cs="Arial" w:eastAsia="Arial" w:hAnsi="Arial"/>
          <w:sz w:val="17"/>
          <w:szCs w:val="17"/>
          <w:b w:val="1"/>
          <w:bCs w:val="1"/>
          <w:i w:val="1"/>
          <w:iCs w:val="1"/>
          <w:color w:val="auto"/>
        </w:rPr>
        <w:t>Joinder</w:t>
      </w:r>
      <w:r>
        <w:rPr>
          <w:rFonts w:ascii="Arial" w:cs="Arial" w:eastAsia="Arial" w:hAnsi="Arial"/>
          <w:sz w:val="17"/>
          <w:szCs w:val="17"/>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be Registrable Securities to the extent provided herein and therein and such Additional Holder shall be a Holder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respect to such Additional Holder Common Stock.</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Severability</w:t>
      </w:r>
      <w:r>
        <w:rPr>
          <w:rFonts w:ascii="Arial" w:cs="Arial" w:eastAsia="Arial" w:hAnsi="Arial"/>
          <w:sz w:val="16"/>
          <w:szCs w:val="16"/>
          <w:color w:val="auto"/>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6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Entire Agreement; Restatement</w:t>
      </w:r>
      <w:r>
        <w:rPr>
          <w:rFonts w:ascii="Arial" w:cs="Arial" w:eastAsia="Arial" w:hAnsi="Arial"/>
          <w:sz w:val="18"/>
          <w:szCs w:val="18"/>
          <w:color w:val="auto"/>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120"/>
          </w:cols>
          <w:pgMar w:left="320" w:top="459" w:right="45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HOLDERS:</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HEC Sponsor LLC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 Delaware limited liability company</w:t>
      </w:r>
    </w:p>
    <w:p>
      <w:pPr>
        <w:spacing w:after="0" w:line="2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[Entity Talkspace Holders]</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186055</wp:posOffset>
            </wp:positionV>
            <wp:extent cx="279463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8"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[Individual Talkspace Stockholders]</w:t>
      </w:r>
    </w:p>
    <w:p>
      <w:pPr>
        <w:spacing w:after="0" w:line="26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Amended and Restated Registration Rights Agreement]</w:t>
      </w:r>
    </w:p>
    <w:p>
      <w:pPr>
        <w:sectPr>
          <w:pgSz w:w="11900" w:h="16838" w:orient="portrait"/>
          <w:cols w:equalWidth="0" w:num="1">
            <w:col w:w="10139"/>
          </w:cols>
          <w:pgMar w:left="320" w:top="459" w:right="1440"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 AGREEMENT JOINDER</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undersigned is executing and delivering this joinder (this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pursuant to the Amended and Restated Registration Rights Agreement, dated as of [●], 2021 (as the same may hereafter be amended,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among Talkspace,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other persons or entities named as parties therein. Capitalized terms used but not otherwise defined herein shall have the meanings provided in the Registration Rights Agreement.</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undersigned and its permitted assigns (if any) shall not have any rights as Holders, and the undersigned’s (and its transferees’) shares of Common Stock shall not be included as Registrable Securities, for purposes of the Excluded Sections.</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w w:val="89"/>
              </w:rPr>
              <w:t>For purposes of this Joinder, “</w:t>
            </w:r>
            <w:r>
              <w:rPr>
                <w:rFonts w:ascii="Arial" w:cs="Arial" w:eastAsia="Arial" w:hAnsi="Arial"/>
                <w:sz w:val="18"/>
                <w:szCs w:val="18"/>
                <w:b w:val="1"/>
                <w:bCs w:val="1"/>
                <w:i w:val="1"/>
                <w:iCs w:val="1"/>
                <w:color w:val="auto"/>
                <w:w w:val="89"/>
              </w:rPr>
              <w:t>Excluded Sections</w:t>
            </w:r>
            <w:r>
              <w:rPr>
                <w:rFonts w:ascii="Arial" w:cs="Arial" w:eastAsia="Arial" w:hAnsi="Arial"/>
                <w:sz w:val="18"/>
                <w:szCs w:val="18"/>
                <w:color w:val="auto"/>
                <w:w w:val="89"/>
              </w:rPr>
              <w:t>” shall mean [</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680" w:type="dxa"/>
            <w:vAlign w:val="bottom"/>
            <w:gridSpan w:val="3"/>
          </w:tcPr>
          <w:p>
            <w:pPr>
              <w:spacing w:after="0"/>
              <w:rPr>
                <w:sz w:val="20"/>
                <w:szCs w:val="20"/>
                <w:color w:val="auto"/>
              </w:rPr>
            </w:pPr>
            <w:r>
              <w:rPr>
                <w:rFonts w:ascii="Arial" w:cs="Arial" w:eastAsia="Arial" w:hAnsi="Arial"/>
                <w:sz w:val="18"/>
                <w:szCs w:val="18"/>
                <w:color w:val="auto"/>
                <w:w w:val="90"/>
              </w:rPr>
              <w:t>Accordingly, the undersigned has executed and delivered this Joinder as of the</w:t>
            </w:r>
          </w:p>
        </w:tc>
        <w:tc>
          <w:tcPr>
            <w:tcW w:w="7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3"/>
              </w:rPr>
              <w:t>day of</w:t>
            </w:r>
          </w:p>
        </w:tc>
        <w:tc>
          <w:tcPr>
            <w:tcW w:w="7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205740</wp:posOffset>
            </wp:positionV>
            <wp:extent cx="27946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 of Stockholder</w:t>
      </w: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26314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168910</wp:posOffset>
            </wp:positionV>
            <wp:extent cx="268287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268287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74231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87" w:lineRule="exact"/>
        <w:rPr>
          <w:sz w:val="20"/>
          <w:szCs w:val="20"/>
          <w:color w:val="auto"/>
        </w:rPr>
      </w:pPr>
    </w:p>
    <w:p>
      <w:pPr>
        <w:ind w:left="900" w:hanging="784"/>
        <w:spacing w:after="0"/>
        <w:tabs>
          <w:tab w:leader="none" w:pos="90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-7620</wp:posOffset>
            </wp:positionV>
            <wp:extent cx="4572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wp:posOffset>
            </wp:positionV>
            <wp:extent cx="256286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11120"/>
          </w:cols>
          <w:pgMar w:left="320" w:top="459" w:right="45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COMPANY HOLDERS SUPPORT AGREEMENT</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This Company Holders Support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January 12, 2021, is entered into by and among Hudson Executive Investment Corp., a Delaware corporation (“</w:t>
      </w:r>
      <w:r>
        <w:rPr>
          <w:rFonts w:ascii="Arial" w:cs="Arial" w:eastAsia="Arial" w:hAnsi="Arial"/>
          <w:sz w:val="17"/>
          <w:szCs w:val="17"/>
          <w:u w:val="single" w:color="auto"/>
          <w:color w:val="auto"/>
        </w:rPr>
        <w:t>Acquiror</w:t>
      </w:r>
      <w:r>
        <w:rPr>
          <w:rFonts w:ascii="Arial" w:cs="Arial" w:eastAsia="Arial" w:hAnsi="Arial"/>
          <w:sz w:val="17"/>
          <w:szCs w:val="17"/>
          <w:color w:val="auto"/>
        </w:rPr>
        <w:t>”), Groop Internet Platform, Inc. (d/b/a Talkspace),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certain of the stockholders of the Company, whose names appear on the signature pages of this Agreement (such stockholders, the “</w:t>
      </w:r>
      <w:r>
        <w:rPr>
          <w:rFonts w:ascii="Arial" w:cs="Arial" w:eastAsia="Arial" w:hAnsi="Arial"/>
          <w:sz w:val="17"/>
          <w:szCs w:val="17"/>
          <w:u w:val="single" w:color="auto"/>
          <w:color w:val="auto"/>
        </w:rPr>
        <w:t>Stockholders</w:t>
      </w:r>
      <w:r>
        <w:rPr>
          <w:rFonts w:ascii="Arial" w:cs="Arial" w:eastAsia="Arial" w:hAnsi="Arial"/>
          <w:sz w:val="17"/>
          <w:szCs w:val="17"/>
          <w:color w:val="auto"/>
        </w:rPr>
        <w:t>”, and Acquiror, the Company and the Stockholders, each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Acquiror, the Company, Tailwind Merger Sub I, Inc., a Delaware corporation and direct,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Acquiror (“</w:t>
      </w:r>
      <w:r>
        <w:rPr>
          <w:rFonts w:ascii="Arial" w:cs="Arial" w:eastAsia="Arial" w:hAnsi="Arial"/>
          <w:sz w:val="16"/>
          <w:szCs w:val="16"/>
          <w:u w:val="single" w:color="auto"/>
          <w:color w:val="auto"/>
        </w:rPr>
        <w:t>First Merger Sub</w:t>
      </w:r>
      <w:r>
        <w:rPr>
          <w:rFonts w:ascii="Arial" w:cs="Arial" w:eastAsia="Arial" w:hAnsi="Arial"/>
          <w:sz w:val="16"/>
          <w:szCs w:val="16"/>
          <w:color w:val="auto"/>
        </w:rPr>
        <w:t>”), and Tailwind Merger Sub II, LLC, a Delaware limited liability company and direct, wholly owned subsidiary of Acquiror (“</w:t>
      </w:r>
      <w:r>
        <w:rPr>
          <w:rFonts w:ascii="Arial" w:cs="Arial" w:eastAsia="Arial" w:hAnsi="Arial"/>
          <w:sz w:val="16"/>
          <w:szCs w:val="16"/>
          <w:u w:val="single" w:color="auto"/>
          <w:color w:val="auto"/>
        </w:rPr>
        <w:t>Second Merger Sub</w:t>
      </w:r>
      <w:r>
        <w:rPr>
          <w:rFonts w:ascii="Arial" w:cs="Arial" w:eastAsia="Arial" w:hAnsi="Arial"/>
          <w:sz w:val="16"/>
          <w:szCs w:val="16"/>
          <w:color w:val="auto"/>
        </w:rPr>
        <w:t>”), are entering into an Agreement and Plan of Merger (as amended, supplemented,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in this Agreement shall have the meanings ascribed to them in the Merger Agreement), pursuant to which (and subject to the terms and conditions set forth therein), (i) First Merger Sub will merge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with the Company being the surviving corporation of the First Merger; and (ii) immediately following the First Merger and as part of the same overall transaction of the First Merger, the Company will merge with and into Second Merger Sub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and,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with Second Merger Sub being the surviving entity of the Second Merger;</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of the date hereof, each Stockholder is the sole record owner and “beneficial owner” (as such term is used herein, within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meaning of Rule 13d-3 under the Securities Exchange Act of 1934, as amended (together with the rules and regulations promulgated thereunder,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of, and has the sole power to dispose of and vote (or direct the voting of), the number of shares of Company Stock set forth opposite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such Stockholder’s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(collectively, with respect to each Stockholder, such Stockholder’s “</w:t>
      </w:r>
      <w:r>
        <w:rPr>
          <w:rFonts w:ascii="Arial" w:cs="Arial" w:eastAsia="Arial" w:hAnsi="Arial"/>
          <w:sz w:val="16"/>
          <w:szCs w:val="16"/>
          <w:u w:val="single" w:color="auto"/>
          <w:color w:val="auto"/>
        </w:rPr>
        <w:t>Owned Shares</w:t>
      </w:r>
      <w:r>
        <w:rPr>
          <w:rFonts w:ascii="Arial" w:cs="Arial" w:eastAsia="Arial" w:hAnsi="Arial"/>
          <w:sz w:val="16"/>
          <w:szCs w:val="16"/>
          <w:color w:val="auto"/>
        </w:rPr>
        <w:t>”, and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Owned Shares, together with (1) any additional shares of Company Stock (or any securities convertible into or exercisable or exchangeable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Stock) in which such Stockholder acquires record and beneficial ownership after the date hereof, including by purchase, as a result of a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dividend, stock split, recapitalization, combination, reclassification, exchange or change of such shares, or upon exercise or conversion of any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(2) any additional shares of Company Stock with respect to which such Stockholder has the right to vote through a proxy, the “</w:t>
      </w:r>
      <w:r>
        <w:rPr>
          <w:rFonts w:ascii="Arial" w:cs="Arial" w:eastAsia="Arial" w:hAnsi="Arial"/>
          <w:sz w:val="16"/>
          <w:szCs w:val="16"/>
          <w:u w:val="single" w:color="auto"/>
          <w:color w:val="auto"/>
        </w:rPr>
        <w:t>Covered Shares</w:t>
      </w:r>
      <w:r>
        <w:rPr>
          <w:rFonts w:ascii="Arial" w:cs="Arial" w:eastAsia="Arial" w:hAnsi="Arial"/>
          <w:sz w:val="16"/>
          <w:szCs w:val="16"/>
          <w:color w:val="auto"/>
        </w:rPr>
        <w:t>”);</w:t>
      </w:r>
    </w:p>
    <w:p>
      <w:pPr>
        <w:spacing w:after="0" w:line="23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upon the consummation of the First Merger, each of the following agreements will terminate: (i) that certain Sixth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Investors’ Rights Agreement, dated as of May 15, 2019, by and among the Company, the Investors and the Key Holders (as such terms are defined therein) (the “</w:t>
      </w:r>
      <w:r>
        <w:rPr>
          <w:rFonts w:ascii="Arial" w:cs="Arial" w:eastAsia="Arial" w:hAnsi="Arial"/>
          <w:sz w:val="17"/>
          <w:szCs w:val="17"/>
          <w:u w:val="single" w:color="auto"/>
          <w:color w:val="auto"/>
        </w:rPr>
        <w:t>Investors’ Rights Agreement</w:t>
      </w:r>
      <w:r>
        <w:rPr>
          <w:rFonts w:ascii="Arial" w:cs="Arial" w:eastAsia="Arial" w:hAnsi="Arial"/>
          <w:sz w:val="17"/>
          <w:szCs w:val="17"/>
          <w:color w:val="auto"/>
        </w:rPr>
        <w:t>”), (ii) that certain Sixth Amended and Restated Voting Agreement, dated as of May 15, 2019, by and among the Company, the Investors and the Key Holders (as such terms are defined therein)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(iii) that certain Sixth Amended and Restated Right of First Refusal and Co-Sale Agreement, dated as of May 15, 2019, by and among the Company, the Investors and the Key Holders (as such terms are defined therein) (the “</w:t>
      </w:r>
      <w:r>
        <w:rPr>
          <w:rFonts w:ascii="Arial" w:cs="Arial" w:eastAsia="Arial" w:hAnsi="Arial"/>
          <w:sz w:val="17"/>
          <w:szCs w:val="17"/>
          <w:u w:val="single" w:color="auto"/>
          <w:color w:val="auto"/>
        </w:rPr>
        <w:t>ROFR Agreement</w:t>
      </w:r>
      <w:r>
        <w:rPr>
          <w:rFonts w:ascii="Arial" w:cs="Arial" w:eastAsia="Arial" w:hAnsi="Arial"/>
          <w:sz w:val="17"/>
          <w:szCs w:val="17"/>
          <w:color w:val="auto"/>
        </w:rPr>
        <w:t>”) and (iv) that certain Management Rights Letter Agreement, dated as of May 15, 2019, by and between the Company and Revolution Growth III, LP (the “</w:t>
      </w:r>
      <w:r>
        <w:rPr>
          <w:rFonts w:ascii="Arial" w:cs="Arial" w:eastAsia="Arial" w:hAnsi="Arial"/>
          <w:sz w:val="17"/>
          <w:szCs w:val="17"/>
          <w:u w:val="single" w:color="auto"/>
          <w:color w:val="auto"/>
        </w:rPr>
        <w:t>Revolution Side Letter</w:t>
      </w:r>
      <w:r>
        <w:rPr>
          <w:rFonts w:ascii="Arial" w:cs="Arial" w:eastAsia="Arial" w:hAnsi="Arial"/>
          <w:sz w:val="17"/>
          <w:szCs w:val="17"/>
          <w:color w:val="auto"/>
        </w:rPr>
        <w:t>” and, together with the Investors’ Rights Agreement, the Voting Agreement and the ROFR Agreement, the “</w:t>
      </w:r>
      <w:r>
        <w:rPr>
          <w:rFonts w:ascii="Arial" w:cs="Arial" w:eastAsia="Arial" w:hAnsi="Arial"/>
          <w:sz w:val="17"/>
          <w:szCs w:val="17"/>
          <w:u w:val="single" w:color="auto"/>
          <w:color w:val="auto"/>
        </w:rPr>
        <w:t>Investment Agreements</w:t>
      </w:r>
      <w:r>
        <w:rPr>
          <w:rFonts w:ascii="Arial" w:cs="Arial" w:eastAsia="Arial" w:hAnsi="Arial"/>
          <w:sz w:val="17"/>
          <w:szCs w:val="17"/>
          <w:color w:val="auto"/>
        </w:rPr>
        <w:t>”); and</w:t>
      </w:r>
    </w:p>
    <w:p>
      <w:pPr>
        <w:spacing w:after="0" w:line="172" w:lineRule="exact"/>
        <w:rPr>
          <w:sz w:val="20"/>
          <w:szCs w:val="20"/>
          <w:color w:val="auto"/>
        </w:rPr>
      </w:pPr>
    </w:p>
    <w:p>
      <w:pPr>
        <w:ind w:left="120" w:right="9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willingness of Acquiror to enter into the Merger Agreement,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entering into this Agreement.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and agreements herein contained,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Acquiror, the Company and each Stockholder hereby agree as follows:</w:t>
      </w:r>
    </w:p>
    <w:p>
      <w:pPr>
        <w:spacing w:after="0" w:line="166" w:lineRule="exact"/>
        <w:rPr>
          <w:sz w:val="20"/>
          <w:szCs w:val="20"/>
          <w:color w:val="auto"/>
        </w:rPr>
      </w:pPr>
    </w:p>
    <w:p>
      <w:pPr>
        <w:ind w:left="120" w:firstLine="436"/>
        <w:spacing w:after="0" w:line="269" w:lineRule="auto"/>
        <w:tabs>
          <w:tab w:leader="none" w:pos="740"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Agreement to Vote</w:t>
      </w:r>
      <w:r>
        <w:rPr>
          <w:rFonts w:ascii="Arial" w:cs="Arial" w:eastAsia="Arial" w:hAnsi="Arial"/>
          <w:sz w:val="17"/>
          <w:szCs w:val="17"/>
          <w:color w:val="auto"/>
        </w:rPr>
        <w:t>. Subject to the earlier termination of this Agreement in accordance with Section 3 and the last paragraph of this Section 1, the Stockholder, solely in his, her or its capacity as a stockholder or proxy holder of the Company, irrevocably and unconditionally agrees to validly execute and deliver to the Company in respect of all of the Stockholder’s Covered Shares, as soon as reasonably practicable after the Registration Statement is declared effective under the Securities Act and delivered or otherwise made available to the stockholders of Acquiror and the Company, and in any event within forty-eight (48) hours after the Registration Statement is declared effective and delivered or otherwise made available to the stockholders of Acquiror and the Company, a written consent in respect of all of the Stockholder’s Covered Shares approving the Merger Agreement and the Transactions. In addition, prior to the Termination Date (as defined herein), the Stockholder, in his, her or its capacity as a stockholder or proxy holder of the Company, irrevocably and unconditionally agrees that, at any other meeting of the stockholders of the Company (whether annual or special and whether or not an adjourned or postponed meeting, however called and including any adjournment or postponement thereof) and in connection with any written consent of stockholders of the Company, such Stockholder shall, and shall cause any other holder of record of any of such Stockholder’s Covered Shares to:</w:t>
      </w:r>
    </w:p>
    <w:p>
      <w:pPr>
        <w:spacing w:after="0" w:line="181" w:lineRule="exact"/>
        <w:rPr>
          <w:rFonts w:ascii="Arial" w:cs="Arial" w:eastAsia="Arial" w:hAnsi="Arial"/>
          <w:sz w:val="17"/>
          <w:szCs w:val="17"/>
          <w:color w:val="auto"/>
        </w:rPr>
      </w:pPr>
    </w:p>
    <w:p>
      <w:pPr>
        <w:ind w:left="120" w:right="480" w:firstLine="987"/>
        <w:spacing w:after="0" w:line="277" w:lineRule="auto"/>
        <w:tabs>
          <w:tab w:leader="none" w:pos="1356" w:val="left"/>
        </w:tabs>
        <w:numPr>
          <w:ilvl w:val="1"/>
          <w:numId w:val="470"/>
        </w:numPr>
        <w:rPr>
          <w:rFonts w:ascii="Arial" w:cs="Arial" w:eastAsia="Arial" w:hAnsi="Arial"/>
          <w:sz w:val="18"/>
          <w:szCs w:val="18"/>
          <w:color w:val="auto"/>
        </w:rPr>
      </w:pPr>
      <w:r>
        <w:rPr>
          <w:rFonts w:ascii="Arial" w:cs="Arial" w:eastAsia="Arial" w:hAnsi="Arial"/>
          <w:sz w:val="18"/>
          <w:szCs w:val="18"/>
          <w:color w:val="auto"/>
        </w:rPr>
        <w:t>when such meeting is held, appear at such meeting or otherwise cause the Stockholder’s Covered Shares to be counted as present thereat for the purpose of establishing a quorum;</w:t>
      </w:r>
    </w:p>
    <w:p>
      <w:pPr>
        <w:spacing w:after="0" w:line="170" w:lineRule="exact"/>
        <w:rPr>
          <w:rFonts w:ascii="Arial" w:cs="Arial" w:eastAsia="Arial" w:hAnsi="Arial"/>
          <w:sz w:val="18"/>
          <w:szCs w:val="18"/>
          <w:color w:val="auto"/>
        </w:rPr>
      </w:pPr>
    </w:p>
    <w:p>
      <w:pPr>
        <w:jc w:val="both"/>
        <w:ind w:left="120" w:right="60" w:firstLine="987"/>
        <w:spacing w:after="0" w:line="259" w:lineRule="auto"/>
        <w:tabs>
          <w:tab w:leader="none" w:pos="1366" w:val="left"/>
        </w:tabs>
        <w:numPr>
          <w:ilvl w:val="1"/>
          <w:numId w:val="470"/>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such meeting (or validly execute and return and cause such consent to be granted with respect to), all of such Stockholder’s Covered Shares owned as of the record date for such meeting (or the date that any written consent is executed by such Stockholder) in favor of the Transactions and the adoption of the Merger Agreement and any other matters necessary or reasonably requested by the Company for consummation of the Transactions;</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356"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in any other circumstances upon which a consent or other approval is required under the Company’s Governing Documents or the Investment Agreements or otherwise sought with respect to the Merger Agreement or the Transactions, including adopting and approving the Pre-Closing Restructuring Plan and the transactions contemplated thereby, vote, consent or approve (or cause to be voted, consented or approved) all of such Stockholder’s Covered Shares held at such time in favor thereof;</w:t>
      </w:r>
    </w:p>
    <w:p>
      <w:pPr>
        <w:spacing w:after="0" w:line="186" w:lineRule="exact"/>
        <w:rPr>
          <w:rFonts w:ascii="Arial" w:cs="Arial" w:eastAsia="Arial" w:hAnsi="Arial"/>
          <w:sz w:val="18"/>
          <w:szCs w:val="18"/>
          <w:color w:val="auto"/>
        </w:rPr>
      </w:pPr>
    </w:p>
    <w:p>
      <w:pPr>
        <w:ind w:left="120" w:right="40" w:firstLine="987"/>
        <w:spacing w:after="0" w:line="254" w:lineRule="auto"/>
        <w:tabs>
          <w:tab w:leader="none" w:pos="1366" w:val="left"/>
        </w:tabs>
        <w:numPr>
          <w:ilvl w:val="1"/>
          <w:numId w:val="470"/>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such meeting (or validly execute and return and cause such consent to be granted with respect to), all of such Stockholder’s Covered Shares against (i) any Business Combination Proposal or any proposal relating to a Business Combination Proposal (in each case, other than the Transactions); (ii) any merger agreement or merger (other than the Merger Agreement and the Mergers), consolidation, combination, sale of substantial assets, reorganization, recapitalization, dissolution, liquidation or winding up of or by the Company; and (iii) against any proposal, action or agreement that would (A) impede, frustrate, prevent or nullify any provision of this Agreement, the Merger Agreement or any Merger, (B) result in a breach in any respect of any covenant, representation, warranty or any other obligation or agreement of the Company under the Merger Agreement or (C) result in any of the conditions set forth in Section 10.02 of the Merger Agreement not being fulfilled.</w:t>
      </w:r>
    </w:p>
    <w:p>
      <w:pPr>
        <w:spacing w:after="0" w:line="192"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The obligations of each Stockholder specified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apply whether or not the Transactions are recommended by the Board of Directors of the Company or the Board of Directors of the Company has previously recommended the Transactions but changed such recommendation.</w:t>
      </w:r>
    </w:p>
    <w:p>
      <w:pPr>
        <w:spacing w:after="0" w:line="124" w:lineRule="exact"/>
        <w:rPr>
          <w:sz w:val="20"/>
          <w:szCs w:val="20"/>
          <w:color w:val="auto"/>
        </w:rPr>
      </w:pPr>
    </w:p>
    <w:p>
      <w:pPr>
        <w:ind w:left="120" w:right="60" w:firstLine="436"/>
        <w:spacing w:after="0" w:line="277" w:lineRule="auto"/>
        <w:tabs>
          <w:tab w:leader="none" w:pos="740"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Each Stockholder hereby covenants and agrees that such Stockholder shall not (i) enter into any voting agreement or voting trust with respect to any of such Stockholder’s Covered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20"/>
          </w:cols>
          <w:pgMar w:left="320" w:top="459" w:right="45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that is inconsistent with such Stockholder’s obligations pursuant to this Agreement, (ii) grant a proxy or power of attorney with respect to any of such Stockholder’s Covered Shares that is inconsistent with such Stockholder’s obligations pursuant to this Agreement, or (iii) enter into any agreement or undertaking that is otherwise inconsistent with, or would interfere with, or prohibit or prevent it from satisfying, its obligations pursuant to this Agreement.</w:t>
      </w:r>
    </w:p>
    <w:p>
      <w:pPr>
        <w:spacing w:after="0" w:line="187" w:lineRule="exact"/>
        <w:rPr>
          <w:sz w:val="20"/>
          <w:szCs w:val="20"/>
          <w:color w:val="auto"/>
        </w:rPr>
      </w:pPr>
    </w:p>
    <w:p>
      <w:pPr>
        <w:ind w:left="120" w:right="120" w:firstLine="436"/>
        <w:spacing w:after="0" w:line="296" w:lineRule="auto"/>
        <w:tabs>
          <w:tab w:leader="none" w:pos="740" w:val="left"/>
        </w:tabs>
        <w:numPr>
          <w:ilvl w:val="0"/>
          <w:numId w:val="47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upon the earliest of (i) the First Effective Time, (ii) the termination of the Merger Agreement in accordance with its terms, and (iii) the time this Agreement is terminated upon the mutual written agreement of the Company, Acquiror and the Stockholder (the earliest such date under clause (i), (ii) and (iii) being referred to herein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and the representations, warranties, covenants and agreements contained in this Agreement and in any certificate or other writing delivered pursuant hereto shall not survive the Closing or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Sections 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shall survive the termination of this Agreement.</w:t>
      </w:r>
    </w:p>
    <w:p>
      <w:pPr>
        <w:spacing w:after="0" w:line="161" w:lineRule="exact"/>
        <w:rPr>
          <w:rFonts w:ascii="Arial" w:cs="Arial" w:eastAsia="Arial" w:hAnsi="Arial"/>
          <w:sz w:val="16"/>
          <w:szCs w:val="16"/>
          <w:color w:val="auto"/>
        </w:rPr>
      </w:pPr>
    </w:p>
    <w:p>
      <w:pPr>
        <w:ind w:left="120" w:right="380" w:firstLine="436"/>
        <w:spacing w:after="0" w:line="277" w:lineRule="auto"/>
        <w:tabs>
          <w:tab w:leader="none" w:pos="740"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Stockholders</w:t>
      </w:r>
      <w:r>
        <w:rPr>
          <w:rFonts w:ascii="Arial" w:cs="Arial" w:eastAsia="Arial" w:hAnsi="Arial"/>
          <w:sz w:val="18"/>
          <w:szCs w:val="18"/>
          <w:color w:val="auto"/>
        </w:rPr>
        <w:t>. Each Stockholder hereby represents and warrants (severally and not jointly as to itself only) to the Acquiror as follows:</w:t>
      </w:r>
    </w:p>
    <w:p>
      <w:pPr>
        <w:spacing w:after="0" w:line="170" w:lineRule="exact"/>
        <w:rPr>
          <w:rFonts w:ascii="Arial" w:cs="Arial" w:eastAsia="Arial" w:hAnsi="Arial"/>
          <w:sz w:val="18"/>
          <w:szCs w:val="18"/>
          <w:color w:val="auto"/>
        </w:rPr>
      </w:pPr>
    </w:p>
    <w:p>
      <w:pPr>
        <w:ind w:left="120" w:firstLine="987"/>
        <w:spacing w:after="0" w:line="296" w:lineRule="auto"/>
        <w:tabs>
          <w:tab w:leader="none" w:pos="1356" w:val="left"/>
        </w:tabs>
        <w:numPr>
          <w:ilvl w:val="1"/>
          <w:numId w:val="472"/>
        </w:numPr>
        <w:rPr>
          <w:rFonts w:ascii="Arial" w:cs="Arial" w:eastAsia="Arial" w:hAnsi="Arial"/>
          <w:sz w:val="16"/>
          <w:szCs w:val="16"/>
          <w:color w:val="auto"/>
        </w:rPr>
      </w:pPr>
      <w:r>
        <w:rPr>
          <w:rFonts w:ascii="Arial" w:cs="Arial" w:eastAsia="Arial" w:hAnsi="Arial"/>
          <w:sz w:val="16"/>
          <w:szCs w:val="16"/>
          <w:color w:val="auto"/>
        </w:rPr>
        <w:t>Such Stockholder is the sole record owner and beneficial owner (within the meaning of Rule 13d-3 under the Exchange Act) of, and has good, valid and marketable title to or has a valid proxy to vote, such Stockholder’s Covered Shares, free and clear of any Liens (other than as created by this Agreement or the organizational documents of the Company (including, for the purposes hereof, any agreements between or among stockholders of the Company)). As of the date hereof, other than the Owned Shares set forth opposite such Stockholder’s name on Schedule 1, such Stockholder does not own beneficially or of record any shares of Company Stock (or any securities convertible into shares of Company Stock) or any interest therein.</w:t>
      </w:r>
    </w:p>
    <w:p>
      <w:pPr>
        <w:spacing w:after="0" w:line="161" w:lineRule="exact"/>
        <w:rPr>
          <w:rFonts w:ascii="Arial" w:cs="Arial" w:eastAsia="Arial" w:hAnsi="Arial"/>
          <w:sz w:val="16"/>
          <w:szCs w:val="16"/>
          <w:color w:val="auto"/>
        </w:rPr>
      </w:pPr>
    </w:p>
    <w:p>
      <w:pPr>
        <w:ind w:left="120" w:firstLine="987"/>
        <w:spacing w:after="0" w:line="270" w:lineRule="auto"/>
        <w:tabs>
          <w:tab w:leader="none" w:pos="1366" w:val="left"/>
        </w:tabs>
        <w:numPr>
          <w:ilvl w:val="1"/>
          <w:numId w:val="472"/>
        </w:numPr>
        <w:rPr>
          <w:rFonts w:ascii="Arial" w:cs="Arial" w:eastAsia="Arial" w:hAnsi="Arial"/>
          <w:sz w:val="17"/>
          <w:szCs w:val="17"/>
          <w:color w:val="auto"/>
        </w:rPr>
      </w:pPr>
      <w:r>
        <w:rPr>
          <w:rFonts w:ascii="Arial" w:cs="Arial" w:eastAsia="Arial" w:hAnsi="Arial"/>
          <w:sz w:val="17"/>
          <w:szCs w:val="17"/>
          <w:color w:val="auto"/>
        </w:rPr>
        <w:t>Such Stockholder in each case except as provided in this Agreement, the Investment Agreements or the Governing Documents of the Company, (i) has full voting power, full power of disposition and full power to issue instructions with respect to the matters set forth herein whether by ownership or by proxy, in each case, with respect to such Stockholder’s Covered Shares, (ii) has not entered into any voting agreement or voting trust, and has no knowledge and is not aware of any such voting agreement or voting trust in effect with respect to any of such Stockholder’s Covered Shares that is inconsistent with such Stockholder’s obligations pursuant to this Agreement, (iii) has not granted a proxy or power of attorney with respect to any of such Stockholder’s Covered Shares that is inconsistent with such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180" w:lineRule="exact"/>
        <w:rPr>
          <w:rFonts w:ascii="Arial" w:cs="Arial" w:eastAsia="Arial" w:hAnsi="Arial"/>
          <w:sz w:val="17"/>
          <w:szCs w:val="17"/>
          <w:color w:val="auto"/>
        </w:rPr>
      </w:pPr>
    </w:p>
    <w:p>
      <w:pPr>
        <w:ind w:left="120" w:right="20" w:firstLine="987"/>
        <w:spacing w:after="0" w:line="289" w:lineRule="auto"/>
        <w:tabs>
          <w:tab w:leader="none" w:pos="1356" w:val="left"/>
        </w:tabs>
        <w:numPr>
          <w:ilvl w:val="1"/>
          <w:numId w:val="472"/>
        </w:numPr>
        <w:rPr>
          <w:rFonts w:ascii="Arial" w:cs="Arial" w:eastAsia="Arial" w:hAnsi="Arial"/>
          <w:sz w:val="16"/>
          <w:szCs w:val="16"/>
          <w:color w:val="auto"/>
        </w:rPr>
      </w:pPr>
      <w:r>
        <w:rPr>
          <w:rFonts w:ascii="Arial" w:cs="Arial" w:eastAsia="Arial" w:hAnsi="Arial"/>
          <w:sz w:val="16"/>
          <w:szCs w:val="16"/>
          <w:color w:val="auto"/>
        </w:rPr>
        <w:t>Such Stockholder affirms that (i) if the Stockholder is a natural person, he or she has all the requisite power and authority and has taken all action necessary in order to execute and deliver this Agreement, to perform his or her obligations hereunder and to consummate the transactions contemplated hereby, and (ii) if the Stockholder is not a natural person, (A) is a legal entity duly organized, validly existing and, to the extent such concept is applicable, in good standing under the Laws of the jurisdiction of its organization, and (B)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such Stockholder and, subject to the due execution and delivery of this Agreement by each other Party, constitutes a legally valid and binding agreement of such Stockholder enforceable against the Stockholder in accordance with the terms hereof (except as enforceability may be limited by bankruptcy Laws or other similar Laws affecting creditors’ rights and general principles of equity affecting the availability of specific performance and other equitable remedies).</w:t>
      </w:r>
    </w:p>
    <w:p>
      <w:pPr>
        <w:spacing w:after="0" w:line="166" w:lineRule="exact"/>
        <w:rPr>
          <w:rFonts w:ascii="Arial" w:cs="Arial" w:eastAsia="Arial" w:hAnsi="Arial"/>
          <w:sz w:val="16"/>
          <w:szCs w:val="16"/>
          <w:color w:val="auto"/>
        </w:rPr>
      </w:pPr>
    </w:p>
    <w:p>
      <w:pPr>
        <w:ind w:left="120" w:right="180" w:firstLine="987"/>
        <w:spacing w:after="0" w:line="277" w:lineRule="auto"/>
        <w:tabs>
          <w:tab w:leader="none" w:pos="136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Other than the filings, notices and reports pursuant to, in compliance with or required to be made under the Exchange Act, no filings, notices, reports, consents, registrations, approvals, permits, waivers,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320" w:top="459" w:right="4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expirations of waiting periods or authorizations are required to be obtained by such Stockholder from, or to be given by such Stockholder to, or be made by such Stockholder with, any Governmental Authority in connection with the execution, delivery and performance by such Stockholder of this Agreement, the consummation of the transactions contemplated hereby or the Transactions.</w:t>
      </w:r>
    </w:p>
    <w:p>
      <w:pPr>
        <w:spacing w:after="0" w:line="184" w:lineRule="exact"/>
        <w:rPr>
          <w:sz w:val="20"/>
          <w:szCs w:val="20"/>
          <w:color w:val="auto"/>
        </w:rPr>
      </w:pPr>
    </w:p>
    <w:p>
      <w:pPr>
        <w:ind w:left="120" w:right="40" w:firstLine="987"/>
        <w:spacing w:after="0" w:line="288" w:lineRule="auto"/>
        <w:tabs>
          <w:tab w:leader="none" w:pos="135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of this Agreement by such Stockholder does not, and the consummation of the transactions contemplated hereby and the Transactions will not, constitute or result in (i) a breach or violation of, or a default under, the Governing Documents of such Stockholder (if such Stockholder is not a natural person),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such Stockholder pursuant to any Contract binding upon such Stockholder or, assuming (solely with respect to performance of this Agreement and the transactions contemplated hereby), compliance with the matters referred to in </w:t>
      </w:r>
      <w:r>
        <w:rPr>
          <w:rFonts w:ascii="Arial" w:cs="Arial" w:eastAsia="Arial" w:hAnsi="Arial"/>
          <w:sz w:val="16"/>
          <w:szCs w:val="16"/>
          <w:u w:val="single" w:color="auto"/>
          <w:color w:val="auto"/>
        </w:rPr>
        <w:t>Section 4(d)</w:t>
      </w:r>
      <w:r>
        <w:rPr>
          <w:rFonts w:ascii="Arial" w:cs="Arial" w:eastAsia="Arial" w:hAnsi="Arial"/>
          <w:sz w:val="16"/>
          <w:szCs w:val="16"/>
          <w:color w:val="auto"/>
        </w:rPr>
        <w:t>, under any applicable Law to which such Stockholder is subject or (iii) any change in the rights or obligations of any party under any Contract legally binding upon such Stockholder, except, in the case of clause (ii) or (iii) directly above, for any such breach, violation, termination, default, creation, acceleration or change that would not, individually or in the aggregate, reasonably be expected to prevent or materially delay or impair such Stockholder’s ability to perform its obligations hereunder or to consummate the transactions contemplated hereby or the Transactions.</w:t>
      </w:r>
    </w:p>
    <w:p>
      <w:pPr>
        <w:spacing w:after="0" w:line="168" w:lineRule="exact"/>
        <w:rPr>
          <w:rFonts w:ascii="Arial" w:cs="Arial" w:eastAsia="Arial" w:hAnsi="Arial"/>
          <w:sz w:val="16"/>
          <w:szCs w:val="16"/>
          <w:color w:val="auto"/>
        </w:rPr>
      </w:pPr>
    </w:p>
    <w:p>
      <w:pPr>
        <w:jc w:val="both"/>
        <w:ind w:left="120" w:right="280" w:firstLine="987"/>
        <w:spacing w:after="0" w:line="259" w:lineRule="auto"/>
        <w:tabs>
          <w:tab w:leader="none" w:pos="133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As of the date of this Agreement, there is no Action pending against such Stockholder or, to the knowledge of such Stockholder, threatened against such Stockholder that, in any manner, questions the beneficial or record ownership of the Stockholder’s Covered Shares or the validity of this Agreement, or challenges or seeks to prevent, enjoin or materially delay the performance by such Stockholder of its obligations under this Agreement.</w:t>
      </w:r>
    </w:p>
    <w:p>
      <w:pPr>
        <w:spacing w:after="0" w:line="186" w:lineRule="exact"/>
        <w:rPr>
          <w:rFonts w:ascii="Arial" w:cs="Arial" w:eastAsia="Arial" w:hAnsi="Arial"/>
          <w:sz w:val="18"/>
          <w:szCs w:val="18"/>
          <w:color w:val="auto"/>
        </w:rPr>
      </w:pPr>
    </w:p>
    <w:p>
      <w:pPr>
        <w:ind w:left="120" w:firstLine="987"/>
        <w:spacing w:after="0" w:line="255" w:lineRule="auto"/>
        <w:tabs>
          <w:tab w:leader="none" w:pos="136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Stockholder is a sophisticated stockholder and has adequate information concerning the business and financial condition of Acquiror and the Company to make an informed decision regarding this Agreement and the Transactions and has independently and based on such information as the Stockholder has deemed appropriate, made its own analysis and decision to enter into this Agreement. The Stockholder acknowledges that Acquiror and the Company have not made and do not make any representation or warranty, whether express or implied, of any kind or character except as expressly set forth in this Agreement. The Stockholder acknowledges that the agreements contained herein with respect to the Covered Shares held by the Stockholder are irrevocable.</w:t>
      </w:r>
    </w:p>
    <w:p>
      <w:pPr>
        <w:spacing w:after="0" w:line="192" w:lineRule="exact"/>
        <w:rPr>
          <w:rFonts w:ascii="Arial" w:cs="Arial" w:eastAsia="Arial" w:hAnsi="Arial"/>
          <w:sz w:val="18"/>
          <w:szCs w:val="18"/>
          <w:color w:val="auto"/>
        </w:rPr>
      </w:pPr>
    </w:p>
    <w:p>
      <w:pPr>
        <w:ind w:left="120" w:right="560" w:firstLine="987"/>
        <w:spacing w:after="0" w:line="263" w:lineRule="auto"/>
        <w:tabs>
          <w:tab w:leader="none" w:pos="136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Such Stockholder understands and acknowledges that Acquiror is entering into the Merger Agreement in reliance upon such Stockholder’s execution and delivery of this Agreement and the representations, warranties, covenants and other agreements of such Stockholder contained herein.</w:t>
      </w:r>
    </w:p>
    <w:p>
      <w:pPr>
        <w:spacing w:after="0" w:line="183" w:lineRule="exact"/>
        <w:rPr>
          <w:rFonts w:ascii="Arial" w:cs="Arial" w:eastAsia="Arial" w:hAnsi="Arial"/>
          <w:sz w:val="18"/>
          <w:szCs w:val="18"/>
          <w:color w:val="auto"/>
        </w:rPr>
      </w:pPr>
    </w:p>
    <w:p>
      <w:pPr>
        <w:ind w:left="120" w:firstLine="987"/>
        <w:spacing w:after="0" w:line="279" w:lineRule="auto"/>
        <w:tabs>
          <w:tab w:leader="none" w:pos="1326" w:val="left"/>
        </w:tabs>
        <w:numPr>
          <w:ilvl w:val="1"/>
          <w:numId w:val="473"/>
        </w:numPr>
        <w:rPr>
          <w:rFonts w:ascii="Arial" w:cs="Arial" w:eastAsia="Arial" w:hAnsi="Arial"/>
          <w:sz w:val="17"/>
          <w:szCs w:val="17"/>
          <w:color w:val="auto"/>
        </w:rPr>
      </w:pPr>
      <w:r>
        <w:rPr>
          <w:rFonts w:ascii="Arial" w:cs="Arial" w:eastAsia="Arial" w:hAnsi="Arial"/>
          <w:sz w:val="17"/>
          <w:szCs w:val="17"/>
          <w:color w:val="auto"/>
        </w:rPr>
        <w:t>No investment banker, broker, finder or other intermediary is entitled to any broker’s, finder’s, financial advisor’s or other similar fee or commission for which Acquiror or the Company is or could be liable in connection with the Merger Agreement or this Agreement or any of the respective transactions contemplated hereby or thereby, in each case based upon arrangements made by such Stockholder in his, her or its capacity as a stockholder or, to the knowledge of such Stockholder, on behalf of such Stockholder in his, her or its capacity as a stockholder.</w:t>
      </w:r>
    </w:p>
    <w:p>
      <w:pPr>
        <w:spacing w:after="0" w:line="171" w:lineRule="exact"/>
        <w:rPr>
          <w:rFonts w:ascii="Arial" w:cs="Arial" w:eastAsia="Arial" w:hAnsi="Arial"/>
          <w:sz w:val="17"/>
          <w:szCs w:val="17"/>
          <w:color w:val="auto"/>
        </w:rPr>
      </w:pPr>
    </w:p>
    <w:p>
      <w:pPr>
        <w:ind w:left="120" w:right="120" w:firstLine="436"/>
        <w:spacing w:after="0" w:line="277" w:lineRule="auto"/>
        <w:tabs>
          <w:tab w:leader="none" w:pos="7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Stockholders</w:t>
      </w:r>
      <w:r>
        <w:rPr>
          <w:rFonts w:ascii="Arial" w:cs="Arial" w:eastAsia="Arial" w:hAnsi="Arial"/>
          <w:sz w:val="18"/>
          <w:szCs w:val="18"/>
          <w:color w:val="auto"/>
        </w:rPr>
        <w:t>. Except in accordance with the terms of this Agreement, each Stockholder hereby covenants and agrees as follows:</w:t>
      </w:r>
    </w:p>
    <w:p>
      <w:pPr>
        <w:spacing w:after="0" w:line="170" w:lineRule="exact"/>
        <w:rPr>
          <w:rFonts w:ascii="Arial" w:cs="Arial" w:eastAsia="Arial" w:hAnsi="Arial"/>
          <w:sz w:val="18"/>
          <w:szCs w:val="18"/>
          <w:color w:val="auto"/>
        </w:rPr>
      </w:pPr>
    </w:p>
    <w:p>
      <w:pPr>
        <w:ind w:left="120" w:right="60" w:firstLine="987"/>
        <w:spacing w:after="0" w:line="263" w:lineRule="auto"/>
        <w:tabs>
          <w:tab w:leader="none" w:pos="1356" w:val="left"/>
        </w:tabs>
        <w:numPr>
          <w:ilvl w:val="1"/>
          <w:numId w:val="474"/>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prior to the Termination Date, the Stockholder shall not take, and, to the extent applicable, shall direct its Affiliates and Representatives not to take, whether directly or indirectly, any action to (i) solicit, initiate, continue or engage in discussions or negotiations with, or enter into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20"/>
          </w:cols>
          <w:pgMar w:left="320" w:top="459" w:right="45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any agreement with, or knowingly encourage, respond to, or provide information to, any Person (other than Acquiror, the Company and/or any of their respective Affiliates or Representatives) concerning any Acquisition Transaction, (ii) commence, continue or renew any due diligence investigation regarding, or that is reasonably likely to give rise to or result in, any offer, inquiry, proposal or indication of interest, written or oral, with respect to, or which is reasonably likely to give rise to or result in, an Acquisition Transaction, (iii) solicit, initiate, continue or engage in discussions or negotiations with, or enter into any agreement with, or encourage, respond to, provide information to or commence due diligence with respect to, any Person (other than Acquiror, the Company and/or any of their respective Affiliates or Representatives) concerning, relating to or which is intended or is reasonably likely to give rise to or result in, any Business Combination Proposal other than with Acquiror, the Company and their respective Affiliates and Representatives; provided, that, in the case of clauses (ii) and (iii), the execution, delivery and performance of this Agreement and the transactions contemplated hereby shall not be deemed a violation of this Section 5(a). Such Stockholder shall, and shall direct its Representatives to, immediately cease any and all existing discussions or negotiations with any Person conducted prior to the date hereof with respect to, or which is reasonably likely to give rise to or result in, an Acquisition Proposal or a Business Combination Proposal.</w:t>
      </w:r>
    </w:p>
    <w:p>
      <w:pPr>
        <w:spacing w:after="0" w:line="18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Notwithstanding anything in this Agreement to the contrary, (i) such Stockholder shall not be responsible for the actions of the Company or the Board of Directors of the Company (or any committee thereof), any subsidiary of the Company, or any officers, directors (in their capacity as such), employees and professional advisors of any of the foregoing (collectively, the “</w:t>
      </w:r>
      <w:r>
        <w:rPr>
          <w:rFonts w:ascii="Arial" w:cs="Arial" w:eastAsia="Arial" w:hAnsi="Arial"/>
          <w:sz w:val="17"/>
          <w:szCs w:val="17"/>
          <w:u w:val="single" w:color="auto"/>
          <w:color w:val="auto"/>
        </w:rPr>
        <w:t>Company Related Parties</w:t>
      </w:r>
      <w:r>
        <w:rPr>
          <w:rFonts w:ascii="Arial" w:cs="Arial" w:eastAsia="Arial" w:hAnsi="Arial"/>
          <w:sz w:val="17"/>
          <w:szCs w:val="17"/>
          <w:color w:val="auto"/>
        </w:rPr>
        <w:t xml:space="preserve">”), (ii) such Stockholder makes no representations or warranties with respect to the actions of any of the Company Related Parties, and (iii) any breach by the Company of its obligations under Section 9.03 of the Merger Agreement shall not be considered a breach of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(it being understood that, for the avoidance of doubt, such Stockholder or his, her or its Representatives (other than any such Representative that is a Company Related Party) shall remain responsible for any breach by such Stockholder or his, her or its Representatives of this </w:t>
      </w:r>
      <w:r>
        <w:rPr>
          <w:rFonts w:ascii="Arial" w:cs="Arial" w:eastAsia="Arial" w:hAnsi="Arial"/>
          <w:sz w:val="17"/>
          <w:szCs w:val="17"/>
          <w:u w:val="single" w:color="auto"/>
          <w:color w:val="auto"/>
        </w:rPr>
        <w:t>Section 5(a)</w:t>
      </w:r>
      <w:r>
        <w:rPr>
          <w:rFonts w:ascii="Arial" w:cs="Arial" w:eastAsia="Arial" w:hAnsi="Arial"/>
          <w:sz w:val="17"/>
          <w:szCs w:val="17"/>
          <w:color w:val="auto"/>
        </w:rPr>
        <w:t>).</w:t>
      </w:r>
    </w:p>
    <w:p>
      <w:pPr>
        <w:spacing w:after="0" w:line="177" w:lineRule="exact"/>
        <w:rPr>
          <w:sz w:val="20"/>
          <w:szCs w:val="20"/>
          <w:color w:val="auto"/>
        </w:rPr>
      </w:pPr>
    </w:p>
    <w:p>
      <w:pPr>
        <w:ind w:left="120" w:right="40" w:firstLine="436"/>
        <w:spacing w:after="0" w:line="287" w:lineRule="auto"/>
        <w:tabs>
          <w:tab w:leader="none" w:pos="815" w:val="left"/>
        </w:tabs>
        <w:numPr>
          <w:ilvl w:val="0"/>
          <w:numId w:val="475"/>
        </w:numPr>
        <w:rPr>
          <w:rFonts w:ascii="Arial" w:cs="Arial" w:eastAsia="Arial" w:hAnsi="Arial"/>
          <w:sz w:val="16"/>
          <w:szCs w:val="16"/>
          <w:color w:val="auto"/>
        </w:rPr>
      </w:pPr>
      <w:r>
        <w:rPr>
          <w:rFonts w:ascii="Arial" w:cs="Arial" w:eastAsia="Arial" w:hAnsi="Arial"/>
          <w:sz w:val="16"/>
          <w:szCs w:val="16"/>
          <w:color w:val="auto"/>
        </w:rPr>
        <w:t>Each Stockholder hereby agrees, prior to the Termination Date, not to (except in each case pursuant to the Merger Agreement), (i) directly or indirectly, (a) sell, transfer, pledge, encumber, assign, hedge, swap, convert or otherwise dispose of (including by merger (including by conversion into securities or other consideration), by tendering into any tender or exchange offer, by testamentary disposition, by operation of Law or otherwise), either voluntarily or involuntarily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or (b) enter into any Contract or option with respect to the Transfer of, any of such Stockholder’s Covered Shares, or (ii) publicly announce any intention to effect any transaction specified in clauses (a) or (b), or (iii) take any action that would make any representation or warranty of such Stockholder contained herein untrue or incorrect or have the effect of preventing or disabling such Stockholder from performing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prohibit a Transfer to an Affiliate of the Stockholder or to another Stockholder of the Company that is a party to this Agreement and bound by the terms and obligations hereof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Permitted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Transfer permitted under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relieve the Stockholder of its obligations under this Agreement. Any Transfer in violation of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with respect to the Stockholder’s Covered Shares shall be null and void.</w:t>
      </w:r>
    </w:p>
    <w:p>
      <w:pPr>
        <w:spacing w:after="0" w:line="167" w:lineRule="exact"/>
        <w:rPr>
          <w:rFonts w:ascii="Arial" w:cs="Arial" w:eastAsia="Arial" w:hAnsi="Arial"/>
          <w:sz w:val="16"/>
          <w:szCs w:val="16"/>
          <w:color w:val="auto"/>
        </w:rPr>
      </w:pPr>
    </w:p>
    <w:p>
      <w:pPr>
        <w:ind w:left="120" w:right="140" w:firstLine="987"/>
        <w:spacing w:after="0" w:line="277" w:lineRule="auto"/>
        <w:tabs>
          <w:tab w:leader="none" w:pos="135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Each Stockholder hereby authorizes the Company to maintain a copy of this Agreement at either the executive office or the registered office of the Company.</w:t>
      </w:r>
    </w:p>
    <w:p>
      <w:pPr>
        <w:spacing w:after="0" w:line="170" w:lineRule="exact"/>
        <w:rPr>
          <w:rFonts w:ascii="Arial" w:cs="Arial" w:eastAsia="Arial" w:hAnsi="Arial"/>
          <w:sz w:val="18"/>
          <w:szCs w:val="18"/>
          <w:color w:val="auto"/>
        </w:rPr>
      </w:pPr>
    </w:p>
    <w:p>
      <w:pPr>
        <w:jc w:val="both"/>
        <w:ind w:left="120" w:firstLine="987"/>
        <w:spacing w:after="0" w:line="259" w:lineRule="auto"/>
        <w:tabs>
          <w:tab w:leader="none" w:pos="1366"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Binding Effect of Merger Agreement</w:t>
      </w:r>
      <w:r>
        <w:rPr>
          <w:rFonts w:ascii="Arial" w:cs="Arial" w:eastAsia="Arial" w:hAnsi="Arial"/>
          <w:sz w:val="18"/>
          <w:szCs w:val="18"/>
          <w:color w:val="auto"/>
        </w:rPr>
        <w:t xml:space="preserve">. Each Stockholder hereby acknowledges that it has read the Merger Agreement and this Company Holders Support Agreement and has had the opportunity to consult with its tax and legal advisors. Each Stockholder shall be bound by and comply with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 Publicity</w:t>
      </w:r>
      <w:r>
        <w:rPr>
          <w:rFonts w:ascii="Arial" w:cs="Arial" w:eastAsia="Arial" w:hAnsi="Arial"/>
          <w:sz w:val="18"/>
          <w:szCs w:val="18"/>
          <w:color w:val="auto"/>
        </w:rPr>
        <w:t>) of the Merger Agreement (and any relevant definitions contained in any such sections) as if such Stockholder was an original signatory to the Merger Agreement with respect to such provisions.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20"/>
          </w:cols>
          <w:pgMar w:left="320" w:top="459" w:right="45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987"/>
        <w:spacing w:after="0" w:line="263" w:lineRule="auto"/>
        <w:tabs>
          <w:tab w:leader="none" w:pos="1356" w:val="left"/>
        </w:tabs>
        <w:numPr>
          <w:ilvl w:val="2"/>
          <w:numId w:val="476"/>
        </w:numPr>
        <w:rPr>
          <w:rFonts w:ascii="Arial" w:cs="Arial" w:eastAsia="Arial" w:hAnsi="Arial"/>
          <w:sz w:val="18"/>
          <w:szCs w:val="18"/>
          <w:color w:val="auto"/>
        </w:rPr>
      </w:pP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On the Closing Date, each Stockholder that is requested by the Company to execute the Registration Rights Agreement shall deliver to Acquiror and the Company a duly executed copy of the Registration Rights Agreement, in substantially the form attached as Exhibit C to the Merger Agreement.</w:t>
      </w:r>
    </w:p>
    <w:p>
      <w:pPr>
        <w:spacing w:after="0" w:line="183" w:lineRule="exact"/>
        <w:rPr>
          <w:rFonts w:ascii="Arial" w:cs="Arial" w:eastAsia="Arial" w:hAnsi="Arial"/>
          <w:sz w:val="18"/>
          <w:szCs w:val="18"/>
          <w:color w:val="auto"/>
        </w:rPr>
      </w:pPr>
    </w:p>
    <w:p>
      <w:pPr>
        <w:ind w:left="120" w:right="20" w:firstLine="987"/>
        <w:spacing w:after="0" w:line="277" w:lineRule="auto"/>
        <w:tabs>
          <w:tab w:leader="none" w:pos="1336" w:val="left"/>
        </w:tabs>
        <w:numPr>
          <w:ilvl w:val="2"/>
          <w:numId w:val="476"/>
        </w:numPr>
        <w:rPr>
          <w:rFonts w:ascii="Arial" w:cs="Arial" w:eastAsia="Arial" w:hAnsi="Arial"/>
          <w:sz w:val="18"/>
          <w:szCs w:val="18"/>
          <w:color w:val="auto"/>
        </w:rPr>
      </w:pPr>
      <w:r>
        <w:rPr>
          <w:rFonts w:ascii="Arial" w:cs="Arial" w:eastAsia="Arial" w:hAnsi="Arial"/>
          <w:sz w:val="18"/>
          <w:szCs w:val="18"/>
          <w:u w:val="single" w:color="auto"/>
          <w:color w:val="auto"/>
        </w:rPr>
        <w:t>Drag-Along Rights</w:t>
      </w:r>
      <w:r>
        <w:rPr>
          <w:rFonts w:ascii="Arial" w:cs="Arial" w:eastAsia="Arial" w:hAnsi="Arial"/>
          <w:sz w:val="18"/>
          <w:szCs w:val="18"/>
          <w:color w:val="auto"/>
        </w:rPr>
        <w:t>. Each Stockholder shall take, or cause to be taken, all actions, and cooperate with other parties, to exercise the drag-along rights set forth in Section 3 of the Voting Agreement with respect to the Mergers.</w:t>
      </w:r>
    </w:p>
    <w:p>
      <w:pPr>
        <w:spacing w:after="0" w:line="170" w:lineRule="exact"/>
        <w:rPr>
          <w:rFonts w:ascii="Arial" w:cs="Arial" w:eastAsia="Arial" w:hAnsi="Arial"/>
          <w:sz w:val="18"/>
          <w:szCs w:val="18"/>
          <w:color w:val="auto"/>
        </w:rPr>
      </w:pPr>
    </w:p>
    <w:p>
      <w:pPr>
        <w:ind w:left="120" w:right="20" w:firstLine="987"/>
        <w:spacing w:after="0" w:line="254" w:lineRule="auto"/>
        <w:tabs>
          <w:tab w:leader="none" w:pos="1366" w:val="left"/>
        </w:tabs>
        <w:numPr>
          <w:ilvl w:val="2"/>
          <w:numId w:val="476"/>
        </w:numPr>
        <w:rPr>
          <w:rFonts w:ascii="Arial" w:cs="Arial" w:eastAsia="Arial" w:hAnsi="Arial"/>
          <w:sz w:val="18"/>
          <w:szCs w:val="18"/>
          <w:color w:val="auto"/>
        </w:rPr>
      </w:pPr>
      <w:r>
        <w:rPr>
          <w:rFonts w:ascii="Arial" w:cs="Arial" w:eastAsia="Arial" w:hAnsi="Arial"/>
          <w:sz w:val="18"/>
          <w:szCs w:val="18"/>
          <w:u w:val="single" w:color="auto"/>
          <w:color w:val="auto"/>
        </w:rPr>
        <w:t>No Challenges</w:t>
      </w:r>
      <w:r>
        <w:rPr>
          <w:rFonts w:ascii="Arial" w:cs="Arial" w:eastAsia="Arial" w:hAnsi="Arial"/>
          <w:sz w:val="18"/>
          <w:szCs w:val="18"/>
          <w:color w:val="auto"/>
        </w:rPr>
        <w:t>. Each Stockholder agrees not to commence, join in, facilitate, assist or encourage, and agrees to take all actions necessary to opt out of any class in any class action with respect to, any claim, derivative or otherwise, against any of the Acquiror Parties, the Company or any of their respective successors or directors, challenging the validity of, or seeking to enjoin the operation of, any provision of this Agreement or alleging a breach of any fiduciary duty of any Person in connection with the evaluation, negotiation or entry into the Merger Agreement. Each stockholder hereby irrevocably and unconditionally waives, and agrees not to assert, exercise or perfect (or attempt to exercise, assert or perfect) any rights of appraisal or rights to dissent from the Mergers or quasi-appraisal rights that it may at any time have under applicable Laws, including Section 262 of the DGCL.</w:t>
      </w:r>
    </w:p>
    <w:p>
      <w:pPr>
        <w:spacing w:after="0" w:line="194" w:lineRule="exact"/>
        <w:rPr>
          <w:rFonts w:ascii="Arial" w:cs="Arial" w:eastAsia="Arial" w:hAnsi="Arial"/>
          <w:sz w:val="18"/>
          <w:szCs w:val="18"/>
          <w:color w:val="auto"/>
        </w:rPr>
      </w:pPr>
    </w:p>
    <w:p>
      <w:pPr>
        <w:ind w:left="120" w:right="40" w:firstLine="987"/>
        <w:spacing w:after="0" w:line="287" w:lineRule="auto"/>
        <w:tabs>
          <w:tab w:leader="none" w:pos="1366" w:val="left"/>
        </w:tabs>
        <w:numPr>
          <w:ilvl w:val="2"/>
          <w:numId w:val="476"/>
        </w:numPr>
        <w:rPr>
          <w:rFonts w:ascii="Arial" w:cs="Arial" w:eastAsia="Arial" w:hAnsi="Arial"/>
          <w:sz w:val="16"/>
          <w:szCs w:val="16"/>
          <w:color w:val="auto"/>
        </w:rPr>
      </w:pPr>
      <w:r>
        <w:rPr>
          <w:rFonts w:ascii="Arial" w:cs="Arial" w:eastAsia="Arial" w:hAnsi="Arial"/>
          <w:sz w:val="16"/>
          <w:szCs w:val="16"/>
          <w:u w:val="single" w:color="auto"/>
          <w:color w:val="auto"/>
        </w:rPr>
        <w:t>Termination of Stockholder Agreements</w:t>
      </w:r>
      <w:r>
        <w:rPr>
          <w:rFonts w:ascii="Arial" w:cs="Arial" w:eastAsia="Arial" w:hAnsi="Arial"/>
          <w:sz w:val="16"/>
          <w:szCs w:val="16"/>
          <w:color w:val="auto"/>
        </w:rPr>
        <w:t>. Each Stockholder, by this Agreement with respect to its Covered Shares, severally and not jointly, hereby agrees to terminate, subject to and effective immediately prior to the Closing, (a) all Contracts to which such Stockholder is party that are set forth on Section 5.25 of the Company Disclosure Letter, including the Investment Agreements (collectively, the “</w:t>
      </w:r>
      <w:r>
        <w:rPr>
          <w:rFonts w:ascii="Arial" w:cs="Arial" w:eastAsia="Arial" w:hAnsi="Arial"/>
          <w:sz w:val="16"/>
          <w:szCs w:val="16"/>
          <w:u w:val="single" w:color="auto"/>
          <w:color w:val="auto"/>
        </w:rPr>
        <w:t>Stockholder Agreements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120" w:right="40" w:hanging="4"/>
        <w:spacing w:after="0" w:line="251" w:lineRule="auto"/>
        <w:tabs>
          <w:tab w:leader="none" w:pos="37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rights under any letter or agreement providing for redemption rights, put rights, purchase rights or other similar rights not generally available to stockholders of the Company (clauses (a) and (b), collectively, the “</w:t>
      </w:r>
      <w:r>
        <w:rPr>
          <w:rFonts w:ascii="Arial" w:cs="Arial" w:eastAsia="Arial" w:hAnsi="Arial"/>
          <w:sz w:val="18"/>
          <w:szCs w:val="18"/>
          <w:u w:val="single" w:color="auto"/>
          <w:color w:val="auto"/>
        </w:rPr>
        <w:t>Terminating Rights</w:t>
      </w:r>
      <w:r>
        <w:rPr>
          <w:rFonts w:ascii="Arial" w:cs="Arial" w:eastAsia="Arial" w:hAnsi="Arial"/>
          <w:sz w:val="18"/>
          <w:szCs w:val="18"/>
          <w:color w:val="auto"/>
        </w:rPr>
        <w:t>”) between such Stockholder and the Company, but excluding, for the avoidance of doubt, (i) any rights such Company Stockholder may have that relate to any commercial or employment agreements or arrangements between such Company Stockholder and the Company or any Subsidiary thereof, which shall survive the Closing in accordance with their terms, and (ii) any indemnification, advancement of expenses and exculpation rights of any Company Stockholder or any of its Affiliates set forth in the foregoing documents, which shall survive the Closing in accordance with their terms. In connection with the foregoing, the Company hereby represents and warrants to the Acquiror that consent of the Company and the Stockholders represent the requisite consent required to terminate the Stockholder Agreements to which a Stockholder is party.</w:t>
      </w:r>
    </w:p>
    <w:p>
      <w:pPr>
        <w:spacing w:after="0" w:line="197" w:lineRule="exact"/>
        <w:rPr>
          <w:rFonts w:ascii="Arial" w:cs="Arial" w:eastAsia="Arial" w:hAnsi="Arial"/>
          <w:sz w:val="18"/>
          <w:szCs w:val="18"/>
          <w:color w:val="auto"/>
        </w:rPr>
      </w:pPr>
    </w:p>
    <w:p>
      <w:pPr>
        <w:ind w:left="120" w:firstLine="436"/>
        <w:spacing w:after="0" w:line="273" w:lineRule="auto"/>
        <w:tabs>
          <w:tab w:leader="none" w:pos="740"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at Acquiror’s request and without further consideration, each Stockholder shall execute and deliver such additional documents and take all such further action as may be reasonably necessary or reasonably requested to effect the actions and consummate the Transactions and the transactions contemplated hereby. Each Stockholder further agrees not to commence or participate in, and to take all actions necessary to opt out of any class in any class action with respect to, any action or claim, derivative or otherwise, against Acquiror, Acquiror’s Affiliates, the Sponsor, the Company or any of their respective successors and assigns relating to the negotiation, execution or delivery of this Agreement, the Merger Agreement or the consummation of the transactions contemplated hereby and thereby.</w:t>
      </w:r>
    </w:p>
    <w:p>
      <w:pPr>
        <w:spacing w:after="0" w:line="177" w:lineRule="exact"/>
        <w:rPr>
          <w:rFonts w:ascii="Arial" w:cs="Arial" w:eastAsia="Arial" w:hAnsi="Arial"/>
          <w:sz w:val="17"/>
          <w:szCs w:val="17"/>
          <w:color w:val="auto"/>
        </w:rPr>
      </w:pPr>
    </w:p>
    <w:p>
      <w:pPr>
        <w:ind w:left="120" w:right="40" w:firstLine="436"/>
        <w:spacing w:after="0" w:line="255" w:lineRule="auto"/>
        <w:tabs>
          <w:tab w:leader="none" w:pos="740" w:val="left"/>
        </w:tabs>
        <w:numPr>
          <w:ilvl w:val="1"/>
          <w:numId w:val="47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Such Stockholder hereby authorizes the Company and Acquiror to publish and disclose in any announcement or disclosure required by the SEC (or as otherwise required by any applicable Securities Laws or any other securities authorities) such Stockholder’s identity and ownership of the Covered Shares and the nature of such Stockholder’s obligations under this Agreement and, if deemed appropriate by Acquiror or the Company, a copy of this Agreement. Each Stockholder will promptly provide any information reasonably requested by Acquiror or the Company for any regulatory application or filing made or approval sought in connection with the transactions contemplated by the Merger Agreement (including filings with the SEC).</w:t>
      </w:r>
    </w:p>
    <w:p>
      <w:pPr>
        <w:spacing w:after="0" w:line="192" w:lineRule="exact"/>
        <w:rPr>
          <w:rFonts w:ascii="Arial" w:cs="Arial" w:eastAsia="Arial" w:hAnsi="Arial"/>
          <w:sz w:val="18"/>
          <w:szCs w:val="18"/>
          <w:color w:val="auto"/>
        </w:rPr>
      </w:pPr>
    </w:p>
    <w:p>
      <w:pPr>
        <w:ind w:left="120" w:right="360" w:firstLine="436"/>
        <w:spacing w:after="0" w:line="277" w:lineRule="auto"/>
        <w:tabs>
          <w:tab w:leader="none" w:pos="740" w:val="left"/>
        </w:tabs>
        <w:numPr>
          <w:ilvl w:val="1"/>
          <w:numId w:val="477"/>
        </w:numPr>
        <w:rPr>
          <w:rFonts w:ascii="Arial" w:cs="Arial" w:eastAsia="Arial" w:hAnsi="Arial"/>
          <w:sz w:val="18"/>
          <w:szCs w:val="18"/>
          <w:color w:val="auto"/>
        </w:rPr>
      </w:pPr>
      <w:r>
        <w:rPr>
          <w:rFonts w:ascii="Arial" w:cs="Arial" w:eastAsia="Arial" w:hAnsi="Arial"/>
          <w:sz w:val="18"/>
          <w:szCs w:val="18"/>
          <w:u w:val="single" w:color="auto"/>
          <w:color w:val="auto"/>
        </w:rPr>
        <w:t>Changes in Capital Stock</w:t>
      </w:r>
      <w:r>
        <w:rPr>
          <w:rFonts w:ascii="Arial" w:cs="Arial" w:eastAsia="Arial" w:hAnsi="Arial"/>
          <w:sz w:val="18"/>
          <w:szCs w:val="18"/>
          <w:color w:val="auto"/>
        </w:rPr>
        <w:t>. In the event (i) of a stock split, stock dividend or distribution, or any change in Company Stock by reason of any split-up, reverse stock split, recapitalization, combination, reclassification,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20"/>
          </w:cols>
          <w:pgMar w:left="320" w:top="459" w:right="45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exchange of shares or the like, (ii) the Stockholder purchases or otherwise acquires beneficial ownership of any Company Stock or (iii) the Stockholder acquires the right to vote or share in the voting of any Company Stock,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87" w:lineRule="exact"/>
        <w:rPr>
          <w:sz w:val="20"/>
          <w:szCs w:val="20"/>
          <w:color w:val="auto"/>
        </w:rPr>
      </w:pPr>
    </w:p>
    <w:p>
      <w:pPr>
        <w:ind w:left="120" w:right="100" w:firstLine="436"/>
        <w:spacing w:after="0" w:line="277" w:lineRule="auto"/>
        <w:tabs>
          <w:tab w:leader="none" w:pos="74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This Agreement may not be amended, modified or supplemented in any manner, whether by course of conduct or otherwise, except by an instrument in writing signed by Acquiror, the Company and the applicable Stockholder.</w:t>
      </w:r>
    </w:p>
    <w:p>
      <w:pPr>
        <w:spacing w:after="0" w:line="170" w:lineRule="exact"/>
        <w:rPr>
          <w:rFonts w:ascii="Arial" w:cs="Arial" w:eastAsia="Arial" w:hAnsi="Arial"/>
          <w:sz w:val="18"/>
          <w:szCs w:val="18"/>
          <w:color w:val="auto"/>
        </w:rPr>
      </w:pPr>
    </w:p>
    <w:p>
      <w:pPr>
        <w:ind w:left="120" w:right="340" w:firstLine="436"/>
        <w:spacing w:after="0" w:line="301" w:lineRule="auto"/>
        <w:tabs>
          <w:tab w:leader="none" w:pos="830" w:val="left"/>
        </w:tabs>
        <w:numPr>
          <w:ilvl w:val="0"/>
          <w:numId w:val="478"/>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failure or delay by any Party exercising any right, power or privilege hereunder shall operate as a waiver thereof nor shall any single or partial exercise thereof preclude any other or further exercise thereof or the exercise of any other right, power or privilege. The rights and remedies of the Parties hereunder are cumulative and are not exclusive of any rights or remedies which they would otherwise have hereunder. Any agreement on the part of a Party to any such waiver shall be valid only if set forth in a written instrument executed and delivered by such Party.</w:t>
      </w:r>
    </w:p>
    <w:p>
      <w:pPr>
        <w:spacing w:after="0" w:line="157" w:lineRule="exact"/>
        <w:rPr>
          <w:rFonts w:ascii="Arial" w:cs="Arial" w:eastAsia="Arial" w:hAnsi="Arial"/>
          <w:sz w:val="16"/>
          <w:szCs w:val="16"/>
          <w:color w:val="auto"/>
        </w:rPr>
      </w:pPr>
    </w:p>
    <w:p>
      <w:pPr>
        <w:ind w:left="120" w:right="20" w:firstLine="436"/>
        <w:spacing w:after="0" w:line="286" w:lineRule="auto"/>
        <w:tabs>
          <w:tab w:leader="none" w:pos="823"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hereunder shall be in writing and shall be deemed given if delivered personally, by email (with confirmation of receipt) or sent by a nationally recognized overnight courier service, such as Federal Express, to the Parties at the following addresses (or at such other address for a Party as shall be specified by like notice made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57" w:lineRule="exact"/>
        <w:rPr>
          <w:sz w:val="20"/>
          <w:szCs w:val="20"/>
          <w:color w:val="auto"/>
        </w:rPr>
      </w:pPr>
    </w:p>
    <w:p>
      <w:pPr>
        <w:ind w:left="1540" w:right="60"/>
        <w:spacing w:after="0" w:line="263" w:lineRule="auto"/>
        <w:rPr>
          <w:sz w:val="20"/>
          <w:szCs w:val="20"/>
          <w:color w:val="auto"/>
        </w:rPr>
      </w:pPr>
      <w:r>
        <w:rPr>
          <w:rFonts w:ascii="Arial" w:cs="Arial" w:eastAsia="Arial" w:hAnsi="Arial"/>
          <w:sz w:val="18"/>
          <w:szCs w:val="18"/>
          <w:color w:val="auto"/>
        </w:rPr>
        <w:t>if to the Stockholder, to the address or email address set forth opposite such Stockholder’s name on Schedule 1, or in the absence of such address or email address being set forth on Schedule 1, the address (including email) set forth in the Company’s books and records,</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Latham &amp; Watkins LLP 885 Third Avenue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Justin Hamill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Justin.Hamill@lw.com</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Talkspace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2578 Broadway #607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10025</w:t>
      </w:r>
    </w:p>
    <w:p>
      <w:pPr>
        <w:spacing w:after="0" w:line="23"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Oren Frank</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Email:</w:t>
        <w:tab/>
        <w:t>oren@talkspace.com</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Latham &amp; Watkins LLP 885 Third Avenue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Justin Hamill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Justin.Hamill@lw.com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080"/>
          </w:cols>
          <w:pgMar w:left="320" w:top="459" w:right="49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Acquiror, to it at: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Douglas G. Bergeron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Douglas L. Braunstein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Jonathan Dobres</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Email:</w:t>
        <w:tab/>
        <w:t>Doug.Bergeron@hudsonexecutive.com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Douglas.Braunstein@hudsonexecutive.com</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Jonathan.Dobres@hudsonexecutive.com</w:t>
      </w:r>
    </w:p>
    <w:p>
      <w:pPr>
        <w:spacing w:after="0" w:line="2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10001</w:t>
      </w:r>
    </w:p>
    <w:p>
      <w:pPr>
        <w:spacing w:after="0" w:line="23"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Scott Golenbock</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Iliana Ongun</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Email:</w:t>
        <w:tab/>
        <w:t>sgolenbock@milbank.com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iongun@milbank.com</w:t>
      </w:r>
    </w:p>
    <w:p>
      <w:pPr>
        <w:spacing w:after="0" w:line="238" w:lineRule="exact"/>
        <w:rPr>
          <w:sz w:val="20"/>
          <w:szCs w:val="20"/>
          <w:color w:val="auto"/>
        </w:rPr>
      </w:pPr>
    </w:p>
    <w:p>
      <w:pPr>
        <w:ind w:left="120" w:firstLine="436"/>
        <w:spacing w:after="0" w:line="279" w:lineRule="auto"/>
        <w:tabs>
          <w:tab w:leader="none" w:pos="830"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No Ownership Interest</w:t>
      </w:r>
      <w:r>
        <w:rPr>
          <w:rFonts w:ascii="Arial" w:cs="Arial" w:eastAsia="Arial" w:hAnsi="Arial"/>
          <w:sz w:val="17"/>
          <w:szCs w:val="17"/>
          <w:color w:val="auto"/>
        </w:rPr>
        <w:t>. Nothing contained in this Agreement shall be deemed to vest in Acquiror any direct or indirect ownership or incidence of ownership of or with respect to the Covered Shares of the Stockholder. All rights, ownership and economic benefits of and relating to the Covered Shares of the Stockholder shall remain vested in and belong to the Stockholder, and Acquiror shall have no authority to direct the Stockholder in the voting or disposition of any of the Stockholder’s Covered Shares, except as otherwise provided herein.</w:t>
      </w:r>
    </w:p>
    <w:p>
      <w:pPr>
        <w:spacing w:after="0" w:line="171" w:lineRule="exact"/>
        <w:rPr>
          <w:rFonts w:ascii="Arial" w:cs="Arial" w:eastAsia="Arial" w:hAnsi="Arial"/>
          <w:sz w:val="17"/>
          <w:szCs w:val="17"/>
          <w:color w:val="auto"/>
        </w:rPr>
      </w:pPr>
    </w:p>
    <w:p>
      <w:pPr>
        <w:ind w:left="120" w:right="140" w:firstLine="436"/>
        <w:spacing w:after="0" w:line="259" w:lineRule="auto"/>
        <w:tabs>
          <w:tab w:leader="none" w:pos="83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Entire Agreement; Time of Effectiveness</w:t>
      </w:r>
      <w:r>
        <w:rPr>
          <w:rFonts w:ascii="Arial" w:cs="Arial" w:eastAsia="Arial" w:hAnsi="Arial"/>
          <w:sz w:val="18"/>
          <w:szCs w:val="18"/>
          <w:color w:val="auto"/>
        </w:rPr>
        <w:t>. This Agreement and the Merger Agreement constitute the entire agreement and supersede all prior agreements and understandings, both written and oral, between the Parties with respect to the subject matter hereof and thereof. This Agreement shall not be effective or binding upon the Stockholder until after such time as the Merger Agreement is executed and delivered by the Company, Acquiror, First Merger Sub and Second Merger Sub.</w:t>
      </w:r>
    </w:p>
    <w:p>
      <w:pPr>
        <w:spacing w:after="0" w:line="186" w:lineRule="exact"/>
        <w:rPr>
          <w:rFonts w:ascii="Arial" w:cs="Arial" w:eastAsia="Arial" w:hAnsi="Arial"/>
          <w:sz w:val="18"/>
          <w:szCs w:val="18"/>
          <w:color w:val="auto"/>
        </w:rPr>
      </w:pPr>
    </w:p>
    <w:p>
      <w:pPr>
        <w:ind w:left="120" w:right="80" w:firstLine="436"/>
        <w:spacing w:after="0" w:line="296" w:lineRule="auto"/>
        <w:tabs>
          <w:tab w:leader="none" w:pos="830" w:val="left"/>
        </w:tabs>
        <w:numPr>
          <w:ilvl w:val="0"/>
          <w:numId w:val="479"/>
        </w:numPr>
        <w:rPr>
          <w:rFonts w:ascii="Arial" w:cs="Arial" w:eastAsia="Arial" w:hAnsi="Arial"/>
          <w:sz w:val="16"/>
          <w:szCs w:val="16"/>
          <w:color w:val="auto"/>
        </w:rPr>
      </w:pP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Stockholder hereby agrees that its representations, warranties and covenants set forth herein are solely for the benefit of Acquiror in accordance with and subject to the terms of this Agreement, and this Agreement is not intended to, and does not, confer upon any Person other than the Parties any rights or remedies hereunder, including the right to rely upon the representations and warranties set forth herein, and the Parties hereby further agree that this Agreement may only be enforced against, and any Action that may be based upon, arise out of or relate to this Agreement, or the negotiation, execution or performance of this Agreement may only be made against, the Persons expressly named as Parties.</w:t>
      </w:r>
    </w:p>
    <w:p>
      <w:pPr>
        <w:spacing w:after="0" w:line="161" w:lineRule="exact"/>
        <w:rPr>
          <w:rFonts w:ascii="Arial" w:cs="Arial" w:eastAsia="Arial" w:hAnsi="Arial"/>
          <w:sz w:val="16"/>
          <w:szCs w:val="16"/>
          <w:color w:val="auto"/>
        </w:rPr>
      </w:pPr>
    </w:p>
    <w:p>
      <w:pPr>
        <w:ind w:left="820" w:hanging="264"/>
        <w:spacing w:after="0"/>
        <w:tabs>
          <w:tab w:leader="none" w:pos="82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Governing Law and Venue; Service of Process;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987"/>
        <w:spacing w:after="0" w:line="259" w:lineRule="auto"/>
        <w:tabs>
          <w:tab w:leader="none" w:pos="135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conflicts of laws to the extent such principles or rules are not mandatorily applicable and would require or permit the application of the Laws of another jurisdiction other than the State of Delaware.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00"/>
          </w:cols>
          <w:pgMar w:left="320" w:top="459" w:right="47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5" w:lineRule="auto"/>
        <w:tabs>
          <w:tab w:leader="none" w:pos="1366" w:val="left"/>
        </w:tabs>
        <w:numPr>
          <w:ilvl w:val="2"/>
          <w:numId w:val="480"/>
        </w:numPr>
        <w:rPr>
          <w:rFonts w:ascii="Arial" w:cs="Arial" w:eastAsia="Arial" w:hAnsi="Arial"/>
          <w:sz w:val="16"/>
          <w:szCs w:val="16"/>
          <w:color w:val="auto"/>
        </w:rPr>
      </w:pPr>
      <w:r>
        <w:rPr>
          <w:rFonts w:ascii="Arial" w:cs="Arial" w:eastAsia="Arial" w:hAnsi="Arial"/>
          <w:sz w:val="16"/>
          <w:szCs w:val="16"/>
          <w:color w:val="auto"/>
        </w:rPr>
        <w:t>In addition, each of the Parties (i) consents to submit itself, and hereby submits itself, to the personal jurisdiction of the Court of Chancery of the State of Delaware or, if such court does not have subject matter jurisdiction, any state or federal court located in the State of Delaware having subject matter jurisdiction, in the event any dispute arises out of this Agreement or any of the transactions contemplated hereby,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w:t>
      </w:r>
    </w:p>
    <w:p>
      <w:pPr>
        <w:spacing w:after="0" w:line="1" w:lineRule="exact"/>
        <w:rPr>
          <w:rFonts w:ascii="Arial" w:cs="Arial" w:eastAsia="Arial" w:hAnsi="Arial"/>
          <w:sz w:val="16"/>
          <w:szCs w:val="16"/>
          <w:color w:val="auto"/>
        </w:rPr>
      </w:pPr>
    </w:p>
    <w:p>
      <w:pPr>
        <w:ind w:left="120" w:right="20" w:hanging="4"/>
        <w:spacing w:after="0" w:line="302" w:lineRule="auto"/>
        <w:tabs>
          <w:tab w:leader="none" w:pos="435"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agrees that it will not bring any action relating to this Agreement or any of the transactions contemplated hereby in any court other than the Court of Chancery of the State of Delaware or, if such court does not have subject matter jurisdiction, any state or federal court located in the State of Delaware having subject matter jurisdiction, and (iv) consents to service of process being made through the notice procedures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jc w:val="both"/>
        <w:ind w:left="120" w:right="180" w:firstLine="987"/>
        <w:spacing w:after="0" w:line="263" w:lineRule="auto"/>
        <w:tabs>
          <w:tab w:leader="none" w:pos="1356" w:val="left"/>
        </w:tabs>
        <w:numPr>
          <w:ilvl w:val="2"/>
          <w:numId w:val="481"/>
        </w:numPr>
        <w:rPr>
          <w:rFonts w:ascii="Arial" w:cs="Arial" w:eastAsia="Arial" w:hAnsi="Arial"/>
          <w:sz w:val="18"/>
          <w:szCs w:val="18"/>
          <w:color w:val="auto"/>
        </w:rPr>
      </w:pPr>
      <w:r>
        <w:rPr>
          <w:rFonts w:ascii="Arial" w:cs="Arial" w:eastAsia="Arial" w:hAnsi="Arial"/>
          <w:sz w:val="18"/>
          <w:szCs w:val="18"/>
          <w:color w:val="auto"/>
        </w:rPr>
        <w:t>EACH OF THE PARTIES HEREBY KNOWINGLY, INTENTIONALLY, VOLUNTARILY AND IRREVOCABLY WAIVES ANY AND ALL RIGHT TO TRIAL BY JURY IN ANY ACTION BASED UPON, ARISING OUT OF OR RELATED TO THIS AGREEMENT OR THE TRANSACTIONS CONTEMPLATED HEREBY.</w:t>
      </w:r>
    </w:p>
    <w:p>
      <w:pPr>
        <w:spacing w:after="0" w:line="183" w:lineRule="exact"/>
        <w:rPr>
          <w:rFonts w:ascii="Arial" w:cs="Arial" w:eastAsia="Arial" w:hAnsi="Arial"/>
          <w:sz w:val="18"/>
          <w:szCs w:val="18"/>
          <w:color w:val="auto"/>
        </w:rPr>
      </w:pPr>
    </w:p>
    <w:p>
      <w:pPr>
        <w:ind w:left="120" w:right="200" w:firstLine="436"/>
        <w:spacing w:after="0" w:line="296" w:lineRule="auto"/>
        <w:tabs>
          <w:tab w:leader="none" w:pos="830" w:val="left"/>
        </w:tabs>
        <w:numPr>
          <w:ilvl w:val="1"/>
          <w:numId w:val="481"/>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Neither this Agreement nor any of the rights, interests or obligations hereunder shall (a) be assigned by any of the Stockholders in whole or in part (whether by operation of Law or otherwise) without the prior written consent of Acquiror and the Company or (b) be assigned by Acquiror or the Company in whole or in part (whether by operation of law or otherwise) without the prior written consent of (i) the Company or Acquiror, respectively, and (ii) the applicable Stockholder. Any such assignment without such consent shall be null and void. This Agreement shall be binding upon, inure to the benefit of and be enforceable by the Parties and their respective successors and permitted assigns.</w:t>
      </w:r>
    </w:p>
    <w:p>
      <w:pPr>
        <w:spacing w:after="0" w:line="161" w:lineRule="exact"/>
        <w:rPr>
          <w:rFonts w:ascii="Arial" w:cs="Arial" w:eastAsia="Arial" w:hAnsi="Arial"/>
          <w:sz w:val="16"/>
          <w:szCs w:val="16"/>
          <w:color w:val="auto"/>
        </w:rPr>
      </w:pPr>
    </w:p>
    <w:p>
      <w:pPr>
        <w:ind w:left="120" w:firstLine="436"/>
        <w:spacing w:after="0" w:line="290" w:lineRule="auto"/>
        <w:tabs>
          <w:tab w:leader="none" w:pos="830" w:val="left"/>
        </w:tabs>
        <w:numPr>
          <w:ilvl w:val="1"/>
          <w:numId w:val="481"/>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each Stockholder’s obligations to vote its Covered Shares as provided in this Agreement, in the Court of Chancery of the State of Delaware or, if under applicable law exclusive jurisdiction over such matter is vested in the federal courts, any state or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w:t>
      </w:r>
    </w:p>
    <w:p>
      <w:pPr>
        <w:spacing w:after="0" w:line="165" w:lineRule="exact"/>
        <w:rPr>
          <w:rFonts w:ascii="Arial" w:cs="Arial" w:eastAsia="Arial" w:hAnsi="Arial"/>
          <w:sz w:val="16"/>
          <w:szCs w:val="16"/>
          <w:color w:val="auto"/>
        </w:rPr>
      </w:pPr>
    </w:p>
    <w:p>
      <w:pPr>
        <w:ind w:left="120" w:firstLine="436"/>
        <w:spacing w:after="0" w:line="273" w:lineRule="auto"/>
        <w:tabs>
          <w:tab w:leader="none" w:pos="830" w:val="left"/>
        </w:tabs>
        <w:numPr>
          <w:ilvl w:val="1"/>
          <w:numId w:val="48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held by a court of competent jurisdiction or other authority to be invalid, void, unenforceable or against its regulatory policy, the remainder of the terms and provisions of this Agreement shall remain in full force and effect and shall in no way be affected, impaired or invalidated, so long as the economic and legal substance of the transactions contemplated hereby, taken as a whole, are not affected in a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7" w:lineRule="exact"/>
        <w:rPr>
          <w:rFonts w:ascii="Arial" w:cs="Arial" w:eastAsia="Arial" w:hAnsi="Arial"/>
          <w:sz w:val="17"/>
          <w:szCs w:val="17"/>
          <w:color w:val="auto"/>
        </w:rPr>
      </w:pPr>
    </w:p>
    <w:p>
      <w:pPr>
        <w:ind w:left="120" w:right="160" w:firstLine="436"/>
        <w:spacing w:after="0" w:line="311" w:lineRule="auto"/>
        <w:tabs>
          <w:tab w:leader="none" w:pos="830" w:val="left"/>
        </w:tabs>
        <w:numPr>
          <w:ilvl w:val="1"/>
          <w:numId w:val="48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148" w:lineRule="exact"/>
        <w:rPr>
          <w:rFonts w:ascii="Arial" w:cs="Arial" w:eastAsia="Arial" w:hAnsi="Arial"/>
          <w:sz w:val="16"/>
          <w:szCs w:val="16"/>
          <w:color w:val="auto"/>
        </w:rPr>
      </w:pPr>
    </w:p>
    <w:p>
      <w:pPr>
        <w:ind w:left="120" w:right="80" w:firstLine="436"/>
        <w:spacing w:after="0" w:line="277" w:lineRule="auto"/>
        <w:tabs>
          <w:tab w:leader="none" w:pos="830" w:val="left"/>
        </w:tabs>
        <w:numPr>
          <w:ilvl w:val="1"/>
          <w:numId w:val="481"/>
        </w:numPr>
        <w:rPr>
          <w:rFonts w:ascii="Arial" w:cs="Arial" w:eastAsia="Arial" w:hAnsi="Arial"/>
          <w:sz w:val="18"/>
          <w:szCs w:val="18"/>
          <w:color w:val="auto"/>
        </w:rPr>
      </w:pPr>
      <w:r>
        <w:rPr>
          <w:rFonts w:ascii="Arial" w:cs="Arial" w:eastAsia="Arial" w:hAnsi="Arial"/>
          <w:sz w:val="18"/>
          <w:szCs w:val="18"/>
          <w:u w:val="single" w:color="auto"/>
          <w:color w:val="auto"/>
        </w:rPr>
        <w:t>Interpretation and Construction</w:t>
      </w:r>
      <w:r>
        <w:rPr>
          <w:rFonts w:ascii="Arial" w:cs="Arial" w:eastAsia="Arial" w:hAnsi="Arial"/>
          <w:sz w:val="18"/>
          <w:szCs w:val="18"/>
          <w:color w:val="auto"/>
        </w:rPr>
        <w:t>. The words “hereof,” “herein” and “hereunder” and words of like import used in this Agreement shall refer to this Agreement as a whole and not to any particular provision of this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00"/>
          </w:cols>
          <w:pgMar w:left="320" w:top="459" w:right="47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82" w:lineRule="exact"/>
        <w:rPr>
          <w:sz w:val="20"/>
          <w:szCs w:val="20"/>
          <w:color w:val="auto"/>
        </w:rPr>
      </w:pPr>
    </w:p>
    <w:p>
      <w:pPr>
        <w:ind w:left="120" w:right="80" w:firstLine="436"/>
        <w:spacing w:after="0" w:line="254" w:lineRule="auto"/>
        <w:tabs>
          <w:tab w:leader="none" w:pos="83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Capacity as a Stockholder or Proxy holder</w:t>
      </w:r>
      <w:r>
        <w:rPr>
          <w:rFonts w:ascii="Arial" w:cs="Arial" w:eastAsia="Arial" w:hAnsi="Arial"/>
          <w:sz w:val="18"/>
          <w:szCs w:val="18"/>
          <w:color w:val="auto"/>
        </w:rPr>
        <w:t>. Notwithstanding anything herein to the contrary, the Stockholder or proxy holder signs this Agreement solely in the Stockholder’s or proxy holder’s capacity as a stockholder or proxy holder of the Company, and not in any other capacity and this Agreement shall not limit, prevent or otherwise affect the actions of the Stockholder, proxy holder or any Affiliate or Representative of the Stockholder or proxyholder, or any of their respective Affiliates in his or her capacity, if applicable, as an officer or director of the Company (or any Subsidiary of the Company) or any other Person, including in the exercise of his or her fiduciary duties as a director or officer of the Company or any Subsidiary of the Company. No Stockholder shall be liable or responsible for any breach, default, or violation of any representation, warranty, covenant or agreement hereunder by any other Stockholder that is also a Party and each Stockholder shall solely be required to perform its obligations hereunder in its individual capacity.</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100"/>
          </w:cols>
          <w:pgMar w:left="320" w:top="459" w:right="47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(where applicable, by their respective officers or other authorized Persons thereunto duly authorized) as of the date first written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Dobres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GROOP INTERNET PLATFORM,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Oren Frank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460"/>
          </w:cols>
          <w:pgMar w:left="320" w:top="459" w:right="111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COMPOUND II,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Hirsch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Managing Partner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COMPOUND II-A,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Hirsch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Managing Partner</w:t>
      </w:r>
    </w:p>
    <w:p>
      <w:pPr>
        <w:spacing w:after="0" w:line="23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SOFTBANK CAPITAL FUND ’10 L.P.</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SB Capital ’10 LP, its General Partner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SB Capital Managers ’10 LLC, its General Partner</w:t>
      </w:r>
    </w:p>
    <w:p>
      <w:pPr>
        <w:spacing w:after="0" w:line="222"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Eric Hippeau</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SOFTBANK CAPITAL TECHNOLOGY NEW YORK</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FUND II L.P.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SB Capital Managers New York II LLC, its General</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Jordan Levy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SOFTBANK CAPITAL TECHNOLOGY NEW YORK</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PARALLEL FUND II L.P.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SB Capital Managers New York II LLC, its General</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Jordan Levy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960"/>
          </w:cols>
          <w:pgMar w:left="320" w:top="459" w:right="61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INVESTORS 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Tarlovsky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Nir Tarlovsky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FIRSTIME VENTURES (A)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Tarlovsky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Nir Tarlovsky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VENTURES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Tarlovsky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Nir Tarlovsky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INVESTORS 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Benartzi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Benartzi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FIRSTIME VENTURES (A)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Benartzi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Benartzi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VENTURES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Benartzi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Benartzi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INVESTORS 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Kopilov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Karen Kopilov</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 &amp; CFO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FIRSTIME VENTURES (A)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Kopilov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Karen Kopilov</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 &amp; CFO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VENTURES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Kopilov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Karen Kopilov</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 &amp; CFO</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QUMRA CAPITAL II,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Erez Shachar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SPARK CAPITAL FOUNDERS’ FUND IV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SPARK CAPITAL IV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400"/>
          </w:cols>
          <w:pgMar w:left="320" w:top="459" w:right="117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Name: Oren Frank</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OREN FRANK 2018 TRUST</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Oren Frank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Roni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Name: Roni Frank</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RONI FRANK 2018 TRUST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Roni Frank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Co-Founder &amp; Head of Clinical Services</w:t>
      </w:r>
    </w:p>
    <w:p>
      <w:pPr>
        <w:spacing w:after="0" w:line="23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260"/>
          </w:cols>
          <w:pgMar w:left="320" w:top="459" w:right="131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John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Name: John Reilly</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Owned Shares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 Name</w:t>
            </w:r>
          </w:p>
        </w:tc>
        <w:tc>
          <w:tcPr>
            <w:tcW w:w="5520" w:type="dxa"/>
            <w:vAlign w:val="bottom"/>
            <w:vMerge w:val="restart"/>
          </w:tcPr>
          <w:p>
            <w:pPr>
              <w:spacing w:after="0"/>
              <w:rPr>
                <w:sz w:val="14"/>
                <w:szCs w:val="14"/>
                <w:color w:val="auto"/>
              </w:rPr>
            </w:pPr>
          </w:p>
        </w:tc>
        <w:tc>
          <w:tcPr>
            <w:tcW w:w="26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2"/>
              </w:rPr>
              <w:t>Number of Shares of</w:t>
            </w: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Shares of</w:t>
            </w: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2680" w:type="dxa"/>
            <w:vAlign w:val="bottom"/>
            <w:gridSpan w:val="2"/>
          </w:tcPr>
          <w:p>
            <w:pPr>
              <w:jc w:val="center"/>
              <w:ind w:right="1060"/>
              <w:spacing w:after="0" w:line="158" w:lineRule="exact"/>
              <w:rPr>
                <w:sz w:val="20"/>
                <w:szCs w:val="20"/>
                <w:color w:val="auto"/>
              </w:rPr>
            </w:pPr>
            <w:r>
              <w:rPr>
                <w:rFonts w:ascii="Arial" w:cs="Arial" w:eastAsia="Arial" w:hAnsi="Arial"/>
                <w:sz w:val="14"/>
                <w:szCs w:val="14"/>
                <w:b w:val="1"/>
                <w:bCs w:val="1"/>
                <w:color w:val="auto"/>
                <w:w w:val="92"/>
              </w:rPr>
              <w:t>Company Common Stock</w:t>
            </w:r>
          </w:p>
        </w:tc>
        <w:tc>
          <w:tcPr>
            <w:tcW w:w="16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Company Preferred Stock</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Compound II, LP</w:t>
            </w: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5,957,463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Compound II-A,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189,320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Firstime Investors A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1,894,059</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Firstime Ventures (A)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164,350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5,240,208</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Firstime Ventures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25,650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817,835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Norwest Venture Partners XIII,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15,485,945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Qumra Capital II,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9,029,996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Revolution Growth III,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9,086,000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Softbank Capital Fund ‘10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6,171,091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Softbank Capital Technology New York Fund II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4,079,997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Softbank Capital Technology New York Parallel Fund II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1,378,811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Spark Capital Founders’ Fund IV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127,793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 Capital IV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12,912,431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Oren Frank</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1,335,236</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Oren Frank 2018 Trust</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500,000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Roni Frank</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1,335,236</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 2018 Trust</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500,000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John Reilly</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200,000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1-1</w:t>
      </w:r>
    </w:p>
    <w:p>
      <w:pPr>
        <w:sectPr>
          <w:pgSz w:w="11900" w:h="16838" w:orient="portrait"/>
          <w:cols w:equalWidth="0" w:num="1">
            <w:col w:w="11140"/>
          </w:cols>
          <w:pgMar w:left="320" w:top="459" w:right="43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SUBSCRIPTION AGREEMENT</w:t>
      </w:r>
    </w:p>
    <w:p>
      <w:pPr>
        <w:spacing w:after="0" w:line="225" w:lineRule="exact"/>
        <w:rPr>
          <w:sz w:val="20"/>
          <w:szCs w:val="20"/>
          <w:color w:val="auto"/>
        </w:rPr>
      </w:pPr>
    </w:p>
    <w:p>
      <w:pPr>
        <w:ind w:left="120" w:right="300" w:firstLine="440"/>
        <w:spacing w:after="0" w:line="289" w:lineRule="auto"/>
        <w:rPr>
          <w:sz w:val="20"/>
          <w:szCs w:val="20"/>
          <w:color w:val="auto"/>
        </w:rPr>
      </w:pPr>
      <w:r>
        <w:rPr>
          <w:rFonts w:ascii="Arial" w:cs="Arial" w:eastAsia="Arial" w:hAnsi="Arial"/>
          <w:sz w:val="17"/>
          <w:szCs w:val="17"/>
          <w:color w:val="auto"/>
        </w:rPr>
        <w:t>This SUBSCRIPTION AGREEMENT (this “</w:t>
      </w:r>
      <w:r>
        <w:rPr>
          <w:rFonts w:ascii="Arial" w:cs="Arial" w:eastAsia="Arial" w:hAnsi="Arial"/>
          <w:sz w:val="17"/>
          <w:szCs w:val="17"/>
          <w:b w:val="1"/>
          <w:bCs w:val="1"/>
          <w:color w:val="auto"/>
        </w:rPr>
        <w:t>Subscription Agreement</w:t>
      </w:r>
      <w:r>
        <w:rPr>
          <w:rFonts w:ascii="Arial" w:cs="Arial" w:eastAsia="Arial" w:hAnsi="Arial"/>
          <w:sz w:val="17"/>
          <w:szCs w:val="17"/>
          <w:color w:val="auto"/>
        </w:rPr>
        <w:t>”) is entered into this 12th day of January, 2021, by and among Hudson Executive Investment Corp.,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and the undersigned (“</w:t>
      </w:r>
      <w:r>
        <w:rPr>
          <w:rFonts w:ascii="Arial" w:cs="Arial" w:eastAsia="Arial" w:hAnsi="Arial"/>
          <w:sz w:val="17"/>
          <w:szCs w:val="17"/>
          <w:b w:val="1"/>
          <w:bCs w:val="1"/>
          <w:color w:val="auto"/>
        </w:rPr>
        <w:t>Subscriber</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Defined terms used but not otherwise defined herein shall have the respective meanings ascribed thereto in the Merger Agreement (as defined below).</w:t>
      </w:r>
    </w:p>
    <w:p>
      <w:pPr>
        <w:spacing w:after="0" w:line="158"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WHEREAS, the Issuer, Groop Internet Platform, Inc. (d/b/a Talkspace),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other parties named therein will concurrently with the execution of this Subscription Agreement, enter into that certain Agreement and Plan of Merger, dated as of the date hereof (as amended, amended and restated, modified, supplemented, or waived from time to time in accordance with its terms,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color w:val="auto"/>
        </w:rPr>
        <w:t>, First Merger Sub, a direct, wholly owned subsidiary of the Issuer will be merged with and into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the Company surviving as a wholly owned subsidiary of the Issuer (the “</w:t>
      </w:r>
      <w:r>
        <w:rPr>
          <w:rFonts w:ascii="Arial" w:cs="Arial" w:eastAsia="Arial" w:hAnsi="Arial"/>
          <w:sz w:val="17"/>
          <w:szCs w:val="17"/>
          <w:b w:val="1"/>
          <w:bCs w:val="1"/>
          <w:color w:val="auto"/>
        </w:rPr>
        <w:t>First Merger</w:t>
      </w:r>
      <w:r>
        <w:rPr>
          <w:rFonts w:ascii="Arial" w:cs="Arial" w:eastAsia="Arial" w:hAnsi="Arial"/>
          <w:sz w:val="17"/>
          <w:szCs w:val="17"/>
          <w:color w:val="auto"/>
        </w:rPr>
        <w:t>”), and immediately thereafter and as part of the same overall transaction as the First Merger, the Company will be merged with and into Second Merger Sub, a direct, wholly owned subsidiary of the Issuer, with Second Merger Sub surviving as a wholly owned subsidiary of the Issuer (such merger, together with the First Merger, the “</w:t>
      </w:r>
      <w:r>
        <w:rPr>
          <w:rFonts w:ascii="Arial" w:cs="Arial" w:eastAsia="Arial" w:hAnsi="Arial"/>
          <w:sz w:val="17"/>
          <w:szCs w:val="17"/>
          <w:b w:val="1"/>
          <w:bCs w:val="1"/>
          <w:color w:val="auto"/>
        </w:rPr>
        <w:t>Mergers</w:t>
      </w:r>
      <w:r>
        <w:rPr>
          <w:rFonts w:ascii="Arial" w:cs="Arial" w:eastAsia="Arial" w:hAnsi="Arial"/>
          <w:sz w:val="17"/>
          <w:szCs w:val="17"/>
          <w:color w:val="auto"/>
        </w:rPr>
        <w:t>”), in each case on the terms and subject to the conditions set forth therein (the Mergers, together with the other transactions contemplated by the Merger Agreement, the “</w:t>
      </w:r>
      <w:r>
        <w:rPr>
          <w:rFonts w:ascii="Arial" w:cs="Arial" w:eastAsia="Arial" w:hAnsi="Arial"/>
          <w:sz w:val="17"/>
          <w:szCs w:val="17"/>
          <w:b w:val="1"/>
          <w:bCs w:val="1"/>
          <w:color w:val="auto"/>
        </w:rPr>
        <w:t>Transactions</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in connection with the Transactions, Subscriber desires to subscribe for and purchase from the Issuer that number of shares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common stock of the Issuer, par value $0.0001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which after giving effect to the Transactions,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become common stock of the Issuer (the “</w:t>
      </w:r>
      <w:r>
        <w:rPr>
          <w:rFonts w:ascii="Arial" w:cs="Arial" w:eastAsia="Arial" w:hAnsi="Arial"/>
          <w:sz w:val="16"/>
          <w:szCs w:val="16"/>
          <w:b w:val="1"/>
          <w:bCs w:val="1"/>
          <w:color w:val="auto"/>
        </w:rPr>
        <w:t>Common Stock</w:t>
      </w:r>
      <w:r>
        <w:rPr>
          <w:rFonts w:ascii="Arial" w:cs="Arial" w:eastAsia="Arial" w:hAnsi="Arial"/>
          <w:sz w:val="16"/>
          <w:szCs w:val="16"/>
          <w:color w:val="auto"/>
        </w:rPr>
        <w:t>”), set forth on Subscriber’s signature page hereto (the “</w:t>
      </w:r>
      <w:r>
        <w:rPr>
          <w:rFonts w:ascii="Arial" w:cs="Arial" w:eastAsia="Arial" w:hAnsi="Arial"/>
          <w:sz w:val="16"/>
          <w:szCs w:val="16"/>
          <w:b w:val="1"/>
          <w:bCs w:val="1"/>
          <w:color w:val="auto"/>
        </w:rPr>
        <w:t>Shares</w:t>
      </w:r>
      <w:r>
        <w:rPr>
          <w:rFonts w:ascii="Arial" w:cs="Arial" w:eastAsia="Arial" w:hAnsi="Arial"/>
          <w:sz w:val="16"/>
          <w:szCs w:val="16"/>
          <w:color w:val="auto"/>
        </w:rPr>
        <w:t>”) for a purchase price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per share, for the aggregate purchase price set forth on Subscriber’s signature page hereto (the “</w:t>
      </w:r>
      <w:r>
        <w:rPr>
          <w:rFonts w:ascii="Arial" w:cs="Arial" w:eastAsia="Arial" w:hAnsi="Arial"/>
          <w:sz w:val="16"/>
          <w:szCs w:val="16"/>
          <w:b w:val="1"/>
          <w:bCs w:val="1"/>
          <w:color w:val="auto"/>
        </w:rPr>
        <w:t>Purchase Price</w:t>
      </w:r>
      <w:r>
        <w:rPr>
          <w:rFonts w:ascii="Arial" w:cs="Arial" w:eastAsia="Arial" w:hAnsi="Arial"/>
          <w:sz w:val="16"/>
          <w:szCs w:val="16"/>
          <w:color w:val="auto"/>
        </w:rPr>
        <w:t>”), and the Issuer desires to issue,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book entry form, and sell to Subscriber the Shares in consideration of the payment of the Purchase Price therefor by or on behalf of Subscriber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Issuer, all on the terms and conditions set forth herein;</w:t>
      </w:r>
    </w:p>
    <w:p>
      <w:pPr>
        <w:spacing w:after="0" w:line="207"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WHEREAS, certain other “qualified institutional buyers” (as defined in Rule 144A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“accredited investors” (within the meaning of Rule 501(a) under the Securities Act) (each, an “</w:t>
      </w:r>
      <w:r>
        <w:rPr>
          <w:rFonts w:ascii="Arial" w:cs="Arial" w:eastAsia="Arial" w:hAnsi="Arial"/>
          <w:sz w:val="16"/>
          <w:szCs w:val="16"/>
          <w:b w:val="1"/>
          <w:bCs w:val="1"/>
          <w:color w:val="auto"/>
        </w:rPr>
        <w:t>Other Subscriber</w:t>
      </w:r>
      <w:r>
        <w:rPr>
          <w:rFonts w:ascii="Arial" w:cs="Arial" w:eastAsia="Arial" w:hAnsi="Arial"/>
          <w:sz w:val="16"/>
          <w:szCs w:val="16"/>
          <w:color w:val="auto"/>
        </w:rPr>
        <w:t>”) have, severally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jointly, entered into separate subscription agreements with the Issuer (the “</w:t>
      </w:r>
      <w:r>
        <w:rPr>
          <w:rFonts w:ascii="Arial" w:cs="Arial" w:eastAsia="Arial" w:hAnsi="Arial"/>
          <w:sz w:val="16"/>
          <w:szCs w:val="16"/>
          <w:b w:val="1"/>
          <w:bCs w:val="1"/>
          <w:color w:val="auto"/>
        </w:rPr>
        <w:t>Other Subscription Agreements</w:t>
      </w:r>
      <w:r>
        <w:rPr>
          <w:rFonts w:ascii="Arial" w:cs="Arial" w:eastAsia="Arial" w:hAnsi="Arial"/>
          <w:sz w:val="16"/>
          <w:szCs w:val="16"/>
          <w:color w:val="auto"/>
        </w:rPr>
        <w:t>”) substantially similar to this Subscription Agreement, pursuant to which such Other Subscribers have agreed to purchase Common Stock on the Closing Date (as defined herein) at the same per share purchase price as the Subscriber, and the aggregate amount of securities to be sold by the Issuer pursuant to this Subscription Agreement and the Other Subscription Agreements equals, as of the date hereof, 30,000,000 shares of Common Stock; and</w:t>
      </w:r>
    </w:p>
    <w:p>
      <w:pPr>
        <w:spacing w:after="0" w:line="16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color w:val="auto"/>
        </w:rPr>
        <w:t>WHEREAS, HEC Master Fund LP, a Delaware limited partnership (“</w:t>
      </w:r>
      <w:r>
        <w:rPr>
          <w:rFonts w:ascii="Arial" w:cs="Arial" w:eastAsia="Arial" w:hAnsi="Arial"/>
          <w:sz w:val="18"/>
          <w:szCs w:val="18"/>
          <w:b w:val="1"/>
          <w:bCs w:val="1"/>
          <w:color w:val="auto"/>
        </w:rPr>
        <w:t>HEC</w:t>
      </w:r>
      <w:r>
        <w:rPr>
          <w:rFonts w:ascii="Arial" w:cs="Arial" w:eastAsia="Arial" w:hAnsi="Arial"/>
          <w:sz w:val="18"/>
          <w:szCs w:val="18"/>
          <w:color w:val="auto"/>
        </w:rPr>
        <w:t>”), has entered into a separate forward purchase agreement with the Issuer (the “</w:t>
      </w:r>
      <w:r>
        <w:rPr>
          <w:rFonts w:ascii="Arial" w:cs="Arial" w:eastAsia="Arial" w:hAnsi="Arial"/>
          <w:sz w:val="18"/>
          <w:szCs w:val="18"/>
          <w:b w:val="1"/>
          <w:bCs w:val="1"/>
          <w:color w:val="auto"/>
        </w:rPr>
        <w:t>Forward Purchase Agreement</w:t>
      </w:r>
      <w:r>
        <w:rPr>
          <w:rFonts w:ascii="Arial" w:cs="Arial" w:eastAsia="Arial" w:hAnsi="Arial"/>
          <w:sz w:val="18"/>
          <w:szCs w:val="18"/>
          <w:color w:val="auto"/>
        </w:rPr>
        <w:t>”), pursuant to which, among other things, HEC has agreed to purchase certain Common Stock and warrants exercisable to purchase one share of Common Stock on the Closing Date.</w:t>
      </w:r>
    </w:p>
    <w:p>
      <w:pPr>
        <w:spacing w:after="0" w:line="18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70" w:lineRule="exact"/>
        <w:rPr>
          <w:sz w:val="20"/>
          <w:szCs w:val="20"/>
          <w:color w:val="auto"/>
        </w:rPr>
      </w:pPr>
    </w:p>
    <w:p>
      <w:pPr>
        <w:ind w:left="120" w:right="140" w:firstLine="436"/>
        <w:spacing w:after="0" w:line="277" w:lineRule="auto"/>
        <w:tabs>
          <w:tab w:leader="none" w:pos="740"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Subject to the terms and conditions hereof, at the Closing, Subscriber hereby agrees to subscribe for and purchase, and the Issuer hereby agrees to issue and sell to Subscriber, upon the payment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312" w:lineRule="auto"/>
        <w:rPr>
          <w:sz w:val="20"/>
          <w:szCs w:val="20"/>
          <w:color w:val="auto"/>
        </w:rPr>
      </w:pPr>
      <w:r>
        <w:rPr>
          <w:rFonts w:ascii="Arial" w:cs="Arial" w:eastAsia="Arial" w:hAnsi="Arial"/>
          <w:sz w:val="17"/>
          <w:szCs w:val="17"/>
          <w:color w:val="auto"/>
        </w:rPr>
        <w:t>Purchase Price, the Shares (such subscription and issuance, the “</w:t>
      </w:r>
      <w:r>
        <w:rPr>
          <w:rFonts w:ascii="Arial" w:cs="Arial" w:eastAsia="Arial" w:hAnsi="Arial"/>
          <w:sz w:val="17"/>
          <w:szCs w:val="17"/>
          <w:b w:val="1"/>
          <w:bCs w:val="1"/>
          <w:color w:val="auto"/>
        </w:rPr>
        <w:t>Subscription</w:t>
      </w:r>
      <w:r>
        <w:rPr>
          <w:rFonts w:ascii="Arial" w:cs="Arial" w:eastAsia="Arial" w:hAnsi="Arial"/>
          <w:sz w:val="17"/>
          <w:szCs w:val="17"/>
          <w:color w:val="auto"/>
        </w:rPr>
        <w:t>”). Notwithstanding anything herein to the contrary, the consummation of the Subscription is contingent upon the subsequent occurrence of the closing of the Transactions as further described herein.</w:t>
      </w:r>
    </w:p>
    <w:p>
      <w:pPr>
        <w:spacing w:after="0" w:line="144" w:lineRule="exact"/>
        <w:rPr>
          <w:sz w:val="20"/>
          <w:szCs w:val="20"/>
          <w:color w:val="auto"/>
        </w:rPr>
      </w:pPr>
    </w:p>
    <w:p>
      <w:pPr>
        <w:ind w:left="740" w:hanging="184"/>
        <w:spacing w:after="0"/>
        <w:tabs>
          <w:tab w:leader="none" w:pos="74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Issuer to issue the Shares to Subscriber, Subscriber hereby represents and warrants to the Issuer and acknowledges and agrees with the Issuer as follows:</w:t>
      </w:r>
    </w:p>
    <w:p>
      <w:pPr>
        <w:spacing w:after="0" w:line="62" w:lineRule="exact"/>
        <w:rPr>
          <w:sz w:val="20"/>
          <w:szCs w:val="20"/>
          <w:color w:val="auto"/>
        </w:rPr>
      </w:pPr>
    </w:p>
    <w:p>
      <w:pPr>
        <w:ind w:left="560" w:right="120" w:firstLine="423"/>
        <w:spacing w:after="0" w:line="259" w:lineRule="auto"/>
        <w:rPr>
          <w:sz w:val="20"/>
          <w:szCs w:val="20"/>
          <w:color w:val="auto"/>
        </w:rPr>
      </w:pPr>
      <w:r>
        <w:rPr>
          <w:rFonts w:ascii="Arial" w:cs="Arial" w:eastAsia="Arial" w:hAnsi="Arial"/>
          <w:sz w:val="18"/>
          <w:szCs w:val="18"/>
          <w:color w:val="auto"/>
        </w:rPr>
        <w:t>2.1.1 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79"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2.1.2 If Subscriber is not an individual, this Subscription Agreement has been duly authorized, validly executed and delivered by Subscriber. If Subscriber is an individual, the signature on this Subscription Agreement is genuine, and Subscriber has legal competence and capacity to execute the same. Assuming that this Subscription Agreement constitutes the valid and binding agreement of the Issuer, this Subscription Agreement is the valid and binding obligation of Subscriber and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70" w:lineRule="exact"/>
        <w:rPr>
          <w:sz w:val="20"/>
          <w:szCs w:val="20"/>
          <w:color w:val="auto"/>
        </w:rPr>
      </w:pPr>
    </w:p>
    <w:p>
      <w:pPr>
        <w:ind w:left="560" w:right="20" w:firstLine="423"/>
        <w:spacing w:after="0" w:line="284" w:lineRule="auto"/>
        <w:rPr>
          <w:sz w:val="20"/>
          <w:szCs w:val="20"/>
          <w:color w:val="auto"/>
        </w:rPr>
      </w:pPr>
      <w:r>
        <w:rPr>
          <w:rFonts w:ascii="Arial" w:cs="Arial" w:eastAsia="Arial" w:hAnsi="Arial"/>
          <w:sz w:val="16"/>
          <w:szCs w:val="16"/>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pursuant to the terms of any indenture, mortgage, deed of trust, loan agreement, lease, license, or other agreement or instrument to which Subscriber is a party, or by which Subscriber is bound or to which any of the property or assets of Subscriber is subject, which would, in each case, reasonably be expected to have a materially adverse effect on the ability of Subscriber to enter into and timely perform its obligations under this Subscription Agreement, (ii) if Subscriber is not an individual, result in any violation of the provisions of the organizational documents of Subscriber or</w:t>
      </w:r>
    </w:p>
    <w:p>
      <w:pPr>
        <w:spacing w:after="0" w:line="2" w:lineRule="exact"/>
        <w:rPr>
          <w:sz w:val="20"/>
          <w:szCs w:val="20"/>
          <w:color w:val="auto"/>
        </w:rPr>
      </w:pPr>
    </w:p>
    <w:p>
      <w:pPr>
        <w:ind w:left="560" w:right="340" w:hanging="4"/>
        <w:spacing w:after="0" w:line="302" w:lineRule="auto"/>
        <w:tabs>
          <w:tab w:leader="none" w:pos="87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result in any violation of any statute or any judgment, order, rule, or regulation of any court or governmental agency or body, domestic or foreign, having jurisdiction over Subscriber or any of its properties, which would, in each case, reasonably be expected to have a materially adverse effect on the ability of Subscriber to enter into and timely perform its obligations under this Subscription Agreement.</w:t>
      </w:r>
    </w:p>
    <w:p>
      <w:pPr>
        <w:spacing w:after="0" w:line="47"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 xml:space="preserve">2.1.4 Subscriber (i) is a “qualified institutional buyer” (as defined in Rule 144A under the Securities Act) or an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(ii) is an institutional account as defined in FINRA Rule 4512(c), (iii) is acquiring the Shares only for its own account or for beneficiaries portfolio under its management and not for the account of others, or if Subscriber is subscribing for the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warranties,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Subscriber is not an entity formed for the specific purpose of acquiring the Shares.</w:t>
      </w:r>
    </w:p>
    <w:p>
      <w:pPr>
        <w:spacing w:after="0" w:line="73"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2.1.5 Subscriber understands that the Shares are being offered in a transaction not involving any public offering within the meaning of the Securities Act and that the Shares have not been registered under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Securities Act. Subscriber understands that the Shares may not be resold, transferred, pledged, or otherwise disposed of by Subscriber absent an effective registration statement under the Securities Act, except (i) to the Issuer or a subsidiary thereof, (ii) to non-U.S. persons pursuant to offers and sales that occur solely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book entries representing the Shares (if any) shall contain a legend to such effect. Subscriber acknowledges that the Shares will not be eligible for resale pursuant to Rule 144A promulgated under the Securities Act. Subscriber understands and agrees that as a result of the transfer restrictions described herein, Subscriber may not be able to readily resell the Shares and may be required to bear the financial risk of an investment in the Shares for an indefinite period of time. Subscriber understands that it has been advised to consult legal counsel prior to making any offer, resale, pledge, or transfer of any of the Shares.</w:t>
      </w:r>
    </w:p>
    <w:p>
      <w:pPr>
        <w:spacing w:after="0" w:line="58" w:lineRule="exact"/>
        <w:rPr>
          <w:sz w:val="20"/>
          <w:szCs w:val="20"/>
          <w:color w:val="auto"/>
        </w:rPr>
      </w:pPr>
    </w:p>
    <w:p>
      <w:pPr>
        <w:ind w:left="560" w:right="160" w:firstLine="423"/>
        <w:spacing w:after="0" w:line="296" w:lineRule="auto"/>
        <w:rPr>
          <w:sz w:val="20"/>
          <w:szCs w:val="20"/>
          <w:color w:val="auto"/>
        </w:rPr>
      </w:pPr>
      <w:r>
        <w:rPr>
          <w:rFonts w:ascii="Arial" w:cs="Arial" w:eastAsia="Arial" w:hAnsi="Arial"/>
          <w:sz w:val="16"/>
          <w:szCs w:val="16"/>
          <w:color w:val="auto"/>
        </w:rPr>
        <w:t>2.1.6 Subscriber understands and agrees that Subscriber is purchasing the Shares directly from the Issuer. Subscriber further acknowledges that there have been no representations, warranties, covenants, or agreements made to Subscriber by the Issuer, the Company, the Placement Agents (as defined below) or any of their respective affiliates, officers or directors, expressly or by implication, other than those representations, warranties, covenants, and agreements expressly set forth in this Subscription Agreement, and Subscriber is not relying on any representations, warranties or covenants other than those expressly set forth in this Subscription Agreement.</w:t>
      </w:r>
    </w:p>
    <w:p>
      <w:pPr>
        <w:spacing w:after="0" w:line="53"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2.1.7 If Subscriber is an employee benefit plan that is subject to Title I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Subscriber represents and warrants that its acquisition and holding of the Shares will not constitute or result in a non-exempt prohibited transaction under Section 406 of ERISA, Section 4975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any applicable similar law.</w:t>
      </w:r>
    </w:p>
    <w:p>
      <w:pPr>
        <w:spacing w:after="0" w:line="79" w:lineRule="exact"/>
        <w:rPr>
          <w:sz w:val="20"/>
          <w:szCs w:val="20"/>
          <w:color w:val="auto"/>
        </w:rPr>
      </w:pPr>
    </w:p>
    <w:p>
      <w:pPr>
        <w:ind w:left="560" w:right="60" w:firstLine="423"/>
        <w:spacing w:after="0" w:line="269" w:lineRule="auto"/>
        <w:rPr>
          <w:sz w:val="20"/>
          <w:szCs w:val="20"/>
          <w:color w:val="auto"/>
        </w:rPr>
      </w:pPr>
      <w:r>
        <w:rPr>
          <w:rFonts w:ascii="Arial" w:cs="Arial" w:eastAsia="Arial" w:hAnsi="Arial"/>
          <w:sz w:val="17"/>
          <w:szCs w:val="17"/>
          <w:color w:val="auto"/>
        </w:rPr>
        <w:t xml:space="preserve">2.1.8 In making its decision to purchase the Shares, Subscriber represents that it has relied solely upon independent investigation made by Subscriber and the Issuer’s representations, warranties and agreements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Without limiting the generality of the foregoing, Subscriber has not relied on any statements or other information provided by anyone other than the Issuer concerning the Issuer or the Shares or the offer and sale of the Shares. Subscriber acknowledges and agrees that Subscriber has received access to and has had an adequate opportunity to review such information as Subscriber deems necessary in order to make an investment decision with respect to the Shares, including with respect to the Issuer, the Company, and the Transactions and has made its own assessment and is satisfied concerning the relevant tax and other economic considerations relevant to the Subscriber’s investment in the Shares. Subscriber acknowledges that it has reviewed the documents made available to the Subscriber by the Company in the virtual dataroom as of the date hereof to which Subscriber has been granted access.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Shares.</w:t>
      </w:r>
    </w:p>
    <w:p>
      <w:pPr>
        <w:spacing w:after="0" w:line="74"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2.1.9 Subscriber became aware of this offering of the Shares solely by means of direct contact between Subscriber and the Issuer or its representative. Subscriber acknowledges that the Shares were not offered to Subscriber by any form of advertising or, to its knowledge, general solicitation, including methods described in Section 502(c) of Regulation D under the Securities Act.</w:t>
      </w:r>
    </w:p>
    <w:p>
      <w:pPr>
        <w:spacing w:after="0" w:line="76" w:lineRule="exact"/>
        <w:rPr>
          <w:sz w:val="20"/>
          <w:szCs w:val="20"/>
          <w:color w:val="auto"/>
        </w:rPr>
      </w:pPr>
    </w:p>
    <w:p>
      <w:pPr>
        <w:ind w:left="560" w:right="360" w:firstLine="423"/>
        <w:spacing w:after="0" w:line="301" w:lineRule="auto"/>
        <w:rPr>
          <w:sz w:val="20"/>
          <w:szCs w:val="20"/>
          <w:color w:val="auto"/>
        </w:rPr>
      </w:pPr>
      <w:r>
        <w:rPr>
          <w:rFonts w:ascii="Arial" w:cs="Arial" w:eastAsia="Arial" w:hAnsi="Arial"/>
          <w:sz w:val="16"/>
          <w:szCs w:val="16"/>
          <w:color w:val="auto"/>
        </w:rPr>
        <w:t>2.1.10 Subscriber acknowledges that it is aware that there are substantial risks incident to the purchase and ownership of the Shares. Subscriber has such knowledge and experience in financial and business matters as to be capable of evaluating the merits and risks of an investment in the Shares, and Subscriber has sought such accounting, legal, and tax advice as Subscriber has considered necessary to make an informed investment decision. The Subscriber understands and acknowledges that the purchase and sale of the Shares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hereunder meets (i) the exemptions from filing under FINRA Rule 5123(b)(1)(A) and (ii) the institutional customer exemption under FINRA Rule 2111(b).</w:t>
      </w:r>
    </w:p>
    <w:p>
      <w:pPr>
        <w:spacing w:after="0" w:line="62" w:lineRule="exact"/>
        <w:rPr>
          <w:sz w:val="20"/>
          <w:szCs w:val="20"/>
          <w:color w:val="auto"/>
        </w:rPr>
      </w:pPr>
    </w:p>
    <w:p>
      <w:pPr>
        <w:ind w:left="560" w:right="240" w:firstLine="423"/>
        <w:spacing w:after="0" w:line="286" w:lineRule="auto"/>
        <w:rPr>
          <w:sz w:val="20"/>
          <w:szCs w:val="20"/>
          <w:color w:val="auto"/>
        </w:rPr>
      </w:pPr>
      <w:r>
        <w:rPr>
          <w:rFonts w:ascii="Arial" w:cs="Arial" w:eastAsia="Arial" w:hAnsi="Arial"/>
          <w:sz w:val="17"/>
          <w:szCs w:val="17"/>
          <w:color w:val="auto"/>
        </w:rPr>
        <w:t>2.1.11 Alone, or together with any professional advisor(s), if any, Subscriber represents and acknowledges that Subscriber has adequately analyzed and considered the risks of an investment in the Shares and that Subscriber is able to bear the economic risk of a total loss of Subscriber’s investment in the Issuer. Subscriber acknowledges specifically that a possibility of total loss exists.</w:t>
      </w:r>
    </w:p>
    <w:p>
      <w:pPr>
        <w:spacing w:after="0" w:line="57"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2.1.12 Subscriber understands and agrees that no federal or state agency has passed upon or endorsed the merits of the offering of the Shares or made any findings or determination as to the fairness of an investment in the Shares.</w:t>
      </w:r>
    </w:p>
    <w:p>
      <w:pPr>
        <w:spacing w:after="0" w:line="62" w:lineRule="exact"/>
        <w:rPr>
          <w:sz w:val="20"/>
          <w:szCs w:val="20"/>
          <w:color w:val="auto"/>
        </w:rPr>
      </w:pPr>
    </w:p>
    <w:p>
      <w:pPr>
        <w:ind w:left="560" w:right="80" w:firstLine="423"/>
        <w:spacing w:after="0" w:line="286" w:lineRule="auto"/>
        <w:rPr>
          <w:sz w:val="20"/>
          <w:szCs w:val="20"/>
          <w:color w:val="auto"/>
        </w:rPr>
      </w:pPr>
      <w:r>
        <w:rPr>
          <w:rFonts w:ascii="Arial" w:cs="Arial" w:eastAsia="Arial" w:hAnsi="Arial"/>
          <w:sz w:val="16"/>
          <w:szCs w:val="16"/>
          <w:color w:val="auto"/>
        </w:rPr>
        <w:t>2.1.13 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or in any other Executive Order issued by the President of the United States and administered by OFAC (collectively, “</w:t>
      </w:r>
      <w:r>
        <w:rPr>
          <w:rFonts w:ascii="Arial" w:cs="Arial" w:eastAsia="Arial" w:hAnsi="Arial"/>
          <w:sz w:val="16"/>
          <w:szCs w:val="16"/>
          <w:b w:val="1"/>
          <w:bCs w:val="1"/>
          <w:color w:val="auto"/>
        </w:rPr>
        <w:t>OFAC Lists</w:t>
      </w:r>
      <w:r>
        <w:rPr>
          <w:rFonts w:ascii="Arial" w:cs="Arial" w:eastAsia="Arial" w:hAnsi="Arial"/>
          <w:sz w:val="16"/>
          <w:szCs w:val="16"/>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6"/>
          <w:szCs w:val="16"/>
          <w:b w:val="1"/>
          <w:bCs w:val="1"/>
          <w:color w:val="auto"/>
        </w:rPr>
        <w:t>BSA/PATRIOT Act</w:t>
      </w:r>
      <w:r>
        <w:rPr>
          <w:rFonts w:ascii="Arial" w:cs="Arial" w:eastAsia="Arial" w:hAnsi="Arial"/>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sanctions programs, including the OFAC Lists. Subscriber further represents and warrants that, to the extent required, it maintains policies and procedures reasonably designed to ensure that the funds held by Subscriber and used to purchase the Shares were legally derived.</w:t>
      </w:r>
    </w:p>
    <w:p>
      <w:pPr>
        <w:spacing w:after="0" w:line="59" w:lineRule="exact"/>
        <w:rPr>
          <w:sz w:val="20"/>
          <w:szCs w:val="20"/>
          <w:color w:val="auto"/>
        </w:rPr>
      </w:pPr>
    </w:p>
    <w:p>
      <w:pPr>
        <w:ind w:left="560" w:right="120" w:firstLine="423"/>
        <w:spacing w:after="0" w:line="289" w:lineRule="auto"/>
        <w:rPr>
          <w:sz w:val="20"/>
          <w:szCs w:val="20"/>
          <w:color w:val="auto"/>
        </w:rPr>
      </w:pPr>
      <w:r>
        <w:rPr>
          <w:rFonts w:ascii="Arial" w:cs="Arial" w:eastAsia="Arial" w:hAnsi="Arial"/>
          <w:sz w:val="16"/>
          <w:szCs w:val="16"/>
          <w:color w:val="auto"/>
        </w:rPr>
        <w:t>2.1.14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Arial" w:cs="Arial" w:eastAsia="Arial" w:hAnsi="Arial"/>
          <w:sz w:val="16"/>
          <w:szCs w:val="16"/>
          <w:b w:val="1"/>
          <w:bCs w:val="1"/>
          <w:color w:val="auto"/>
        </w:rPr>
        <w:t>Plan</w:t>
      </w:r>
      <w:r>
        <w:rPr>
          <w:rFonts w:ascii="Arial" w:cs="Arial" w:eastAsia="Arial" w:hAnsi="Arial"/>
          <w:sz w:val="16"/>
          <w:szCs w:val="16"/>
          <w:color w:val="auto"/>
        </w:rPr>
        <w:t>”) subject to the fiduciary or prohibited transaction provisions of ERISA or Section 4975 of the Code, Subscriber represents and warrants that neither the Issuer nor any of its affiliates (the “</w:t>
      </w:r>
      <w:r>
        <w:rPr>
          <w:rFonts w:ascii="Arial" w:cs="Arial" w:eastAsia="Arial" w:hAnsi="Arial"/>
          <w:sz w:val="16"/>
          <w:szCs w:val="16"/>
          <w:b w:val="1"/>
          <w:bCs w:val="1"/>
          <w:color w:val="auto"/>
        </w:rPr>
        <w:t>Transaction Parties</w:t>
      </w:r>
      <w:r>
        <w:rPr>
          <w:rFonts w:ascii="Arial" w:cs="Arial" w:eastAsia="Arial" w:hAnsi="Arial"/>
          <w:sz w:val="16"/>
          <w:szCs w:val="16"/>
          <w:color w:val="auto"/>
        </w:rPr>
        <w:t>”) has acted as the Plan’s fiduciary, or has been relied on for advice, with respect to its decision to acquire and hold the Shares, and none of the Transaction Parties shall at any time be relied upon as the Plan’s fiduciary with respect to any decision to acquire, continue to hold, or transfer the Shares.</w:t>
      </w:r>
    </w:p>
    <w:p>
      <w:pPr>
        <w:spacing w:after="0" w:line="58" w:lineRule="exact"/>
        <w:rPr>
          <w:sz w:val="20"/>
          <w:szCs w:val="20"/>
          <w:color w:val="auto"/>
        </w:rPr>
      </w:pPr>
    </w:p>
    <w:p>
      <w:pPr>
        <w:ind w:left="560" w:firstLine="423"/>
        <w:spacing w:after="0" w:line="286" w:lineRule="auto"/>
        <w:rPr>
          <w:sz w:val="20"/>
          <w:szCs w:val="20"/>
          <w:color w:val="auto"/>
        </w:rPr>
      </w:pPr>
      <w:r>
        <w:rPr>
          <w:rFonts w:ascii="Arial" w:cs="Arial" w:eastAsia="Arial" w:hAnsi="Arial"/>
          <w:sz w:val="16"/>
          <w:szCs w:val="16"/>
          <w:color w:val="auto"/>
        </w:rPr>
        <w:t>2.1.15 The Subscriber hereby acknowledges and agrees that it will not, nor will any person acting at the Subscriber’s direction or pursuant to any understanding with the Subscriber, directly or indirectly offer, sell, pledge, contract to sell, sell any option, engage in hedging activities or execute any “short sales” as defined in Rule 200 of Regulation SHO under the Exchange Act of the Shares until the consummation of the Transactions (or such earlier termination of this Subscription Agreement in accordance with its terms). For the avoidance of doubt, this</w:t>
      </w:r>
    </w:p>
    <w:p>
      <w:pPr>
        <w:spacing w:after="0" w:line="1" w:lineRule="exact"/>
        <w:rPr>
          <w:sz w:val="20"/>
          <w:szCs w:val="20"/>
          <w:color w:val="auto"/>
        </w:rPr>
      </w:pPr>
    </w:p>
    <w:p>
      <w:pPr>
        <w:ind w:left="560" w:right="160"/>
        <w:spacing w:after="0" w:line="323" w:lineRule="auto"/>
        <w:rPr>
          <w:sz w:val="20"/>
          <w:szCs w:val="20"/>
          <w:color w:val="auto"/>
        </w:rPr>
      </w:pPr>
      <w:r>
        <w:rPr>
          <w:rFonts w:ascii="Arial" w:cs="Arial" w:eastAsia="Arial" w:hAnsi="Arial"/>
          <w:sz w:val="16"/>
          <w:szCs w:val="16"/>
          <w:color w:val="auto"/>
        </w:rPr>
        <w:t>Section 2.1.15 shall not apply to (a) any sale (including the exercise of any redemption right) of securities of the Issuer (i) held by Subscriber, its controlled affiliates or any person or entity acting on behalf of Subscriber or any of its controlled affiliates prior to the execution of this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0" w:lineRule="auto"/>
        <w:rPr>
          <w:sz w:val="20"/>
          <w:szCs w:val="20"/>
          <w:color w:val="auto"/>
        </w:rPr>
      </w:pPr>
      <w:r>
        <w:rPr>
          <w:rFonts w:ascii="Arial" w:cs="Arial" w:eastAsia="Arial" w:hAnsi="Arial"/>
          <w:sz w:val="17"/>
          <w:szCs w:val="17"/>
          <w:color w:val="auto"/>
        </w:rPr>
        <w:t>Subscription Agreement or (ii) purchased by Subscriber, its controlled affiliates or any person or entity acting on behalf of Subscriber or any of its controlled affiliates in open market transactions after the execution of this Agreement or (b) ordinary course, non-speculative hedging transactions. Notwithstanding the foregoing, (a) nothing herein shall prohibit other entities under common management with the Subscriber that have no knowledge of this Subscription Agreement or of the Subscriber’s participation in the subscription (including the Subscriber’s controlled affiliates and/or affiliates) from entering into any short sales and (b)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Shares covered by this Subscription Agreement.</w:t>
      </w:r>
    </w:p>
    <w:p>
      <w:pPr>
        <w:spacing w:after="0" w:line="73"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 xml:space="preserve">2.1.16 Subscriber will have, on the date the Purchase Price would be required to be funded, sufficient immediately available funds to pay the Purchase Price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58" w:lineRule="exact"/>
        <w:rPr>
          <w:sz w:val="20"/>
          <w:szCs w:val="20"/>
          <w:color w:val="auto"/>
        </w:rPr>
      </w:pPr>
    </w:p>
    <w:p>
      <w:pPr>
        <w:ind w:left="560" w:right="60" w:firstLine="423"/>
        <w:spacing w:after="0" w:line="284" w:lineRule="auto"/>
        <w:rPr>
          <w:sz w:val="20"/>
          <w:szCs w:val="20"/>
          <w:color w:val="auto"/>
        </w:rPr>
      </w:pPr>
      <w:r>
        <w:rPr>
          <w:rFonts w:ascii="Arial" w:cs="Arial" w:eastAsia="Arial" w:hAnsi="Arial"/>
          <w:sz w:val="16"/>
          <w:szCs w:val="16"/>
          <w:color w:val="auto"/>
        </w:rPr>
        <w:t>2.1.17 The Subscriber hereby acknowledges and agrees that (a) each of J.P. Morgan Securities LLC (“</w:t>
      </w:r>
      <w:r>
        <w:rPr>
          <w:rFonts w:ascii="Arial" w:cs="Arial" w:eastAsia="Arial" w:hAnsi="Arial"/>
          <w:sz w:val="16"/>
          <w:szCs w:val="16"/>
          <w:b w:val="1"/>
          <w:bCs w:val="1"/>
          <w:color w:val="auto"/>
        </w:rPr>
        <w:t>JPM</w:t>
      </w:r>
      <w:r>
        <w:rPr>
          <w:rFonts w:ascii="Arial" w:cs="Arial" w:eastAsia="Arial" w:hAnsi="Arial"/>
          <w:sz w:val="16"/>
          <w:szCs w:val="16"/>
          <w:color w:val="auto"/>
        </w:rPr>
        <w:t>”) and Citigroup Global Capital Markets Inc. (“</w:t>
      </w:r>
      <w:r>
        <w:rPr>
          <w:rFonts w:ascii="Arial" w:cs="Arial" w:eastAsia="Arial" w:hAnsi="Arial"/>
          <w:sz w:val="16"/>
          <w:szCs w:val="16"/>
          <w:b w:val="1"/>
          <w:bCs w:val="1"/>
          <w:color w:val="auto"/>
        </w:rPr>
        <w:t>Citi</w:t>
      </w:r>
      <w:r>
        <w:rPr>
          <w:rFonts w:ascii="Arial" w:cs="Arial" w:eastAsia="Arial" w:hAnsi="Arial"/>
          <w:sz w:val="16"/>
          <w:szCs w:val="16"/>
          <w:color w:val="auto"/>
        </w:rPr>
        <w:t>” and together with JPM, in their respective capacities as placement agents with respect to the issuance and sale of the Shares pursuant to this Subscription Agreement and the Other Subscription Agreements, the “</w:t>
      </w:r>
      <w:r>
        <w:rPr>
          <w:rFonts w:ascii="Arial" w:cs="Arial" w:eastAsia="Arial" w:hAnsi="Arial"/>
          <w:sz w:val="16"/>
          <w:szCs w:val="16"/>
          <w:b w:val="1"/>
          <w:bCs w:val="1"/>
          <w:color w:val="auto"/>
        </w:rPr>
        <w:t>Placement Agents</w:t>
      </w:r>
      <w:r>
        <w:rPr>
          <w:rFonts w:ascii="Arial" w:cs="Arial" w:eastAsia="Arial" w:hAnsi="Arial"/>
          <w:sz w:val="16"/>
          <w:szCs w:val="16"/>
          <w:color w:val="auto"/>
        </w:rPr>
        <w:t>”) is each acting solely as Placement Agent in connection with the Transactions and is not acting as an underwriter or in any other capacity and is not and shall not be construed as a fiduciary for the undersigned, the Company or any other person or entity in connection with the Transactions, (b) the Placement Agents have not made and will not make any representation or warranty, whether express or implied, of any kind or character and have not provided any advice or recommendation in connection with the Transactions, (c) the Placement Agents will have no responsibility with respect to (i) any representations, warranties or agreements made by any person or entity under or in connection with the Transactions or any of the documents furnished pursuant thereto or in connection therewith, or the execution, legality, validity or enforceability (with respect to any person) of any thereof, or (ii) the business, affairs, financial condition, operations, properties or prospects of, or any other matter concerning the Company or the Transactions, and</w:t>
      </w:r>
    </w:p>
    <w:p>
      <w:pPr>
        <w:spacing w:after="0" w:line="1" w:lineRule="exact"/>
        <w:rPr>
          <w:sz w:val="20"/>
          <w:szCs w:val="20"/>
          <w:color w:val="auto"/>
        </w:rPr>
      </w:pPr>
    </w:p>
    <w:p>
      <w:pPr>
        <w:ind w:left="560" w:right="320" w:hanging="4"/>
        <w:spacing w:after="0" w:line="253" w:lineRule="auto"/>
        <w:tabs>
          <w:tab w:leader="none" w:pos="81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Placement Agents shall have no liability or obligation (including without limitation, for or with respect to any losses, claims, damages, obligations, penalties, judgments, awards, liabilities, costs, expenses or disbursements incurred by the Subscriber, the Company or any other person or entity), whether in contract, tort or otherwise, to the Subscriber, or to any person claiming through the Subscriber, in respect of the Transactions.</w:t>
      </w:r>
    </w:p>
    <w:p>
      <w:pPr>
        <w:spacing w:after="0" w:line="85"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2.1.18 No broker, finder, or other financial consultant has acted on behalf of or at the direction of Subscriber in connection with this Subscription Agreement or the transactions contemplated hereby in such a way as to create any liability on the Issuer, the Company or any of their respective subsidiaries.</w:t>
      </w:r>
    </w:p>
    <w:p>
      <w:pPr>
        <w:spacing w:after="0" w:line="184"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Issuer’s Representations, Warranties, and Agreements</w:t>
      </w:r>
      <w:r>
        <w:rPr>
          <w:rFonts w:ascii="Arial" w:cs="Arial" w:eastAsia="Arial" w:hAnsi="Arial"/>
          <w:sz w:val="18"/>
          <w:szCs w:val="18"/>
          <w:color w:val="auto"/>
        </w:rPr>
        <w:t>. To induce Subscriber to purchase the Shares, the Issuer hereby represents and warrants to Subscriber and agrees, as of the date hereof and as of the Closing Date, with Subscriber as follows:</w:t>
      </w:r>
    </w:p>
    <w:p>
      <w:pPr>
        <w:spacing w:after="0" w:line="62"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2.2.1 The Issuer has been duly incorporated and is validly existing as a corporation in good standing under the laws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with corporate power and authority to own, lease, and operate its properties and conduct its business as presently conducted and to enter into, deliver, and perform its obligations under this Subscription Agreement. Other than direct ownership of First Merger Sub and Second Merger Sub, the Issuer has no direct or indirect subsidiaries, and does not own or hold the right to acquire any stock, partnership interest or joint venture interest or other equity ownership interest in any other partnership, corporation, organization or entity. There are no outstanding contractual obligations of the Issuer to provide funds to, or to make any investment (in the form of a loan, capital contribution or otherwise) in, any other person.</w:t>
      </w:r>
    </w:p>
    <w:p>
      <w:pPr>
        <w:spacing w:after="0" w:line="69"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2.2.2 The Shares have been duly authorized and, when issued and delivered to Subscriber against full payment for the Shares, will be free and clear of any liens or other restrictions whatsoever (other than those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86" w:lineRule="auto"/>
        <w:rPr>
          <w:sz w:val="20"/>
          <w:szCs w:val="20"/>
          <w:color w:val="auto"/>
        </w:rPr>
      </w:pPr>
      <w:r>
        <w:rPr>
          <w:rFonts w:ascii="Arial" w:cs="Arial" w:eastAsia="Arial" w:hAnsi="Arial"/>
          <w:sz w:val="17"/>
          <w:szCs w:val="17"/>
          <w:color w:val="auto"/>
        </w:rPr>
        <w:t>specified hereunder) in accordance with the terms of this Subscription Agreement and registered with the Issuer’s transfer agent, the Shares will be validly issued, fully paid, and non-assessable, and will not have been issued in violation of or subject to any preemptive or similar rights, whether created under the Issuer’s amended and restated certificate of incorporation, or under the DGCL or otherwise.</w:t>
      </w:r>
    </w:p>
    <w:p>
      <w:pPr>
        <w:spacing w:after="0" w:line="57" w:lineRule="exact"/>
        <w:rPr>
          <w:sz w:val="20"/>
          <w:szCs w:val="20"/>
          <w:color w:val="auto"/>
        </w:rPr>
      </w:pPr>
    </w:p>
    <w:p>
      <w:pPr>
        <w:ind w:left="560" w:right="340" w:firstLine="423"/>
        <w:spacing w:after="0" w:line="257" w:lineRule="auto"/>
        <w:rPr>
          <w:sz w:val="20"/>
          <w:szCs w:val="20"/>
          <w:color w:val="auto"/>
        </w:rPr>
      </w:pPr>
      <w:r>
        <w:rPr>
          <w:rFonts w:ascii="Arial" w:cs="Arial" w:eastAsia="Arial" w:hAnsi="Arial"/>
          <w:sz w:val="18"/>
          <w:szCs w:val="18"/>
          <w:color w:val="auto"/>
        </w:rPr>
        <w:t>2.2.3 This Subscription Agreement has been duly authorized and validly executed and delivered by the Issuer and, assuming that this Subscription Agreement constitutes the valid and binding obligation of Subscriber, is the valid and binding obligation of the Issuer and is enforceable against the Issuer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80"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2.2.4 The execution, delivery, and performance of this Subscription Agreement (including compliance by the Issuer with all of the provisions hereof), issuance and sale of the Shares, and the consummation of the other transactions contemplated herein, including the Transactions, will not (i) conflict with or result in a breach or violation of any of the terms or provisions of, or constitute a default under, or result in the creation or imposition of any lien, charge, or encumbrance upon any of the property or assets of the Issuer or any of its subsidiaries pursuant to the terms of any indenture, mortgage, deed of trust, loan agreement, lease, license, or other agreement or instrument to which the Issuer or any of its subsidiaries is a party or by which the Issuer or any of its subsidiaries is bound or to which any of the property or assets of the Issuer or any of its subsidiaries is subject, which would, in any case, reasonably be expected, individually or in the aggregate, to have a material adverse effect on the business, properties, financial condition, stockholders’ equity or results of operations of the Issuer or the Company or their respective subsidiaries individually or taken as a whole and including the combined company after giving effect to the Transactions, or prevents, materially impairs, materially delays or materially impedes the ability of the Issuer to enter into and timely perform its obligations under this Subscription Agreement, the Merger Agreement or materially affect the validity or enforceability of the Shares (an “</w:t>
      </w:r>
      <w:r>
        <w:rPr>
          <w:rFonts w:ascii="Arial" w:cs="Arial" w:eastAsia="Arial" w:hAnsi="Arial"/>
          <w:sz w:val="17"/>
          <w:szCs w:val="17"/>
          <w:b w:val="1"/>
          <w:bCs w:val="1"/>
          <w:color w:val="auto"/>
        </w:rPr>
        <w:t>Issuer Material Adverse Effect</w:t>
      </w:r>
      <w:r>
        <w:rPr>
          <w:rFonts w:ascii="Arial" w:cs="Arial" w:eastAsia="Arial" w:hAnsi="Arial"/>
          <w:sz w:val="17"/>
          <w:szCs w:val="17"/>
          <w:color w:val="auto"/>
        </w:rPr>
        <w:t>”), (ii) result in any violation of the provisions of the organizational documents of the Issuer or any of its subsidiaries, (iii) result in any violation of any statute or any judgment, order, rule, or regulation of any court or governmental agency or body, domestic or foreign, having jurisdiction over the Issuer or any of its subsidiaries or any of its and their respective properties that would, individually or in the aggregate, reasonably be expected to have an Issuer Material Adverse Effect.</w:t>
      </w:r>
    </w:p>
    <w:p>
      <w:pPr>
        <w:spacing w:after="0" w:line="74"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2.2.5 The Issuer is not required to obtain any consent, waiver, authorization or order of, give any notice to, or make any filing or registration with, any court or other federal, state, local or other governmental authority or self-regulatory organization in connection with the execution, delivery and performance of this Subscription Agreement (including, without limitation, the issuance of the Shares), the failure of which would reasonably be expected to have an Issuer Material Adverse Effect, other than (i) filings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(ii) filings required by applicable state securities laws, (iii) any filings required under the Hart-Scott-Rodino Antitrust Improvements Act of 1976 or similar antitrust laws, and (iv) filings required by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including with respect to obtaining Company stockholder approval.</w:t>
      </w:r>
    </w:p>
    <w:p>
      <w:pPr>
        <w:spacing w:after="0" w:line="87" w:lineRule="exact"/>
        <w:rPr>
          <w:sz w:val="20"/>
          <w:szCs w:val="20"/>
          <w:color w:val="auto"/>
        </w:rPr>
      </w:pPr>
    </w:p>
    <w:p>
      <w:pPr>
        <w:ind w:left="560" w:right="260" w:firstLine="423"/>
        <w:spacing w:after="0" w:line="263" w:lineRule="auto"/>
        <w:rPr>
          <w:sz w:val="20"/>
          <w:szCs w:val="20"/>
          <w:color w:val="auto"/>
        </w:rPr>
      </w:pPr>
      <w:r>
        <w:rPr>
          <w:rFonts w:ascii="Arial" w:cs="Arial" w:eastAsia="Arial" w:hAnsi="Arial"/>
          <w:sz w:val="18"/>
          <w:szCs w:val="18"/>
          <w:color w:val="auto"/>
        </w:rPr>
        <w:t>2.2.6 Concurrently with the execution and delivery of this Subscription Agreement, the Issuer is entering into the Other Subscription Agreements providing for the sale of an aggregate of 30,000,000 Shares for an aggregate purchase price of $300,000,000 (including the Shares purchased and sold under this Subscription Agreement).</w:t>
      </w:r>
    </w:p>
    <w:p>
      <w:pPr>
        <w:spacing w:after="0" w:line="76" w:lineRule="exact"/>
        <w:rPr>
          <w:sz w:val="20"/>
          <w:szCs w:val="20"/>
          <w:color w:val="auto"/>
        </w:rPr>
      </w:pPr>
    </w:p>
    <w:p>
      <w:pPr>
        <w:jc w:val="both"/>
        <w:ind w:left="560" w:right="380" w:firstLine="423"/>
        <w:spacing w:after="0" w:line="263" w:lineRule="auto"/>
        <w:rPr>
          <w:sz w:val="20"/>
          <w:szCs w:val="20"/>
          <w:color w:val="auto"/>
        </w:rPr>
      </w:pPr>
      <w:r>
        <w:rPr>
          <w:rFonts w:ascii="Arial" w:cs="Arial" w:eastAsia="Arial" w:hAnsi="Arial"/>
          <w:sz w:val="18"/>
          <w:szCs w:val="18"/>
          <w:color w:val="auto"/>
        </w:rPr>
        <w:t xml:space="preserve">2.2.7 Assuming the accuracy of Subscriber’s representations and warranties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Subscription Agreement, no registration under the Securities Act is required for the offer and sale of the Class A Common Stock by the Issuer to Subscriber and the Other Subscribers.</w:t>
      </w:r>
    </w:p>
    <w:p>
      <w:pPr>
        <w:spacing w:after="0" w:line="76"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2.2.8 The issued and outstanding shares of Class A Common Stock of the Issuer are registered pursuant to Section 12(b) of the Exchange Act and are listed for trading on the Nasdaq under the symbol “HEC” (it being understood that the trading symbol will be changed in connection with the Closing). There is no suit,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00"/>
          </w:cols>
          <w:pgMar w:left="320" w:top="459" w:right="47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color w:val="auto"/>
        </w:rPr>
        <w:t>action, proceeding or investigation pending or, to the knowledge of the Issuer, threatened against the Issuer by Nasdaq or the Commission. The Issuer has taken no action that is designed to terminate or expected to result in the termination of the registration of the Class A Common Stock under the Exchange Act.</w:t>
      </w:r>
    </w:p>
    <w:p>
      <w:pPr>
        <w:spacing w:after="0" w:line="76" w:lineRule="exact"/>
        <w:rPr>
          <w:sz w:val="20"/>
          <w:szCs w:val="20"/>
          <w:color w:val="auto"/>
        </w:rPr>
      </w:pPr>
    </w:p>
    <w:p>
      <w:pPr>
        <w:ind w:left="560" w:right="20" w:firstLine="423"/>
        <w:spacing w:after="0" w:line="269" w:lineRule="auto"/>
        <w:rPr>
          <w:sz w:val="20"/>
          <w:szCs w:val="20"/>
          <w:color w:val="auto"/>
        </w:rPr>
      </w:pPr>
      <w:r>
        <w:rPr>
          <w:rFonts w:ascii="Arial" w:cs="Arial" w:eastAsia="Arial" w:hAnsi="Arial"/>
          <w:sz w:val="17"/>
          <w:szCs w:val="17"/>
          <w:color w:val="auto"/>
        </w:rPr>
        <w:t>2.2.9 The Issuer has made available to Subscriber (including via the Commission’s EDGAR system) a true, correct, and complete copy of each form, report, statement, schedule, prospectus, proxy, registration statement, and other documents filed by the Issuer with the Commission prior to the date of this Subscription Agreement (the “</w:t>
      </w:r>
      <w:r>
        <w:rPr>
          <w:rFonts w:ascii="Arial" w:cs="Arial" w:eastAsia="Arial" w:hAnsi="Arial"/>
          <w:sz w:val="17"/>
          <w:szCs w:val="17"/>
          <w:b w:val="1"/>
          <w:bCs w:val="1"/>
          <w:color w:val="auto"/>
        </w:rPr>
        <w:t>SEC Documents</w:t>
      </w:r>
      <w:r>
        <w:rPr>
          <w:rFonts w:ascii="Arial" w:cs="Arial" w:eastAsia="Arial" w:hAnsi="Arial"/>
          <w:sz w:val="17"/>
          <w:szCs w:val="17"/>
          <w:color w:val="auto"/>
        </w:rPr>
        <w:t>”), which SEC Documents, as of their respective filing dates, complied in all material respects with the requirements of the Exchange Act applicable to the SEC Documents and the rules and regulations of the Commission promulgated thereunder applicable to the SEC Documents. None of the SEC Documents filed, contained, when filed or, if amended prior to the date of this Subscription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The Issuer has timely filed each report, statement, schedule, prospectus, and registration statement that the Issuer was required to file with the Commission since its inception and through the date hereof. As of the date hereof, there are, and upon Closing there shall be, no material outstanding or unresolved comments in comment letters from the Commission staff with respect to any of the SEC Documents.</w:t>
      </w:r>
    </w:p>
    <w:p>
      <w:pPr>
        <w:spacing w:after="0" w:line="74" w:lineRule="exact"/>
        <w:rPr>
          <w:sz w:val="20"/>
          <w:szCs w:val="20"/>
          <w:color w:val="auto"/>
        </w:rPr>
      </w:pPr>
    </w:p>
    <w:p>
      <w:pPr>
        <w:ind w:left="560" w:right="60" w:firstLine="423"/>
        <w:spacing w:after="0" w:line="284" w:lineRule="auto"/>
        <w:rPr>
          <w:sz w:val="20"/>
          <w:szCs w:val="20"/>
          <w:color w:val="auto"/>
        </w:rPr>
      </w:pPr>
      <w:r>
        <w:rPr>
          <w:rFonts w:ascii="Arial" w:cs="Arial" w:eastAsia="Arial" w:hAnsi="Arial"/>
          <w:sz w:val="16"/>
          <w:szCs w:val="16"/>
          <w:color w:val="auto"/>
        </w:rPr>
        <w:t>2.2.10 As of the date hereof and as of immediately prior to the Transactions, the authorized capital stock of the Issuer is 401,000,000 shares, consisting of (a) 380,000,000 shares of Class A Common Stock, (b) 20,000,000 shares of Class B common stock, par value $0.0001 per share (the “</w:t>
      </w:r>
      <w:r>
        <w:rPr>
          <w:rFonts w:ascii="Arial" w:cs="Arial" w:eastAsia="Arial" w:hAnsi="Arial"/>
          <w:sz w:val="16"/>
          <w:szCs w:val="16"/>
          <w:b w:val="1"/>
          <w:bCs w:val="1"/>
          <w:color w:val="auto"/>
        </w:rPr>
        <w:t>Existing Class B Shares</w:t>
      </w:r>
      <w:r>
        <w:rPr>
          <w:rFonts w:ascii="Arial" w:cs="Arial" w:eastAsia="Arial" w:hAnsi="Arial"/>
          <w:sz w:val="16"/>
          <w:szCs w:val="16"/>
          <w:color w:val="auto"/>
        </w:rPr>
        <w:t>”), and (c) 1,000,000 shares of preferred stock, par value $0.0001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As of the date hereof: (i) no Preferred Shares are issued and outstanding; (ii) 41,400,000 shares of Class A Common Stock are issued and outstanding; (iii) 10,350,000 shares of Existing Class B Shares are issued and outstanding; (iv) 10,350,000 warrants to purchase 10,350,000 shares of Class A Common Stock (the “</w:t>
      </w:r>
      <w:r>
        <w:rPr>
          <w:rFonts w:ascii="Arial" w:cs="Arial" w:eastAsia="Arial" w:hAnsi="Arial"/>
          <w:sz w:val="16"/>
          <w:szCs w:val="16"/>
          <w:b w:val="1"/>
          <w:bCs w:val="1"/>
          <w:color w:val="auto"/>
        </w:rPr>
        <w:t>Private Placement Warrants</w:t>
      </w:r>
      <w:r>
        <w:rPr>
          <w:rFonts w:ascii="Arial" w:cs="Arial" w:eastAsia="Arial" w:hAnsi="Arial"/>
          <w:sz w:val="16"/>
          <w:szCs w:val="16"/>
          <w:color w:val="auto"/>
        </w:rPr>
        <w:t>”) are outstanding and (v) 20,700,000 warrants to purchase 20,700,000 shares of Class A Common Stock (the “</w:t>
      </w:r>
      <w:r>
        <w:rPr>
          <w:rFonts w:ascii="Arial" w:cs="Arial" w:eastAsia="Arial" w:hAnsi="Arial"/>
          <w:sz w:val="16"/>
          <w:szCs w:val="16"/>
          <w:b w:val="1"/>
          <w:bCs w:val="1"/>
          <w:color w:val="auto"/>
        </w:rPr>
        <w:t>Public Warrants</w:t>
      </w:r>
      <w:r>
        <w:rPr>
          <w:rFonts w:ascii="Arial" w:cs="Arial" w:eastAsia="Arial" w:hAnsi="Arial"/>
          <w:sz w:val="16"/>
          <w:szCs w:val="16"/>
          <w:color w:val="auto"/>
        </w:rPr>
        <w:t>”) are outstanding. All (A) issued and outstanding shares of Class A Common Stock and Existing Class B Shares have been duly authorized and validly issued, are fully paid and are non-assessable and are not subject to preemptive rights and</w:t>
      </w:r>
    </w:p>
    <w:p>
      <w:pPr>
        <w:spacing w:after="0" w:line="1" w:lineRule="exact"/>
        <w:rPr>
          <w:sz w:val="20"/>
          <w:szCs w:val="20"/>
          <w:color w:val="auto"/>
        </w:rPr>
      </w:pPr>
    </w:p>
    <w:p>
      <w:pPr>
        <w:ind w:left="560" w:hanging="4"/>
        <w:spacing w:after="0" w:line="253" w:lineRule="auto"/>
        <w:tabs>
          <w:tab w:leader="none" w:pos="84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outstanding Private Placement Warrants and Public Warrants have been duly authorized and validly issued, are fully paid and are not subject to preemptive rights. Except as set forth above and pursuant to the Other Subscription Agreements, the Forward Purchase Agreement and the Merger Agreement, there are no outstanding options, warrants or other rights to subscribe for, purchase or acquire from the Issuer any shares of Class A Common Stock or Class B common stock, or any other equity interests in the Issuer, or securities convertible into or exchangeable or exercisable for such equity interests.</w:t>
      </w:r>
    </w:p>
    <w:p>
      <w:pPr>
        <w:spacing w:after="0" w:line="83" w:lineRule="exact"/>
        <w:rPr>
          <w:sz w:val="20"/>
          <w:szCs w:val="20"/>
          <w:color w:val="auto"/>
        </w:rPr>
      </w:pPr>
    </w:p>
    <w:p>
      <w:pPr>
        <w:ind w:left="560" w:right="560" w:firstLine="423"/>
        <w:spacing w:after="0" w:line="277" w:lineRule="auto"/>
        <w:rPr>
          <w:sz w:val="20"/>
          <w:szCs w:val="20"/>
          <w:color w:val="auto"/>
        </w:rPr>
      </w:pPr>
      <w:r>
        <w:rPr>
          <w:rFonts w:ascii="Arial" w:cs="Arial" w:eastAsia="Arial" w:hAnsi="Arial"/>
          <w:sz w:val="18"/>
          <w:szCs w:val="18"/>
          <w:color w:val="auto"/>
        </w:rPr>
        <w:t>2.2.11 The Company is not, and immediately after receipt of payment for the Shares will not be, an “investment company” within the meaning of the Investment Company Act of 1940, as amended.</w:t>
      </w:r>
    </w:p>
    <w:p>
      <w:pPr>
        <w:spacing w:after="0" w:line="62" w:lineRule="exact"/>
        <w:rPr>
          <w:sz w:val="20"/>
          <w:szCs w:val="20"/>
          <w:color w:val="auto"/>
        </w:rPr>
      </w:pPr>
    </w:p>
    <w:p>
      <w:pPr>
        <w:ind w:left="560" w:right="60" w:firstLine="423"/>
        <w:spacing w:after="0" w:line="271" w:lineRule="auto"/>
        <w:rPr>
          <w:sz w:val="20"/>
          <w:szCs w:val="20"/>
          <w:color w:val="auto"/>
        </w:rPr>
      </w:pPr>
      <w:r>
        <w:rPr>
          <w:rFonts w:ascii="Arial" w:cs="Arial" w:eastAsia="Arial" w:hAnsi="Arial"/>
          <w:sz w:val="17"/>
          <w:szCs w:val="17"/>
          <w:color w:val="auto"/>
        </w:rPr>
        <w:t>2.2.12 Other than the Other Subscription Agreements, the Merger Agreement and any other agreement contemplated by the Merger Agreement, neither the Company nor the Issuer has entered into any side letter or similar agreement with any Other Subscriber or any other investor in connection with such Other Subscriber’s or investor’s direct or indirect investment in the Company (other than any side letter or similar agreement relating to the transfer to any investor of (i) securities of the Company by existing securityholders of the Company, which may be effectuated as a forfeiture to the Company and reissuance, or (ii) securities to be issued to the direct or indirect securityholders of the Company pursuant to the Merger Agreement). No Other Subscription Agreement includes terms and conditions that are materially more advantageous to any such Other Subscriber than the Subscriber hereunder, and such Other Subscription Agreements have not been amended or modified in any material respect following the date of this Subscription Agreement.</w:t>
      </w:r>
    </w:p>
    <w:p>
      <w:pPr>
        <w:spacing w:after="0" w:line="70" w:lineRule="exact"/>
        <w:rPr>
          <w:sz w:val="20"/>
          <w:szCs w:val="20"/>
          <w:color w:val="auto"/>
        </w:rPr>
      </w:pPr>
    </w:p>
    <w:p>
      <w:pPr>
        <w:ind w:left="560" w:right="440" w:firstLine="423"/>
        <w:spacing w:after="0" w:line="277" w:lineRule="auto"/>
        <w:rPr>
          <w:sz w:val="20"/>
          <w:szCs w:val="20"/>
          <w:color w:val="auto"/>
        </w:rPr>
      </w:pPr>
      <w:r>
        <w:rPr>
          <w:rFonts w:ascii="Arial" w:cs="Arial" w:eastAsia="Arial" w:hAnsi="Arial"/>
          <w:sz w:val="18"/>
          <w:szCs w:val="18"/>
          <w:color w:val="auto"/>
        </w:rPr>
        <w:t>2.2.13 Other than as set forth in the Merger Agreement, there are no securities or instruments issued by or to which the Issuer is a party containing anti-dilution or similar provisions that will be triggered by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 xml:space="preserve">issuance of (i) the Shares or (ii) the shares to be issued pursuant to any Other Subscription Agreement (as defined below) or the Forward Purchase Agreement that have not been or will not be validly waived on or prior to the closing of the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any such holders will waive any such anti-dilution or similar provisions in connection with the Transactions.</w:t>
      </w:r>
    </w:p>
    <w:p>
      <w:pPr>
        <w:spacing w:after="0" w:line="76" w:lineRule="exact"/>
        <w:rPr>
          <w:sz w:val="20"/>
          <w:szCs w:val="20"/>
          <w:color w:val="auto"/>
        </w:rPr>
      </w:pPr>
    </w:p>
    <w:p>
      <w:pPr>
        <w:ind w:left="560" w:right="380" w:firstLine="423"/>
        <w:spacing w:after="0" w:line="279" w:lineRule="auto"/>
        <w:rPr>
          <w:sz w:val="20"/>
          <w:szCs w:val="20"/>
          <w:color w:val="auto"/>
        </w:rPr>
      </w:pPr>
      <w:r>
        <w:rPr>
          <w:rFonts w:ascii="Arial" w:cs="Arial" w:eastAsia="Arial" w:hAnsi="Arial"/>
          <w:sz w:val="17"/>
          <w:szCs w:val="17"/>
          <w:color w:val="auto"/>
        </w:rPr>
        <w:t>2.2.14 As of the date hereof, there are no pending or, to the knowledge of the Issuer, threatened suits, claim, actions or proceedings (collectively, “</w:t>
      </w:r>
      <w:r>
        <w:rPr>
          <w:rFonts w:ascii="Arial" w:cs="Arial" w:eastAsia="Arial" w:hAnsi="Arial"/>
          <w:sz w:val="17"/>
          <w:szCs w:val="17"/>
          <w:b w:val="1"/>
          <w:bCs w:val="1"/>
          <w:color w:val="auto"/>
        </w:rPr>
        <w:t>Actions</w:t>
      </w:r>
      <w:r>
        <w:rPr>
          <w:rFonts w:ascii="Arial" w:cs="Arial" w:eastAsia="Arial" w:hAnsi="Arial"/>
          <w:sz w:val="17"/>
          <w:szCs w:val="17"/>
          <w:color w:val="auto"/>
        </w:rPr>
        <w:t>”), which, if determined adversely, would, individually or in the aggregate, reasonably be expected to have an Issuer Material Adverse Effect. As of the date hereof, there is no unsatisfied judgment or any open injunction binding upon the Issuer which would, individually or in the aggregate, reasonably be expected to have an Issuer Material Adverse Effect.</w:t>
      </w:r>
    </w:p>
    <w:p>
      <w:pPr>
        <w:spacing w:after="0" w:line="63" w:lineRule="exact"/>
        <w:rPr>
          <w:sz w:val="20"/>
          <w:szCs w:val="20"/>
          <w:color w:val="auto"/>
        </w:rPr>
      </w:pPr>
    </w:p>
    <w:p>
      <w:pPr>
        <w:ind w:left="560" w:right="260" w:firstLine="423"/>
        <w:spacing w:after="0" w:line="259" w:lineRule="auto"/>
        <w:rPr>
          <w:sz w:val="20"/>
          <w:szCs w:val="20"/>
          <w:color w:val="auto"/>
        </w:rPr>
      </w:pPr>
      <w:r>
        <w:rPr>
          <w:rFonts w:ascii="Arial" w:cs="Arial" w:eastAsia="Arial" w:hAnsi="Arial"/>
          <w:sz w:val="18"/>
          <w:szCs w:val="18"/>
          <w:color w:val="auto"/>
        </w:rPr>
        <w:t>2.2.15 Other than to the Placement Agents, no broker, finder, or other financial consultant has acted on behalf of or at the direction of the Issuer in connection with this Subscription Agreement or the transactions contemplated hereby in such a way as to create any liability on Subscriber. Issuer is solely responsible for paying any fees or any other commission owed to the Placement Agents in connection with the transactions contemplated by this Subscription Agreement.</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2.2.16 The Issuer is not, and immediately after receipt of payment for the Shares, will not be, an “investment company” within the meaning of the Investment Company Act of 1940, as amended.</w:t>
      </w:r>
    </w:p>
    <w:p>
      <w:pPr>
        <w:spacing w:after="0" w:line="62"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2.2.17 The Issuer is in compliance with all applicable laws, except where such non-compliance would not reasonably be expected to have an Issuer Material Adverse Effect. The Issuer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expected to have an Issuer Material Adverse Effect.</w:t>
      </w:r>
    </w:p>
    <w:p>
      <w:pPr>
        <w:spacing w:after="0" w:line="63"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2.2.18 The Issuer acknowledges and agrees that, notwithstanding anything herein to the contrary, prior to the Effectiveness Date, the Shares may be pledged by Subscriber in connection with a bona fide margin agreement, which such pledge (but for the avoidance of doubt, not any call or redemption in connection with such pledge) shall not be deemed to be a transfer, sale or assignment of the Shares hereunder, and Subscriber effecting a pledge of Shares shall not be required to provide the Issuer with any notice thereof or otherwise make any delivery to the Issuer pursuant to this Subscription Agreement.</w:t>
      </w:r>
    </w:p>
    <w:p>
      <w:pPr>
        <w:spacing w:after="0" w:line="80" w:lineRule="exact"/>
        <w:rPr>
          <w:sz w:val="20"/>
          <w:szCs w:val="20"/>
          <w:color w:val="auto"/>
        </w:rPr>
      </w:pPr>
    </w:p>
    <w:p>
      <w:pPr>
        <w:ind w:left="560" w:right="540" w:firstLine="423"/>
        <w:spacing w:after="0" w:line="308" w:lineRule="auto"/>
        <w:rPr>
          <w:sz w:val="20"/>
          <w:szCs w:val="20"/>
          <w:color w:val="auto"/>
        </w:rPr>
      </w:pPr>
      <w:r>
        <w:rPr>
          <w:rFonts w:ascii="Arial" w:cs="Arial" w:eastAsia="Arial" w:hAnsi="Arial"/>
          <w:sz w:val="17"/>
          <w:szCs w:val="17"/>
          <w:color w:val="auto"/>
        </w:rPr>
        <w:t>2.2.19 Neither the Issuer nor any person acting on its behalf has engaged or will engage in any form of general solicitation or general advertising (within the meaning of Regulation D of the Securities Act) in connection with any offer or sale of the Shares.</w:t>
      </w:r>
    </w:p>
    <w:p>
      <w:pPr>
        <w:spacing w:after="0" w:line="38"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2.2.20 The Issuer is not in default or violation (and no event has occurred which, with notice or the lapse of time or both, would constitute a default or violation) of any term, condition or provision of (i) the Issuer’s charter documents, (ii) any loan or credit agreement, note, bond, mortgage, indenture, lease or other agreement, permit, franchise or license to which the Issuer is now a party or by which the Issuer’s properties or assets are bound or (iii) any statute or any judgment, order, rule or regulation of any court or governmental agency or body, domestic or foreign, having jurisdiction over the Issuer or any of its properties, except, in the case of clauses (ii) and (iii), for defaults or violations that have not had and would not be reasonably likely to have, individually or in the aggregate, an Issuer Material Adverse Effect.</w:t>
      </w:r>
    </w:p>
    <w:p>
      <w:pPr>
        <w:spacing w:after="0" w:line="164" w:lineRule="exact"/>
        <w:rPr>
          <w:sz w:val="20"/>
          <w:szCs w:val="20"/>
          <w:color w:val="auto"/>
        </w:rPr>
      </w:pPr>
    </w:p>
    <w:p>
      <w:pPr>
        <w:ind w:left="1280" w:hanging="173"/>
        <w:spacing w:after="0"/>
        <w:tabs>
          <w:tab w:leader="none" w:pos="128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Settlement Date and Delivery; Closing</w:t>
      </w:r>
      <w:r>
        <w:rPr>
          <w:rFonts w:ascii="Arial" w:cs="Arial" w:eastAsia="Arial" w:hAnsi="Arial"/>
          <w:sz w:val="18"/>
          <w:szCs w:val="18"/>
          <w:color w:val="auto"/>
        </w:rPr>
        <w:t>.</w:t>
      </w:r>
    </w:p>
    <w:p>
      <w:pPr>
        <w:spacing w:after="0" w:line="117" w:lineRule="exact"/>
        <w:rPr>
          <w:sz w:val="20"/>
          <w:szCs w:val="20"/>
          <w:color w:val="auto"/>
        </w:rPr>
      </w:pPr>
    </w:p>
    <w:p>
      <w:pPr>
        <w:ind w:left="560" w:right="180" w:firstLine="423"/>
        <w:spacing w:after="0" w:line="293" w:lineRule="auto"/>
        <w:rPr>
          <w:sz w:val="20"/>
          <w:szCs w:val="20"/>
          <w:color w:val="auto"/>
        </w:rPr>
      </w:pPr>
      <w:r>
        <w:rPr>
          <w:rFonts w:ascii="Arial" w:cs="Arial" w:eastAsia="Arial" w:hAnsi="Arial"/>
          <w:sz w:val="16"/>
          <w:szCs w:val="16"/>
          <w:color w:val="auto"/>
        </w:rPr>
        <w:t>3.1.1 Subject to the satisfaction or waiver of the conditions set forth in sections 3.1.1, 3.1.2, 3.1.3 and 3.1.4 below, the closing of the Subscription contemplated hereby (the “</w:t>
      </w:r>
      <w:r>
        <w:rPr>
          <w:rFonts w:ascii="Arial" w:cs="Arial" w:eastAsia="Arial" w:hAnsi="Arial"/>
          <w:sz w:val="16"/>
          <w:szCs w:val="16"/>
          <w:b w:val="1"/>
          <w:bCs w:val="1"/>
          <w:color w:val="auto"/>
        </w:rPr>
        <w:t>Closing</w:t>
      </w:r>
      <w:r>
        <w:rPr>
          <w:rFonts w:ascii="Arial" w:cs="Arial" w:eastAsia="Arial" w:hAnsi="Arial"/>
          <w:sz w:val="16"/>
          <w:szCs w:val="16"/>
          <w:color w:val="auto"/>
        </w:rPr>
        <w:t>”) shall occur on the date of, and substantially concurrently with, the consummation of the Transactions (such date, the “Closing Date”). Upon written notice from (or on behalf of) the Issuer to Subscriber (the “</w:t>
      </w:r>
      <w:r>
        <w:rPr>
          <w:rFonts w:ascii="Arial" w:cs="Arial" w:eastAsia="Arial" w:hAnsi="Arial"/>
          <w:sz w:val="16"/>
          <w:szCs w:val="16"/>
          <w:b w:val="1"/>
          <w:bCs w:val="1"/>
          <w:color w:val="auto"/>
        </w:rPr>
        <w:t>Closing Notice</w:t>
      </w:r>
      <w:r>
        <w:rPr>
          <w:rFonts w:ascii="Arial" w:cs="Arial" w:eastAsia="Arial" w:hAnsi="Arial"/>
          <w:sz w:val="16"/>
          <w:szCs w:val="16"/>
          <w:color w:val="auto"/>
        </w:rPr>
        <w:t>”) at least five (5) Business Days prior to the date that the Issuer reasonably expects all conditions to the closing of the Transactions to be satisfied (the “</w:t>
      </w:r>
      <w:r>
        <w:rPr>
          <w:rFonts w:ascii="Arial" w:cs="Arial" w:eastAsia="Arial" w:hAnsi="Arial"/>
          <w:sz w:val="16"/>
          <w:szCs w:val="16"/>
          <w:b w:val="1"/>
          <w:bCs w:val="1"/>
          <w:color w:val="auto"/>
        </w:rPr>
        <w:t>Expected Closing Date</w:t>
      </w:r>
      <w:r>
        <w:rPr>
          <w:rFonts w:ascii="Arial" w:cs="Arial" w:eastAsia="Arial" w:hAnsi="Arial"/>
          <w:sz w:val="16"/>
          <w:szCs w:val="16"/>
          <w:color w:val="auto"/>
        </w:rPr>
        <w:t>”), Subscriber shall deliver to the Issuer on the Expected Closing Date, (x) the Purchase Price for the Shares by wire transfer of United States dollars in immediately available funds to the account specified by the Issuer in the Closing Notice and (y)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information as is reasonably requested in the Closing Notice in order for the Issuer to issue the Shares to Subscriber, including the legal name of the person in whose name the Shares are to be issued and a duly completed and executed Internal Revenue Service Form W-9 or an appropriate duly completed and executed Internal Revenue Service Form W-8. If the Transactions are not consummated on or prior to the third (3rd) Business Day after the Expected Closing Date, the Issuer shall promptly (but in no event later than four (4) Business Days after the Expected Closing Date specified in the Closing Notice) return the Purchase Price (which shall not include, for the avoidance of doubt, the accrual of any interest) to Subscriber by wire transfer of United States dollars in immediately available funds to an account specified by Subscriber. Notwithstanding such return, Subscriber shall remain obligated to redeliver funds representing the Purchase Price to the Issuer following the Issuer’s delivery to Subscriber of a new Closing Notice, which redelivery shall be made on the new Expected Closing Date specified in such new Closing Notice. Unless otherwise agreed by the Company in writing, the Issuer shall deliver the Closing Notice at least four (4) Business Days prior to the date of the Special Meeting. At the Closing, the Issuer shall deliver to Subscriber (i) the Shares in book entry form, free and clear of any liens or other restrictions whatsoever (other than those arising under state or federal securities laws or as set forth herein or in any other agreement between the Issuer and the Subscriber), in the name of Subscriber (or its nominee or custodian in accordance with its delivery instructions) and (ii) a copy of the records of the Issuer’s transfer agent showing the Subscriber (or such nominee or custodian, as applicable) as the owner of the Shares on and as of the Closing, it being understood that the delivery of a reasonably acceptable copy of such records shall be a condition precedent to the Subscriber’s obligation to wire the Purchase Price for the Shares. For purposes of this Subscription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Sunday, or other day on which commercial banks in New York, New York are authorized or required by law to close.</w:t>
      </w:r>
    </w:p>
    <w:p>
      <w:pPr>
        <w:spacing w:after="0" w:line="68"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3.1.2 The obligation of the Issuer and the Subscriber to consummate the Closing shall be subject to the satisfaction by the Issuer of, or the waiver by the Issuer and the Subscriber of the conditions that, on the Closing Date:</w:t>
      </w:r>
    </w:p>
    <w:p>
      <w:pPr>
        <w:spacing w:after="0" w:line="62" w:lineRule="exact"/>
        <w:rPr>
          <w:sz w:val="20"/>
          <w:szCs w:val="20"/>
          <w:color w:val="auto"/>
        </w:rPr>
      </w:pPr>
    </w:p>
    <w:p>
      <w:pPr>
        <w:ind w:left="1100" w:right="280" w:firstLine="408"/>
        <w:spacing w:after="0" w:line="277" w:lineRule="auto"/>
        <w:tabs>
          <w:tab w:leader="none" w:pos="175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 suspension of the qualification of the Shares for offering or sale or trading in any jurisdiction, or initiation or threatening of any proceedings for any of such purposes, shall have occurred;</w:t>
      </w:r>
    </w:p>
    <w:p>
      <w:pPr>
        <w:spacing w:after="0" w:line="62" w:lineRule="exact"/>
        <w:rPr>
          <w:rFonts w:ascii="Arial" w:cs="Arial" w:eastAsia="Arial" w:hAnsi="Arial"/>
          <w:sz w:val="18"/>
          <w:szCs w:val="18"/>
          <w:color w:val="auto"/>
        </w:rPr>
      </w:pPr>
    </w:p>
    <w:p>
      <w:pPr>
        <w:ind w:left="1100" w:right="20" w:firstLine="408"/>
        <w:spacing w:after="0" w:line="255" w:lineRule="auto"/>
        <w:tabs>
          <w:tab w:leader="none" w:pos="175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all consents, waivers, authorizations or orders of, any notice required to be made to, and any filing or registration with, any court or other federal, state, local or other governmental authority, self-regulatory organization (including Nasdaq) or other person in connection with the execution, delivery and performance of this Subscription Agreement (including, without limitation, the issuance of the Shares) required to be made in connection with the issuance and sale of the Shares shall have been obtained or made, except where the failure to so obtain or make would not prevent the Issuer from consummating the transactions contemplated hereby, including the issuance and sale of the Shares;</w:t>
      </w:r>
    </w:p>
    <w:p>
      <w:pPr>
        <w:spacing w:after="0" w:line="84" w:lineRule="exact"/>
        <w:rPr>
          <w:rFonts w:ascii="Arial" w:cs="Arial" w:eastAsia="Arial" w:hAnsi="Arial"/>
          <w:sz w:val="18"/>
          <w:szCs w:val="18"/>
          <w:color w:val="auto"/>
        </w:rPr>
      </w:pPr>
    </w:p>
    <w:p>
      <w:pPr>
        <w:ind w:left="1100" w:right="40" w:firstLine="408"/>
        <w:spacing w:after="0" w:line="255" w:lineRule="auto"/>
        <w:tabs>
          <w:tab w:leader="none" w:pos="175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 governmental authority shall have enacted, issued or entered any judgment or order (whether temporary, preliminary or permanent) which is then in effect and has the effect of making consummation of the transactions contemplated hereby illegal or otherwise preventing or prohibiting consummation of the transactions contemplated hereby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an Issuer Material Adverse Effect); and</w:t>
      </w:r>
    </w:p>
    <w:p>
      <w:pPr>
        <w:spacing w:after="0" w:line="84" w:lineRule="exact"/>
        <w:rPr>
          <w:rFonts w:ascii="Arial" w:cs="Arial" w:eastAsia="Arial" w:hAnsi="Arial"/>
          <w:sz w:val="18"/>
          <w:szCs w:val="18"/>
          <w:color w:val="auto"/>
        </w:rPr>
      </w:pPr>
    </w:p>
    <w:p>
      <w:pPr>
        <w:ind w:left="1100" w:right="120" w:firstLine="408"/>
        <w:spacing w:after="0" w:line="257" w:lineRule="auto"/>
        <w:tabs>
          <w:tab w:leader="none" w:pos="175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 set forth in the Merger Agreement, including all necessary approvals of the Company’s stockholders and regulatory approvals, if any, shall have been satisfied (as determined by the parties to the Merger Agreement) or waived (other than those conditions which, by their nature, are to be satisfied at the closing of the Transactions pursuant to the Merger Agreement), and the closing of the Transactions shall be scheduled to occur substantially concurrently with or immediately following the Closing.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00" w:firstLine="423"/>
        <w:spacing w:after="0" w:line="277" w:lineRule="auto"/>
        <w:rPr>
          <w:sz w:val="20"/>
          <w:szCs w:val="20"/>
          <w:color w:val="auto"/>
        </w:rPr>
      </w:pPr>
      <w:r>
        <w:rPr>
          <w:rFonts w:ascii="Arial" w:cs="Arial" w:eastAsia="Arial" w:hAnsi="Arial"/>
          <w:sz w:val="18"/>
          <w:szCs w:val="18"/>
          <w:color w:val="auto"/>
        </w:rPr>
        <w:t>3.1.3 The obligation of the Issuer to consummate the Closing shall be subject to the satisfaction or valid waiver by the Issuer of the additional conditions that, on the Closing Date:</w:t>
      </w:r>
    </w:p>
    <w:p>
      <w:pPr>
        <w:spacing w:after="0" w:line="62" w:lineRule="exact"/>
        <w:rPr>
          <w:sz w:val="20"/>
          <w:szCs w:val="20"/>
          <w:color w:val="auto"/>
        </w:rPr>
      </w:pPr>
    </w:p>
    <w:p>
      <w:pPr>
        <w:ind w:left="1100" w:right="120" w:firstLine="408"/>
        <w:spacing w:after="0" w:line="275" w:lineRule="auto"/>
        <w:tabs>
          <w:tab w:leader="none" w:pos="1756"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all representations and warranties of the Subscriber contained in this Subscription Agreement shall be true and correct in all material respects (other than representations and warranties that are qualified as to materiality, which representations and warranties shall be true and correct in all respects) at and as of the Closing Date (unless they specifically speak as of an earlier date, in which case they shall be true and correct in all material respects (other than representations and warranties that are qualified as to materiality, which representations and warranties shall be true and correct in all respects) as of such date); and</w:t>
      </w:r>
    </w:p>
    <w:p>
      <w:pPr>
        <w:spacing w:after="0" w:line="68" w:lineRule="exact"/>
        <w:rPr>
          <w:rFonts w:ascii="Arial" w:cs="Arial" w:eastAsia="Arial" w:hAnsi="Arial"/>
          <w:sz w:val="17"/>
          <w:szCs w:val="17"/>
          <w:color w:val="auto"/>
        </w:rPr>
      </w:pPr>
    </w:p>
    <w:p>
      <w:pPr>
        <w:ind w:left="1100" w:firstLine="408"/>
        <w:spacing w:after="0" w:line="301" w:lineRule="auto"/>
        <w:tabs>
          <w:tab w:leader="none" w:pos="1756"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the Subscriber shall have performed, satisfied and complied in all material respects with all covenants, agreements and conditions required by this Subscription Agreement to be performed, satisfied or complied with by it at or prior to the Closing; </w:t>
      </w:r>
      <w:r>
        <w:rPr>
          <w:rFonts w:ascii="Arial" w:cs="Arial" w:eastAsia="Arial" w:hAnsi="Arial"/>
          <w:sz w:val="16"/>
          <w:szCs w:val="16"/>
          <w:i w:val="1"/>
          <w:iCs w:val="1"/>
          <w:color w:val="auto"/>
        </w:rPr>
        <w:t>provided</w:t>
      </w:r>
      <w:r>
        <w:rPr>
          <w:rFonts w:ascii="Arial" w:cs="Arial" w:eastAsia="Arial" w:hAnsi="Arial"/>
          <w:sz w:val="16"/>
          <w:szCs w:val="16"/>
          <w:color w:val="auto"/>
        </w:rPr>
        <w:t>, that this condition shall be deemed satisfied unless written notice of such non-compliance is provided by the Issuer to the Subscriber and the Subscriber fails to cure such noncompliance in all material respects within five (5) Business Days of receipt of such notice.</w:t>
      </w:r>
    </w:p>
    <w:p>
      <w:pPr>
        <w:spacing w:after="0" w:line="49"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3.1.4 The obligation of the Subscriber to consummate the Closing shall be subject to the satisfaction or valid waiver by the Subscriber of the additional conditions that, on the Closing Date:</w:t>
      </w:r>
    </w:p>
    <w:p>
      <w:pPr>
        <w:spacing w:after="0" w:line="62" w:lineRule="exact"/>
        <w:rPr>
          <w:sz w:val="20"/>
          <w:szCs w:val="20"/>
          <w:color w:val="auto"/>
        </w:rPr>
      </w:pPr>
    </w:p>
    <w:p>
      <w:pPr>
        <w:ind w:left="1100" w:right="140" w:firstLine="408"/>
        <w:spacing w:after="0" w:line="293" w:lineRule="auto"/>
        <w:tabs>
          <w:tab w:leader="none" w:pos="1756" w:val="left"/>
        </w:tabs>
        <w:numPr>
          <w:ilvl w:val="1"/>
          <w:numId w:val="491"/>
        </w:numPr>
        <w:rPr>
          <w:rFonts w:ascii="Arial" w:cs="Arial" w:eastAsia="Arial" w:hAnsi="Arial"/>
          <w:sz w:val="16"/>
          <w:szCs w:val="16"/>
          <w:color w:val="auto"/>
        </w:rPr>
      </w:pPr>
      <w:r>
        <w:rPr>
          <w:rFonts w:ascii="Arial" w:cs="Arial" w:eastAsia="Arial" w:hAnsi="Arial"/>
          <w:sz w:val="16"/>
          <w:szCs w:val="16"/>
          <w:color w:val="auto"/>
        </w:rPr>
        <w:t>all representations and warranties of the Issuer contained in this Subscription Agreement shall be true and correct in all respects (other than representations and warranties that are qualified as to Issuer Material Adverse Effect, which representations and warranties shall be true and correct in all respects) at and as of the Closing Date (unless they specifically speak as of an earlier date, in which case they shall be true and correct in all respects (other than representations and warranties that are qualified as to Issuer Material Adverse Effect, which representations and warranties shall be true and correct in all respects) as of such date), other than, in each case, failures to be true and correct that would not result, individually or in the aggregate, in an Issuer Material Adverse Effect; and</w:t>
      </w:r>
    </w:p>
    <w:p>
      <w:pPr>
        <w:spacing w:after="0" w:line="56" w:lineRule="exact"/>
        <w:rPr>
          <w:rFonts w:ascii="Arial" w:cs="Arial" w:eastAsia="Arial" w:hAnsi="Arial"/>
          <w:sz w:val="16"/>
          <w:szCs w:val="16"/>
          <w:color w:val="auto"/>
        </w:rPr>
      </w:pPr>
    </w:p>
    <w:p>
      <w:pPr>
        <w:jc w:val="both"/>
        <w:ind w:left="1100" w:right="300" w:firstLine="408"/>
        <w:spacing w:after="0" w:line="301" w:lineRule="auto"/>
        <w:tabs>
          <w:tab w:leader="none" w:pos="1756" w:val="left"/>
        </w:tabs>
        <w:numPr>
          <w:ilvl w:val="1"/>
          <w:numId w:val="491"/>
        </w:numPr>
        <w:rPr>
          <w:rFonts w:ascii="Arial" w:cs="Arial" w:eastAsia="Arial" w:hAnsi="Arial"/>
          <w:sz w:val="16"/>
          <w:szCs w:val="16"/>
          <w:color w:val="auto"/>
        </w:rPr>
      </w:pPr>
      <w:r>
        <w:rPr>
          <w:rFonts w:ascii="Arial" w:cs="Arial" w:eastAsia="Arial" w:hAnsi="Arial"/>
          <w:sz w:val="16"/>
          <w:szCs w:val="16"/>
          <w:color w:val="auto"/>
        </w:rPr>
        <w:t xml:space="preserve">the Issuer shall have performed, satisfied and complied in all material respects with all covenants, agreements and conditions required by this Subscription Agreement to be performed, satisfied or complied with by it at or prior to the Closing; </w:t>
      </w:r>
      <w:r>
        <w:rPr>
          <w:rFonts w:ascii="Arial" w:cs="Arial" w:eastAsia="Arial" w:hAnsi="Arial"/>
          <w:sz w:val="16"/>
          <w:szCs w:val="16"/>
          <w:i w:val="1"/>
          <w:iCs w:val="1"/>
          <w:color w:val="auto"/>
        </w:rPr>
        <w:t>provided</w:t>
      </w:r>
      <w:r>
        <w:rPr>
          <w:rFonts w:ascii="Arial" w:cs="Arial" w:eastAsia="Arial" w:hAnsi="Arial"/>
          <w:sz w:val="16"/>
          <w:szCs w:val="16"/>
          <w:color w:val="auto"/>
        </w:rPr>
        <w:t>, that this condition shall be deemed satisfied unless written notice of such non-compliance is provided by Subscriber to the Issuer and the Issuer fails to cure such noncompliance in all material respects within five (5) Business Days of receipt of such notice; and</w:t>
      </w:r>
    </w:p>
    <w:p>
      <w:pPr>
        <w:spacing w:after="0" w:line="49" w:lineRule="exact"/>
        <w:rPr>
          <w:rFonts w:ascii="Arial" w:cs="Arial" w:eastAsia="Arial" w:hAnsi="Arial"/>
          <w:sz w:val="16"/>
          <w:szCs w:val="16"/>
          <w:color w:val="auto"/>
        </w:rPr>
      </w:pPr>
    </w:p>
    <w:p>
      <w:pPr>
        <w:ind w:left="1100" w:right="240" w:firstLine="408"/>
        <w:spacing w:after="0" w:line="259" w:lineRule="auto"/>
        <w:tabs>
          <w:tab w:leader="none" w:pos="1756" w:val="left"/>
        </w:tabs>
        <w:numPr>
          <w:ilvl w:val="1"/>
          <w:numId w:val="491"/>
        </w:numPr>
        <w:rPr>
          <w:rFonts w:ascii="Arial" w:cs="Arial" w:eastAsia="Arial" w:hAnsi="Arial"/>
          <w:sz w:val="18"/>
          <w:szCs w:val="18"/>
          <w:color w:val="auto"/>
        </w:rPr>
      </w:pPr>
      <w:r>
        <w:rPr>
          <w:rFonts w:ascii="Arial" w:cs="Arial" w:eastAsia="Arial" w:hAnsi="Arial"/>
          <w:sz w:val="18"/>
          <w:szCs w:val="18"/>
          <w:color w:val="auto"/>
        </w:rPr>
        <w:t>No amendment or modification of, or waiver with respect to Issuer’s obligation to effect the Closing under, the Merger Agreement shall have occurred that would reasonably be expected to materially, adversely and disproportionately as compared to Other Subscribers affect the economic benefits to Subscriber under this Subscription Agreement without having received Subscriber’s prior written consent.</w:t>
      </w:r>
    </w:p>
    <w:p>
      <w:pPr>
        <w:spacing w:after="0" w:line="186" w:lineRule="exact"/>
        <w:rPr>
          <w:rFonts w:ascii="Arial" w:cs="Arial" w:eastAsia="Arial" w:hAnsi="Arial"/>
          <w:sz w:val="18"/>
          <w:szCs w:val="18"/>
          <w:color w:val="auto"/>
        </w:rPr>
      </w:pPr>
    </w:p>
    <w:p>
      <w:pPr>
        <w:ind w:left="740" w:hanging="184"/>
        <w:spacing w:after="0"/>
        <w:tabs>
          <w:tab w:leader="none" w:pos="74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4.1 The Issuer agrees that, as soon as practicable, but in no event later than fifteen (15) calendar days after the consummation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Transactions (the “</w:t>
      </w:r>
      <w:r>
        <w:rPr>
          <w:rFonts w:ascii="Arial" w:cs="Arial" w:eastAsia="Arial" w:hAnsi="Arial"/>
          <w:sz w:val="17"/>
          <w:szCs w:val="17"/>
          <w:b w:val="1"/>
          <w:bCs w:val="1"/>
          <w:color w:val="auto"/>
        </w:rPr>
        <w:t>Filing Date</w:t>
      </w:r>
      <w:r>
        <w:rPr>
          <w:rFonts w:ascii="Arial" w:cs="Arial" w:eastAsia="Arial" w:hAnsi="Arial"/>
          <w:sz w:val="17"/>
          <w:szCs w:val="17"/>
          <w:color w:val="auto"/>
        </w:rPr>
        <w:t>”), the Issuer will file with the Commission (at the Issuer’s sole cost and expense) a registration statement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registering the resale of the Shares (the “</w:t>
      </w:r>
      <w:r>
        <w:rPr>
          <w:rFonts w:ascii="Arial" w:cs="Arial" w:eastAsia="Arial" w:hAnsi="Arial"/>
          <w:sz w:val="16"/>
          <w:szCs w:val="16"/>
          <w:b w:val="1"/>
          <w:bCs w:val="1"/>
          <w:color w:val="auto"/>
        </w:rPr>
        <w:t>Registrable Securities</w:t>
      </w:r>
      <w:r>
        <w:rPr>
          <w:rFonts w:ascii="Arial" w:cs="Arial" w:eastAsia="Arial" w:hAnsi="Arial"/>
          <w:sz w:val="16"/>
          <w:szCs w:val="16"/>
          <w:color w:val="auto"/>
        </w:rPr>
        <w:t>”), and the Issuer shall use its commercially reasonable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efforts to have the Registration Statement declared effective as soon as practicable after the filing thereof, but no later than the earlier of (i) the 45th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calendar day (or 75th calendar day if the Commission notifies the Issuer that it will “review” the Registration Statement) following the Closing Date and</w:t>
      </w:r>
    </w:p>
    <w:p>
      <w:pPr>
        <w:spacing w:after="0" w:line="32" w:lineRule="exact"/>
        <w:rPr>
          <w:sz w:val="20"/>
          <w:szCs w:val="20"/>
          <w:color w:val="auto"/>
        </w:rPr>
      </w:pPr>
    </w:p>
    <w:p>
      <w:pPr>
        <w:ind w:left="120" w:right="60" w:hanging="4"/>
        <w:spacing w:after="0" w:line="255" w:lineRule="auto"/>
        <w:tabs>
          <w:tab w:leader="none" w:pos="38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10th business day after the date the Issuer is notified (orally or in writing, whichever is earlier) by the Commission that the Registration Statement will not be “reviewed” or will not be subject to further review (any such date, the “</w:t>
      </w:r>
      <w:r>
        <w:rPr>
          <w:rFonts w:ascii="Arial" w:cs="Arial" w:eastAsia="Arial" w:hAnsi="Arial"/>
          <w:sz w:val="18"/>
          <w:szCs w:val="18"/>
          <w:b w:val="1"/>
          <w:bCs w:val="1"/>
          <w:color w:val="auto"/>
        </w:rPr>
        <w:t>Effectiveness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Issuer’s obligations to include the Registrable Securities in the Registration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Statement are contingent upon Subscriber furnishing a completed and executed selling shareholders questionnaire in customary form to the Issuer that contains the information required by Commission rules for a Registration Statement regarding Subscriber, the securities of the Issuer held by Subscriber, and the intended method of disposition of the Registrable Securities to effect the registration of the Registrable Securities,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Subscriber shall not in connection with the foregoing be required to execute any lock-up or similar agreement or otherwise be subject to any contractual restriction on the ability to transfer Registrable Securities. In no event shall the Subscriber be identified as a statutory underwriter in the Registration Statement unless requested by the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Commission requests that the Subscriber be identified as a statutory underwriter in the Registration Statement, the Subscriber will have the opportunity to withdraw from the Registration Statement. For purposes of clarification,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Registrable Securities shall include, as of any date of determination, the Shares and any other equity security of the Issuer issued or issuable with respect to the Shares by way of share split, dividend, distribution, recapitalization, merger, exchange, replacement or similar event or otherwise.</w:t>
      </w:r>
    </w:p>
    <w:p>
      <w:pPr>
        <w:spacing w:after="0" w:line="17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4.2 In the case of the registration effected by the Issuer pursuant to this Subscription Agreement, the Issuer shall, upon reasonable request, inform Subscriber as to the status of such registration. At its expense, the Issuer shall:</w:t>
      </w:r>
    </w:p>
    <w:p>
      <w:pPr>
        <w:spacing w:after="0" w:line="62"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4.2.1 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until the earlier of the following: (i) Subscriber ceases to hold any Registrable Securities; (ii) the date all Registrable Securities held by Subscriber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144(c)(1) (or Rule 144(i)(2), if applicable) and (iii) two years from the date of the effectiveness of the Registration Statement;</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4.2.2 advise Subscriber as expeditiously as possible, but in any event within five (5) Business Days:</w:t>
      </w:r>
    </w:p>
    <w:p>
      <w:pPr>
        <w:spacing w:after="0" w:line="117" w:lineRule="exact"/>
        <w:rPr>
          <w:sz w:val="20"/>
          <w:szCs w:val="20"/>
          <w:color w:val="auto"/>
        </w:rPr>
      </w:pPr>
    </w:p>
    <w:p>
      <w:pPr>
        <w:ind w:left="1760" w:hanging="252"/>
        <w:spacing w:after="0"/>
        <w:tabs>
          <w:tab w:leader="none" w:pos="17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when a Registration Statement or any post-effective amendment thereto has become effective;</w:t>
      </w:r>
    </w:p>
    <w:p>
      <w:pPr>
        <w:spacing w:after="0" w:line="117" w:lineRule="exact"/>
        <w:rPr>
          <w:rFonts w:ascii="Arial" w:cs="Arial" w:eastAsia="Arial" w:hAnsi="Arial"/>
          <w:sz w:val="18"/>
          <w:szCs w:val="18"/>
          <w:color w:val="auto"/>
        </w:rPr>
      </w:pPr>
    </w:p>
    <w:p>
      <w:pPr>
        <w:ind w:left="1100" w:right="380" w:firstLine="408"/>
        <w:spacing w:after="0" w:line="277" w:lineRule="auto"/>
        <w:tabs>
          <w:tab w:leader="none" w:pos="17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after it shall receive notice or obtain knowledge thereof, of the issuance by the Commission of any stop order suspending the effectiveness of any Registration Statement or the initiation of any proceedings for such purpose;</w:t>
      </w:r>
    </w:p>
    <w:p>
      <w:pPr>
        <w:spacing w:after="0" w:line="62" w:lineRule="exact"/>
        <w:rPr>
          <w:rFonts w:ascii="Arial" w:cs="Arial" w:eastAsia="Arial" w:hAnsi="Arial"/>
          <w:sz w:val="18"/>
          <w:szCs w:val="18"/>
          <w:color w:val="auto"/>
        </w:rPr>
      </w:pPr>
    </w:p>
    <w:p>
      <w:pPr>
        <w:ind w:left="1100" w:right="380" w:firstLine="408"/>
        <w:spacing w:after="0" w:line="308" w:lineRule="auto"/>
        <w:tabs>
          <w:tab w:leader="none" w:pos="1745" w:val="left"/>
        </w:tabs>
        <w:numPr>
          <w:ilvl w:val="0"/>
          <w:numId w:val="494"/>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Registrable Securities included therein for sale in any jurisdiction or the initiation or threatening of any proceeding for such purpose; and</w:t>
      </w:r>
    </w:p>
    <w:p>
      <w:pPr>
        <w:spacing w:after="0" w:line="38" w:lineRule="exact"/>
        <w:rPr>
          <w:rFonts w:ascii="Arial" w:cs="Arial" w:eastAsia="Arial" w:hAnsi="Arial"/>
          <w:sz w:val="17"/>
          <w:szCs w:val="17"/>
          <w:color w:val="auto"/>
        </w:rPr>
      </w:pPr>
    </w:p>
    <w:p>
      <w:pPr>
        <w:ind w:left="1100" w:right="120" w:firstLine="408"/>
        <w:spacing w:after="0" w:line="259" w:lineRule="auto"/>
        <w:tabs>
          <w:tab w:leader="none" w:pos="17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79" w:lineRule="exact"/>
        <w:rPr>
          <w:sz w:val="20"/>
          <w:szCs w:val="20"/>
          <w:color w:val="auto"/>
        </w:rPr>
      </w:pPr>
    </w:p>
    <w:p>
      <w:pPr>
        <w:ind w:left="560" w:right="720" w:firstLine="423"/>
        <w:spacing w:after="0" w:line="277" w:lineRule="auto"/>
        <w:rPr>
          <w:sz w:val="20"/>
          <w:szCs w:val="20"/>
          <w:color w:val="auto"/>
        </w:rPr>
      </w:pPr>
      <w:r>
        <w:rPr>
          <w:rFonts w:ascii="Arial" w:cs="Arial" w:eastAsia="Arial" w:hAnsi="Arial"/>
          <w:sz w:val="18"/>
          <w:szCs w:val="18"/>
          <w:color w:val="auto"/>
        </w:rPr>
        <w:t>Notwithstanding anything to the contrary set forth herein, the Issuer shall not, when so advising Subscriber of such events, provide Subscriber with any material, nonpublic information regarding the Issuer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420"/>
        <w:spacing w:after="0" w:line="263" w:lineRule="auto"/>
        <w:rPr>
          <w:sz w:val="20"/>
          <w:szCs w:val="20"/>
          <w:color w:val="auto"/>
        </w:rPr>
      </w:pPr>
      <w:r>
        <w:rPr>
          <w:rFonts w:ascii="Arial" w:cs="Arial" w:eastAsia="Arial" w:hAnsi="Arial"/>
          <w:sz w:val="18"/>
          <w:szCs w:val="18"/>
          <w:color w:val="auto"/>
        </w:rPr>
        <w:t>other than to the extent that providing notice to Subscriber of the occurrence of the events listed in (a) through (d) above constitutes material, nonpublic information regarding the Issuer; Subscriber hereby consents to receipt of any material, non-public information with respect to the occurrence of the events listed in (a) through (d) above;</w:t>
      </w:r>
    </w:p>
    <w:p>
      <w:pPr>
        <w:spacing w:after="0" w:line="76"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4.2.3 use its commercially reasonable efforts to obtain the withdrawal of any order suspending the effectiveness of any Registration Statement as soon as reasonably practicable;</w:t>
      </w:r>
    </w:p>
    <w:p>
      <w:pPr>
        <w:spacing w:after="0" w:line="62" w:lineRule="exact"/>
        <w:rPr>
          <w:sz w:val="20"/>
          <w:szCs w:val="20"/>
          <w:color w:val="auto"/>
        </w:rPr>
      </w:pPr>
    </w:p>
    <w:p>
      <w:pPr>
        <w:ind w:left="560" w:right="200" w:firstLine="423"/>
        <w:spacing w:after="0" w:line="293" w:lineRule="auto"/>
        <w:rPr>
          <w:sz w:val="20"/>
          <w:szCs w:val="20"/>
          <w:color w:val="auto"/>
        </w:rPr>
      </w:pPr>
      <w:r>
        <w:rPr>
          <w:rFonts w:ascii="Arial" w:cs="Arial" w:eastAsia="Arial" w:hAnsi="Arial"/>
          <w:sz w:val="16"/>
          <w:szCs w:val="16"/>
          <w:color w:val="auto"/>
        </w:rPr>
        <w:t xml:space="preserve">4.2.4 upon the occurrence of any event contemplated in </w:t>
      </w:r>
      <w:r>
        <w:rPr>
          <w:rFonts w:ascii="Arial" w:cs="Arial" w:eastAsia="Arial" w:hAnsi="Arial"/>
          <w:sz w:val="16"/>
          <w:szCs w:val="16"/>
          <w:u w:val="single" w:color="auto"/>
          <w:color w:val="auto"/>
        </w:rPr>
        <w:t>Section 4.2.2(d)</w:t>
      </w:r>
      <w:r>
        <w:rPr>
          <w:rFonts w:ascii="Arial" w:cs="Arial" w:eastAsia="Arial" w:hAnsi="Arial"/>
          <w:sz w:val="16"/>
          <w:szCs w:val="16"/>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 and</w:t>
      </w:r>
    </w:p>
    <w:p>
      <w:pPr>
        <w:spacing w:after="0" w:line="56" w:lineRule="exact"/>
        <w:rPr>
          <w:sz w:val="20"/>
          <w:szCs w:val="20"/>
          <w:color w:val="auto"/>
        </w:rPr>
      </w:pPr>
    </w:p>
    <w:p>
      <w:pPr>
        <w:ind w:left="560" w:right="400" w:firstLine="423"/>
        <w:spacing w:after="0" w:line="277" w:lineRule="auto"/>
        <w:rPr>
          <w:sz w:val="20"/>
          <w:szCs w:val="20"/>
          <w:color w:val="auto"/>
        </w:rPr>
      </w:pPr>
      <w:r>
        <w:rPr>
          <w:rFonts w:ascii="Arial" w:cs="Arial" w:eastAsia="Arial" w:hAnsi="Arial"/>
          <w:sz w:val="18"/>
          <w:szCs w:val="18"/>
          <w:color w:val="auto"/>
        </w:rPr>
        <w:t>4.2.5 use its commercially reasonable efforts to cause all Shares to be listed on each securities exchange or market, if any, on which the Issuer’s Common Stock is then listed.</w:t>
      </w:r>
    </w:p>
    <w:p>
      <w:pPr>
        <w:spacing w:after="0" w:line="170"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4.3 Notwithstanding anything to the contrary in this Subscription Agreement, if the Commission prevents the Issuer from including in the Registration Statement any or all of the Shares due to limitations on the use of Rule 415 of the Securities Act for the resale of the Shares by the Subscriber, the Registration Statement shall register for resale such number of Shares which is equal to the maximum number of Shares as is permitted by the Commission. In such event, the number of Shares to be registered for each selling shareholder named in the Registration Statement shall be reduced pro rata among all such selling shareholders.</w:t>
      </w:r>
    </w:p>
    <w:p>
      <w:pPr>
        <w:spacing w:after="0" w:line="188"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 xml:space="preserve">4.4 Notwithstanding anything to the contrary in this Subscription Agreement, the Issuer shall be entitled to delay or postpone the effectiveness of the Registration Statement, and from time to time to require Subscriber not to sell under the Registration Statement or to suspend the effectiveness thereof, if it determines, in each case in good faith and its reasonable judgment after consultation with counsel to the Issuer, that in order for the Registration Statement not to contain any untrue statement of a material fact or omit to state a material fact necessary to make the statements contained therein not misleading, (i) an amendment thereto would be needed to include information that would at that time not otherwise be required in a current, quarterly, or annual report under the Exchange Act, (ii) the negotiation or consummation of a transaction by Issuer or its subsidiaries is pending or an event has occurred, which negotiation, consummation or event Issuer’s board of directors reasonably believes would require additional disclosure by Issuer in the Registration Statement of material information that Issuer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keeping confidential and the non-disclosure of which in the Registration Statement would be expected, in the reasonable determination of Issuer’s board of directors to cause the Registration Statement to fail to comply with applicable disclosure requirements, or (iii) in the good faith judgment of the majority of Issuer’s board of directors, upon advice of counsel, such filing or effectiveness or use of such Registration Statement, would be materially adverse to the Issuer and the majority of the Issuer’s board of directors concludes as a result that it is essential to defer such filing (each such circumstance, a “</w:t>
      </w:r>
      <w:r>
        <w:rPr>
          <w:rFonts w:ascii="Arial" w:cs="Arial" w:eastAsia="Arial" w:hAnsi="Arial"/>
          <w:sz w:val="16"/>
          <w:szCs w:val="16"/>
          <w:b w:val="1"/>
          <w:bCs w:val="1"/>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Issuer may not delay or suspend the Registration Statement on more than two (2) occasions or for more than 45 consecutive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calendar days, in each case during any twelve (12) month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Issuer shall use commercially reasonable efforts to make the Registration Statement available for sale by the Subscriber of its Shares as soon as practicable following any such suspension.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(a) it will promptly discontinue offers and sales of the Shares under the Registration Statement until Subscriber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the avoidance of doubt, that the Issuer shall not include any material non-public information in any such written notice and Subscriber shall not bear any duty of confidentiality in respect thereof. If so directed by the Issuer, Subscriber will deliver to the Issuer or, in Subscriber’s sole discretion destroy, all copies of the prospectus covering the Shares in Subscriber’s possession;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obligation to deliver or destroy all copies of the prospectus covering the Shares shall not apply (1) to the extent Subscriber is required to retain a copy of such prospectus (A) in order to comply with applicable legal, regulatory, self-regulatory, or professional requirements, or (B) in accordance with a bona fide pre-existing document retention policy, or (2) to copies stored electronically on archival servers as a result of automatic data back-up.</w:t>
      </w:r>
    </w:p>
    <w:p>
      <w:pPr>
        <w:spacing w:after="0" w:line="165"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4.5 Issuer shall, notwithstanding the termination of this Subscription Agreement, indemnify, defend and hold harmless Subscriber (to the extent a seller under the Registration Statement), its officers, directors, partners, members, managers, employees, stockholders, advisers and agents, and each person who controls Subscriber (within the meaning of Section 15 of the Securities Act or Section 20 of the Exchange Act) and the officers, directors, agents and employees of such controlling persons,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or omissions or alleged omissions, are based upon information regarding Subscriber furnished in writing to Issuer by Subscriber expressly for use therein. The Issuer shall notify Subscriber promptly of the institution, threat or assertion of any proceeding arising from or in connection with the transactions contemplated by this Section 4.5 of which the Issuer is aware.</w:t>
      </w:r>
    </w:p>
    <w:p>
      <w:pPr>
        <w:spacing w:after="0" w:line="186"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6"/>
          <w:szCs w:val="16"/>
          <w:color w:val="auto"/>
        </w:rPr>
        <w:t xml:space="preserve">4.6 Subscriber shall, severally and not jointly with any Other Subscriber, indemnify and hold harmless the Issuer, its directors, officers, agents and employees, and each person who controls the Issuer (within the meaning of Section 15 of the Securities Act and Section 20 of the Exchange Act), to the fullest extent permitted by applicable law, from and against all Losses,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alleged untrue statements, or omissions, or alleged omissions, are based upon information regarding Subscriber furnished in writing to the Issuer by Subscriber expressly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indemnification contained in this Section 4.6 shall not apply to amounts paid in settlement of any Losses if such settlement is effected without the consent of Subscriber (which consent shall not be unreasonably withheld). In no event shall the liability of Subscriber exceed the net proceeds received by Subscriber upon the sale of the Shares giving rise to such indemnification obligation. Subscriber shall notify the Issuer promptly of the institution, threat or assertion of any proceeding arising from or in connection with the transactions contemplated by this Section 4.6 of which Subscriber is aware.</w:t>
      </w:r>
    </w:p>
    <w:p>
      <w:pPr>
        <w:spacing w:after="0" w:line="174" w:lineRule="exact"/>
        <w:rPr>
          <w:sz w:val="20"/>
          <w:szCs w:val="20"/>
          <w:color w:val="auto"/>
        </w:rPr>
      </w:pPr>
    </w:p>
    <w:p>
      <w:pPr>
        <w:jc w:val="both"/>
        <w:ind w:left="120" w:right="60" w:firstLine="991"/>
        <w:spacing w:after="0" w:line="263" w:lineRule="auto"/>
        <w:rPr>
          <w:sz w:val="20"/>
          <w:szCs w:val="20"/>
          <w:color w:val="auto"/>
        </w:rPr>
      </w:pPr>
      <w:r>
        <w:rPr>
          <w:rFonts w:ascii="Arial" w:cs="Arial" w:eastAsia="Arial" w:hAnsi="Arial"/>
          <w:sz w:val="18"/>
          <w:szCs w:val="18"/>
          <w:color w:val="auto"/>
        </w:rPr>
        <w:t>4.7 Any person entitled to indemnification herein shall (1) give prompt written notice to the indemnifying party of any claim with respect to which it seeks indemnification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prompt notice shall not impair any person’s right to indemnification hereunder to the extent such failure has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578" w:name="page579"/>
    <w:bookmarkEnd w:id="5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(which consent shall not be unreasonably withheld),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66" w:lineRule="exact"/>
        <w:rPr>
          <w:sz w:val="20"/>
          <w:szCs w:val="20"/>
          <w:color w:val="auto"/>
        </w:rPr>
      </w:pPr>
    </w:p>
    <w:p>
      <w:pPr>
        <w:ind w:left="120" w:right="20" w:firstLine="991"/>
        <w:spacing w:after="0" w:line="268" w:lineRule="auto"/>
        <w:rPr>
          <w:sz w:val="20"/>
          <w:szCs w:val="20"/>
          <w:color w:val="auto"/>
        </w:rPr>
      </w:pPr>
      <w:r>
        <w:rPr>
          <w:rFonts w:ascii="Arial" w:cs="Arial" w:eastAsia="Arial" w:hAnsi="Arial"/>
          <w:sz w:val="17"/>
          <w:szCs w:val="17"/>
          <w:color w:val="auto"/>
        </w:rPr>
        <w:t>4.8 If the indemnification provided for herein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4.8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4.8 from any person who was not guilty of such fraudulent misrepresentation. Each indemnifying party’s obligation to make a contribution pursuant to this Section 4.8 shall be individual, not joint and several, and in no event shall the liability of Subscriber hereunder exceed the net proceeds received by Subscriber upon the sale of the Shares giving rise to such indemnification obligation.</w:t>
      </w:r>
    </w:p>
    <w:p>
      <w:pPr>
        <w:spacing w:after="0" w:line="184" w:lineRule="exact"/>
        <w:rPr>
          <w:sz w:val="20"/>
          <w:szCs w:val="20"/>
          <w:color w:val="auto"/>
        </w:rPr>
      </w:pPr>
    </w:p>
    <w:p>
      <w:pPr>
        <w:ind w:left="120" w:firstLine="436"/>
        <w:spacing w:after="0" w:line="270" w:lineRule="auto"/>
        <w:tabs>
          <w:tab w:leader="none" w:pos="740"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(i) such date and time as the Merger Agreement is validly terminated in accordance with its terms, (ii) upon the mutual written agreement of the Company and each of the parties hereto to terminate this Subscription Agreement, (iii) if any of the conditions to Closing set forth in Section 3.1.2 is not satisfied on or prior to the Closing Date and, as a result thereof, the transactions contemplated by this Subscription Agreement, including, for the avoidance of doubt, the Transactions, are not consummated at the Closing or (iv) on or after September 12, 2021 if the Closing has not occurred on or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any remedies at law or in equity to recover losses, liabilities, or damages arising from such breach. The Issuer shall promptly notify Subscriber of the termination of the Merger Agreement promptly after the termination of such agreement (if applicable).</w:t>
      </w:r>
    </w:p>
    <w:p>
      <w:pPr>
        <w:spacing w:after="0" w:line="180" w:lineRule="exact"/>
        <w:rPr>
          <w:rFonts w:ascii="Arial" w:cs="Arial" w:eastAsia="Arial" w:hAnsi="Arial"/>
          <w:sz w:val="17"/>
          <w:szCs w:val="17"/>
          <w:color w:val="auto"/>
        </w:rPr>
      </w:pPr>
    </w:p>
    <w:p>
      <w:pPr>
        <w:ind w:left="740" w:hanging="184"/>
        <w:spacing w:after="0"/>
        <w:tabs>
          <w:tab w:leader="none" w:pos="74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579" w:name="page580"/>
    <w:bookmarkEnd w:id="5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6.1.1 Subscriber acknowledges that the Issuer, the Company, and others will, rely on the acknowledgments, understandings, agreements, representations, and warranties made by Subscriber contained in this Subscription Agreement. Prior to the Closing, Subscriber agrees to promptly notify the Issuer and the Company if any of the acknowledgments, understandings, agreements, representations, and warranties of the Subscriber set forth herein are no longer accurate in all material respects. The Issuer acknowledges that Subscriber and others will rely on the acknowledgments, understandings, agreements, representations and warranties made by the Issuer contained in this Subscription Agreement.</w:t>
      </w:r>
    </w:p>
    <w:p>
      <w:pPr>
        <w:spacing w:after="0" w:line="53" w:lineRule="exact"/>
        <w:rPr>
          <w:sz w:val="20"/>
          <w:szCs w:val="20"/>
          <w:color w:val="auto"/>
        </w:rPr>
      </w:pPr>
    </w:p>
    <w:p>
      <w:pPr>
        <w:ind w:left="560" w:right="80" w:firstLine="423"/>
        <w:spacing w:after="0" w:line="263" w:lineRule="auto"/>
        <w:rPr>
          <w:sz w:val="20"/>
          <w:szCs w:val="20"/>
          <w:color w:val="auto"/>
        </w:rPr>
      </w:pPr>
      <w:r>
        <w:rPr>
          <w:rFonts w:ascii="Arial" w:cs="Arial" w:eastAsia="Arial" w:hAnsi="Arial"/>
          <w:sz w:val="18"/>
          <w:szCs w:val="18"/>
          <w:color w:val="auto"/>
        </w:rPr>
        <w:t>6.1.2 Each of the Issuer, Subscriber, and the Company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76"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 xml:space="preserve">6.1.3 The Issuer may request from Subscriber such additional information as the Issuer may reasonably deem necessary to evaluate the eligibility of Subscriber to acquire the Shares, and Subscriber shall promptly provide such information as may be reasonably requested to the extent within Subscriber’s possession and control or otherwise readily available to Subscriber,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agrees to keep confidential any such information provided by Subscriber.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6.1.4 Each party shall pay all of its own expenses in connection with this Subscription Agreement and the transactions contemplated herein.</w:t>
      </w:r>
    </w:p>
    <w:p>
      <w:pPr>
        <w:spacing w:after="0" w:line="248"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required or permitted hereunder shall be in writing and either delivered personally, emailed,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(3) Business Days after the date of mailing to the address below or to such other address or addresses as such person may hereafter designate by notice given hereunder:</w:t>
      </w:r>
    </w:p>
    <w:p>
      <w:pPr>
        <w:spacing w:after="0" w:line="93" w:lineRule="exact"/>
        <w:rPr>
          <w:sz w:val="20"/>
          <w:szCs w:val="20"/>
          <w:color w:val="auto"/>
        </w:rPr>
      </w:pPr>
    </w:p>
    <w:p>
      <w:pPr>
        <w:ind w:left="1080" w:hanging="532"/>
        <w:spacing w:after="0"/>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to Subscriber, to such address or addresses set forth on Subscriber’s signature page hereto;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to the Issuer, to:</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Hudson Executive Investment Corp.</w:t>
      </w:r>
    </w:p>
    <w:p>
      <w:pPr>
        <w:spacing w:after="0" w:line="23" w:lineRule="exact"/>
        <w:rPr>
          <w:rFonts w:ascii="Arial" w:cs="Arial" w:eastAsia="Arial" w:hAnsi="Arial"/>
          <w:sz w:val="18"/>
          <w:szCs w:val="18"/>
          <w:color w:val="auto"/>
        </w:rPr>
      </w:pPr>
    </w:p>
    <w:p>
      <w:pPr>
        <w:ind w:left="1100" w:right="7480"/>
        <w:spacing w:after="0" w:line="281" w:lineRule="auto"/>
        <w:rPr>
          <w:rFonts w:ascii="Arial" w:cs="Arial" w:eastAsia="Arial" w:hAnsi="Arial"/>
          <w:sz w:val="18"/>
          <w:szCs w:val="18"/>
          <w:color w:val="auto"/>
        </w:rPr>
      </w:pPr>
      <w:r>
        <w:rPr>
          <w:rFonts w:ascii="Arial" w:cs="Arial" w:eastAsia="Arial" w:hAnsi="Arial"/>
          <w:sz w:val="16"/>
          <w:szCs w:val="16"/>
          <w:color w:val="auto"/>
        </w:rPr>
        <w:t>570 Lexington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Attention:   Douglas G. Bergeron and Douglas L. Braunstein</w:t>
      </w:r>
    </w:p>
    <w:p>
      <w:pPr>
        <w:spacing w:after="0" w:line="9" w:lineRule="exact"/>
        <w:rPr>
          <w:rFonts w:ascii="Arial" w:cs="Arial" w:eastAsia="Arial" w:hAnsi="Arial"/>
          <w:sz w:val="18"/>
          <w:szCs w:val="18"/>
          <w:color w:val="auto"/>
        </w:rPr>
      </w:pPr>
    </w:p>
    <w:p>
      <w:pPr>
        <w:ind w:left="2080" w:right="5840" w:hanging="1035"/>
        <w:spacing w:after="0" w:line="323"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doug.bergeron@hudsonexecutive.com, douglas.braunstein@hudsonexecutive.com</w:t>
      </w:r>
    </w:p>
    <w:p>
      <w:pPr>
        <w:spacing w:after="0" w:line="13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with a required copy (which copy shall not constitute notice) to:</w:t>
      </w:r>
    </w:p>
    <w:p>
      <w:pPr>
        <w:spacing w:after="0" w:line="22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Milbank LLP</w:t>
      </w:r>
    </w:p>
    <w:p>
      <w:pPr>
        <w:spacing w:after="0" w:line="23" w:lineRule="exact"/>
        <w:rPr>
          <w:rFonts w:ascii="Arial" w:cs="Arial" w:eastAsia="Arial" w:hAnsi="Arial"/>
          <w:sz w:val="18"/>
          <w:szCs w:val="18"/>
          <w:color w:val="auto"/>
        </w:rPr>
      </w:pPr>
    </w:p>
    <w:p>
      <w:pPr>
        <w:ind w:left="1100" w:right="7800"/>
        <w:spacing w:after="0" w:line="250" w:lineRule="auto"/>
        <w:rPr>
          <w:rFonts w:ascii="Arial" w:cs="Arial" w:eastAsia="Arial" w:hAnsi="Arial"/>
          <w:sz w:val="18"/>
          <w:szCs w:val="18"/>
          <w:color w:val="auto"/>
        </w:rPr>
      </w:pPr>
      <w:r>
        <w:rPr>
          <w:rFonts w:ascii="Arial" w:cs="Arial" w:eastAsia="Arial" w:hAnsi="Arial"/>
          <w:sz w:val="18"/>
          <w:szCs w:val="18"/>
          <w:color w:val="auto"/>
        </w:rPr>
        <w:t>55 Hudson Yards New York, NY 1001 Attention: Scott Golenbock</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sgolenbock@milbank.com</w:t>
      </w:r>
    </w:p>
    <w:p>
      <w:pPr>
        <w:spacing w:after="0" w:line="116" w:lineRule="exact"/>
        <w:rPr>
          <w:rFonts w:ascii="Arial" w:cs="Arial" w:eastAsia="Arial" w:hAnsi="Arial"/>
          <w:sz w:val="18"/>
          <w:szCs w:val="18"/>
          <w:color w:val="auto"/>
        </w:rPr>
      </w:pPr>
    </w:p>
    <w:p>
      <w:pPr>
        <w:ind w:left="1080" w:hanging="532"/>
        <w:spacing w:after="0"/>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Talkspace</w:t>
      </w:r>
    </w:p>
    <w:p>
      <w:pPr>
        <w:spacing w:after="0" w:line="23" w:lineRule="exact"/>
        <w:rPr>
          <w:rFonts w:ascii="Arial" w:cs="Arial" w:eastAsia="Arial" w:hAnsi="Arial"/>
          <w:sz w:val="18"/>
          <w:szCs w:val="18"/>
          <w:color w:val="auto"/>
        </w:rPr>
      </w:pPr>
    </w:p>
    <w:p>
      <w:pPr>
        <w:ind w:left="1100" w:right="8180"/>
        <w:spacing w:after="0" w:line="250" w:lineRule="auto"/>
        <w:rPr>
          <w:rFonts w:ascii="Arial" w:cs="Arial" w:eastAsia="Arial" w:hAnsi="Arial"/>
          <w:sz w:val="18"/>
          <w:szCs w:val="18"/>
          <w:color w:val="auto"/>
        </w:rPr>
      </w:pPr>
      <w:r>
        <w:rPr>
          <w:rFonts w:ascii="Arial" w:cs="Arial" w:eastAsia="Arial" w:hAnsi="Arial"/>
          <w:sz w:val="18"/>
          <w:szCs w:val="18"/>
          <w:color w:val="auto"/>
        </w:rPr>
        <w:t>2578 Broadway #607 New York, NY 10025 Attention: Oren Frank</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5"/>
          <w:szCs w:val="15"/>
          <w:color w:val="auto"/>
        </w:rPr>
        <w:t>oren@talkspace.com</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required copies (which copies shall not constitute notice) to:</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100"/>
        <w:spacing w:after="0"/>
        <w:tabs>
          <w:tab w:leader="none" w:pos="2040" w:val="left"/>
        </w:tabs>
        <w:rPr>
          <w:sz w:val="20"/>
          <w:szCs w:val="20"/>
          <w:color w:val="auto"/>
        </w:rPr>
      </w:pPr>
      <w:r>
        <w:rPr>
          <w:rFonts w:ascii="Arial" w:cs="Arial" w:eastAsia="Arial" w:hAnsi="Arial"/>
          <w:sz w:val="18"/>
          <w:szCs w:val="18"/>
          <w:color w:val="auto"/>
        </w:rPr>
        <w:t>Attention:</w:t>
        <w:tab/>
        <w:t>Justin G. Hamill</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justin.hamill@lw.com</w:t>
      </w:r>
    </w:p>
    <w:p>
      <w:pPr>
        <w:spacing w:after="0" w:line="211" w:lineRule="exact"/>
        <w:rPr>
          <w:sz w:val="20"/>
          <w:szCs w:val="20"/>
          <w:color w:val="auto"/>
        </w:rPr>
      </w:pPr>
    </w:p>
    <w:p>
      <w:pPr>
        <w:ind w:left="120" w:right="580" w:firstLine="991"/>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Subscription Agreement constitutes the entire agreement, and supersedes all other prior agreements, understandings, representations, and warranties, both written and oral, among the parties, with respect to the subject matter hereof, including any commitment letter entered into relating to the subject matter hereof.</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Modifications; Amendments; Waivers</w:t>
      </w:r>
      <w:r>
        <w:rPr>
          <w:rFonts w:ascii="Arial" w:cs="Arial" w:eastAsia="Arial" w:hAnsi="Arial"/>
          <w:sz w:val="17"/>
          <w:szCs w:val="17"/>
          <w:color w:val="auto"/>
        </w:rPr>
        <w:t>. This Subscription Agreement may not be amended, modified, supplemented, or waived</w:t>
      </w:r>
    </w:p>
    <w:p>
      <w:pPr>
        <w:spacing w:after="0" w:line="35" w:lineRule="exact"/>
        <w:rPr>
          <w:sz w:val="20"/>
          <w:szCs w:val="20"/>
          <w:color w:val="auto"/>
        </w:rPr>
      </w:pPr>
    </w:p>
    <w:p>
      <w:pPr>
        <w:jc w:val="both"/>
        <w:ind w:left="120" w:hanging="4"/>
        <w:spacing w:after="0" w:line="295" w:lineRule="auto"/>
        <w:tabs>
          <w:tab w:leader="none" w:pos="33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except by an instrument in writing, signed by the party against whom enforcement of such amendment, modification, supplement, or waiver is sought and (ii) without the prior written consent of the Company.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thereto or the exercise of any other right or power.</w:t>
      </w:r>
    </w:p>
    <w:p>
      <w:pPr>
        <w:spacing w:after="0" w:line="161" w:lineRule="exact"/>
        <w:rPr>
          <w:sz w:val="20"/>
          <w:szCs w:val="20"/>
          <w:color w:val="auto"/>
        </w:rPr>
      </w:pPr>
    </w:p>
    <w:p>
      <w:pPr>
        <w:ind w:left="120" w:right="140" w:firstLine="991"/>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this Subscription Agreement nor any rights, interests, or obligations that may accrue to the parties hereunder (including Subscriber’s rights to purchase the Shares) may be transferred or assigned without the prior written consent of each of the Company and the other party hereto (other than the Shares acquired hereunder and then only in accordance with this Subscription Agreement). Notwithstanding the foregoing, Subscriber may assign its rights and obligations under this Subscription Agreement to any fund or account managed by the same investment manager as the Subscriber or by an affiliate of such investment manager without the prior consent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further that (x) prior to such assignment, any such assignee shall agree in writing to be bound by the terms hereof and (y) no such assignment shall relieve the Subscriber of its obligations hereunder if any such assignee fails to fully perform such obligations.</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Benefit</w:t>
      </w:r>
      <w:r>
        <w:rPr>
          <w:rFonts w:ascii="Arial" w:cs="Arial" w:eastAsia="Arial" w:hAnsi="Arial"/>
          <w:sz w:val="18"/>
          <w:szCs w:val="18"/>
          <w:color w:val="auto"/>
        </w:rPr>
        <w:t>.</w:t>
      </w:r>
    </w:p>
    <w:p>
      <w:pPr>
        <w:spacing w:after="0" w:line="117"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6.6.1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9" w:lineRule="exact"/>
        <w:rPr>
          <w:sz w:val="20"/>
          <w:szCs w:val="20"/>
          <w:color w:val="auto"/>
        </w:rPr>
      </w:pPr>
    </w:p>
    <w:p>
      <w:pPr>
        <w:ind w:left="560" w:right="620" w:firstLine="423"/>
        <w:spacing w:after="0" w:line="277" w:lineRule="auto"/>
        <w:rPr>
          <w:sz w:val="20"/>
          <w:szCs w:val="20"/>
          <w:color w:val="auto"/>
        </w:rPr>
      </w:pPr>
      <w:r>
        <w:rPr>
          <w:rFonts w:ascii="Arial" w:cs="Arial" w:eastAsia="Arial" w:hAnsi="Arial"/>
          <w:sz w:val="18"/>
          <w:szCs w:val="18"/>
          <w:color w:val="auto"/>
        </w:rPr>
        <w:t>6.6.2 Each of the Issuer and Subscriber further acknowledge and agree that the Placement Agents are third-party beneficiaries of the representations and warranties of the Issuer and Subscriber contained in this Subscription Agreement.</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internal laws of the State of Delaware, including its statute of limitations, without giving effect to principles or rules of conflicts of law thereof to the extent they would require or permit the application of laws or statute of limitations of another jurisdiction.</w:t>
      </w:r>
    </w:p>
    <w:p>
      <w:pPr>
        <w:spacing w:after="0" w:line="188"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 xml:space="preserve">. Each of the parties irrevocably consents to the exclusive jurisdiction and venue of the Court of Chancery of the State of Delaware; </w:t>
      </w:r>
      <w:r>
        <w:rPr>
          <w:rFonts w:ascii="Arial" w:cs="Arial" w:eastAsia="Arial" w:hAnsi="Arial"/>
          <w:sz w:val="18"/>
          <w:szCs w:val="18"/>
          <w:i w:val="1"/>
          <w:iCs w:val="1"/>
          <w:color w:val="auto"/>
        </w:rPr>
        <w:t>provided</w:t>
      </w:r>
      <w:r>
        <w:rPr>
          <w:rFonts w:ascii="Arial" w:cs="Arial" w:eastAsia="Arial" w:hAnsi="Arial"/>
          <w:sz w:val="18"/>
          <w:szCs w:val="18"/>
          <w:color w:val="auto"/>
        </w:rPr>
        <w:t>, that if subject matter jurisdiction over the matter that is the subject of the legal proceeding is vested exclusively in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U.S. federal courts, such legal proceeding shall be heard in the U.S. District Court for the District of Delaware (together with the Court of Chancery of the State of Delaware, the “</w:t>
      </w:r>
      <w:r>
        <w:rPr>
          <w:rFonts w:ascii="Arial" w:cs="Arial" w:eastAsia="Arial" w:hAnsi="Arial"/>
          <w:sz w:val="17"/>
          <w:szCs w:val="17"/>
          <w:b w:val="1"/>
          <w:bCs w:val="1"/>
          <w:color w:val="auto"/>
        </w:rPr>
        <w:t>Chosen Courts</w:t>
      </w:r>
      <w:r>
        <w:rPr>
          <w:rFonts w:ascii="Arial" w:cs="Arial" w:eastAsia="Arial" w:hAnsi="Arial"/>
          <w:sz w:val="17"/>
          <w:szCs w:val="17"/>
          <w:color w:val="auto"/>
        </w:rPr>
        <w:t xml:space="preserve">”), in connection with any matter based upon or arising out of this Subscription Agreement. Each party hereby waives, and shall not assert as a defense in any legal dispute, that (i) such person is not personally subject to the jurisdiction of the Chosen Courts for any reason, (ii) such legal proceeding may not be brought or is not maintainable in the Chosen Courts, (iii) such person’s property is exempt or immune from execution, (iv) such legal proceeding is brought in an inconvenient forum, or (v) the venue of such legal proceeding is improper. Each party hereby consents to service of process in any such proceeding in any manner permitted by Delaware law,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waives and covenants not to assert or plead any objection which they might otherwise have to such manner of service of process. Notwithstanding the foregoing in this </w:t>
      </w:r>
      <w:r>
        <w:rPr>
          <w:rFonts w:ascii="Arial" w:cs="Arial" w:eastAsia="Arial" w:hAnsi="Arial"/>
          <w:sz w:val="17"/>
          <w:szCs w:val="17"/>
          <w:u w:val="single" w:color="auto"/>
          <w:color w:val="auto"/>
        </w:rPr>
        <w:t>Section 6.8</w:t>
      </w:r>
      <w:r>
        <w:rPr>
          <w:rFonts w:ascii="Arial" w:cs="Arial" w:eastAsia="Arial" w:hAnsi="Arial"/>
          <w:sz w:val="17"/>
          <w:szCs w:val="17"/>
          <w:color w:val="auto"/>
        </w:rPr>
        <w:t>, a party may commence any action, claim, cause of action, or suit in a court other than the Chosen Courts solely for the purpose of enforcing an order or judgment issued by the Chosen Courts. TO THE EXTENT NOT PROHIBITED BY APPLICABLE LAW WHICH CANNOT BE WAIVED, EACH OF THE PARTIES WAIVES ANY RIGHT TO TRIAL BY JURY ON ANY CLAIMS OR COUNTERCLAIMS ASSERTED IN ANY LEGAL DISPUTE RELATING TO THIS SUBSCRIPTION AGREEMENT WHETHER NOW EXISTING OR HEREAFTER ARISING. IF THE SUBJECT MATTER OF ANY SUCH LEGAL DISPUTE IS ONE IN WHICH THE WAIVER OF JURY TRIAL IS PROHIBITED, NO PARTY SHALL ASSERT IN SUCH LEGAL DISPUTE A NONCOMPULSORY COUNTERCLAIM ARISING OUT OF OR RELATING TO THIS SUBSCRIPTION AGREEMENT. FURTHERMORE, NO PARTY SHALL SEEK TO CONSOLIDATE ANY SUCH LEGAL DISPUTE WITH A SEPARATE ACTION OR OTHER LEGAL PROCEEDING IN WHICH A JURY TRIAL CANNOT BE WAIVED.</w:t>
      </w:r>
    </w:p>
    <w:p>
      <w:pPr>
        <w:spacing w:after="0" w:line="191"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84" w:lineRule="exact"/>
        <w:rPr>
          <w:sz w:val="20"/>
          <w:szCs w:val="20"/>
          <w:color w:val="auto"/>
        </w:rPr>
      </w:pPr>
    </w:p>
    <w:p>
      <w:pPr>
        <w:ind w:left="120" w:right="120" w:firstLine="991"/>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No Waiver of Rights, Powers, and Remedies</w:t>
      </w:r>
      <w:r>
        <w:rPr>
          <w:rFonts w:ascii="Arial" w:cs="Arial" w:eastAsia="Arial" w:hAnsi="Arial"/>
          <w:sz w:val="16"/>
          <w:szCs w:val="16"/>
          <w:color w:val="auto"/>
        </w:rPr>
        <w: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left="1100" w:right="20" w:firstLine="401"/>
        <w:spacing w:after="0" w:line="275" w:lineRule="auto"/>
        <w:rPr>
          <w:sz w:val="20"/>
          <w:szCs w:val="20"/>
          <w:color w:val="auto"/>
        </w:rPr>
      </w:pPr>
      <w:r>
        <w:rPr>
          <w:rFonts w:ascii="Arial" w:cs="Arial" w:eastAsia="Arial" w:hAnsi="Arial"/>
          <w:sz w:val="17"/>
          <w:szCs w:val="17"/>
          <w:color w:val="auto"/>
        </w:rPr>
        <w:t xml:space="preserve">6.11.1 The parties agree that each party may suffer irreparable damage if this Subscription Agreement were not performed in accordance with its specific terms. It is accordingly agreed that the parties shall be entitled to seek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w:t>
      </w:r>
      <w:r>
        <w:rPr>
          <w:rFonts w:ascii="Arial" w:cs="Arial" w:eastAsia="Arial" w:hAnsi="Arial"/>
          <w:sz w:val="17"/>
          <w:szCs w:val="17"/>
          <w:u w:val="single" w:color="auto"/>
          <w:color w:val="auto"/>
        </w:rPr>
        <w:t>Section 6.8</w:t>
      </w:r>
      <w:r>
        <w:rPr>
          <w:rFonts w:ascii="Arial" w:cs="Arial" w:eastAsia="Arial" w:hAnsi="Arial"/>
          <w:sz w:val="17"/>
          <w:szCs w:val="17"/>
          <w:color w:val="auto"/>
        </w:rPr>
        <w:t>, this being in addition to any other remedy to which any party is entitled at law or in equity, including money damages.</w:t>
      </w:r>
    </w:p>
    <w:p>
      <w:pPr>
        <w:spacing w:after="0" w:line="68" w:lineRule="exact"/>
        <w:rPr>
          <w:sz w:val="20"/>
          <w:szCs w:val="20"/>
          <w:color w:val="auto"/>
        </w:rPr>
      </w:pPr>
    </w:p>
    <w:p>
      <w:pPr>
        <w:ind w:left="1100" w:right="520" w:firstLine="401"/>
        <w:spacing w:after="0" w:line="308" w:lineRule="auto"/>
        <w:rPr>
          <w:sz w:val="20"/>
          <w:szCs w:val="20"/>
          <w:color w:val="auto"/>
        </w:rPr>
      </w:pPr>
      <w:r>
        <w:rPr>
          <w:rFonts w:ascii="Arial" w:cs="Arial" w:eastAsia="Arial" w:hAnsi="Arial"/>
          <w:sz w:val="17"/>
          <w:szCs w:val="17"/>
          <w:color w:val="auto"/>
        </w:rPr>
        <w:t xml:space="preserve">6.11.2 The parties acknowledge and agree that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is an integral part of the transactions contemplated hereby and without that right, the parties hereto would not have entered into this Subscription Agreement.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Subscription Agreement shall survive the Closing. For the avoidance of doubt, if for any reason the Closing does not occur prior to the consummation of the Transactions, all representations, warranties, covenants, and agreements of the parties hereunder shall survive the consummation of the Transactions and remain in full force and effect.</w:t>
      </w:r>
    </w:p>
    <w:p>
      <w:pPr>
        <w:spacing w:after="0" w:line="18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Subscription Agreement may be executed in one or more counterparts, all of which when taken together shall be considered one and the same agreement and shall become effective when counterparts have been signed by each party and delivered to the other parties, it being understood that the parties need not sign the same counterpart. In the event that any signature is delivered by facsimile transmission, email,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6"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Construction</w:t>
      </w:r>
      <w:r>
        <w:rPr>
          <w:rFonts w:ascii="Arial" w:cs="Arial" w:eastAsia="Arial" w:hAnsi="Arial"/>
          <w:sz w:val="17"/>
          <w:szCs w:val="17"/>
          <w:color w:val="auto"/>
        </w:rPr>
        <w: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 “</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Subscription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w:t>
      </w:r>
    </w:p>
    <w:p>
      <w:pPr>
        <w:spacing w:after="0" w:line="185"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Subscription Agreement is the joint product of the parties hereto and each provision hereof has been subject to the mutual consultation, negotiation, and agreement of the parties and shall not be construed for or against any party hereto.</w:t>
      </w:r>
    </w:p>
    <w:p>
      <w:pPr>
        <w:spacing w:after="0" w:line="146" w:lineRule="exact"/>
        <w:rPr>
          <w:sz w:val="20"/>
          <w:szCs w:val="20"/>
          <w:color w:val="auto"/>
        </w:rPr>
      </w:pPr>
    </w:p>
    <w:p>
      <w:pPr>
        <w:ind w:left="740" w:hanging="184"/>
        <w:spacing w:after="0"/>
        <w:tabs>
          <w:tab w:leader="none" w:pos="74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Cleansing Statement; Disclosure</w:t>
      </w:r>
      <w:r>
        <w:rPr>
          <w:rFonts w:ascii="Arial" w:cs="Arial" w:eastAsia="Arial" w:hAnsi="Arial"/>
          <w:sz w:val="18"/>
          <w:szCs w:val="18"/>
          <w:color w:val="auto"/>
        </w:rPr>
        <w:t>.</w:t>
      </w:r>
    </w:p>
    <w:p>
      <w:pPr>
        <w:spacing w:after="0" w:line="225"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7.1 The Issuer shall, by 9:00 a.m., New York City time, on the first (1</w:t>
      </w:r>
      <w:r>
        <w:rPr>
          <w:rFonts w:ascii="Arial" w:cs="Arial" w:eastAsia="Arial" w:hAnsi="Arial"/>
          <w:sz w:val="14"/>
          <w:szCs w:val="14"/>
          <w:color w:val="auto"/>
        </w:rPr>
        <w:t>st</w:t>
      </w:r>
      <w:r>
        <w:rPr>
          <w:rFonts w:ascii="Arial" w:cs="Arial" w:eastAsia="Arial" w:hAnsi="Arial"/>
          <w:sz w:val="17"/>
          <w:szCs w:val="17"/>
          <w:color w:val="auto"/>
        </w:rPr>
        <w:t xml:space="preserve">) Business Day immediately following the date of this Subscription Agreement, issue one (1) or more press releases or file with the Commission a Current Report on Form 8-K disclosing all material terms of the transactions contemplated hereby and by the Other Subscription Agreements, the Forward Purchase Agreement, and the Transactions. From and after the issuance of such press release(s) or filings, Subscriber shall not be in possession of any material, non-public information received from the Issuer or any of its officers, directors or employees or agents, and Subscriber shall no longer be subject to any confidentiality or similar obligations under any current agreement, whether written or oral with Issuer, the Placement Agent, or any of their affiliates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apply to the extent that Subscriber or any of its affiliates are an investor in the Company as of the date hereof. The Issuer understands and confirms that the Subscriber and its affiliates will rely on the foregoing representations in effecting transactions in securities of the Issuer. Notwithstanding the foregoing, neither the Company nor the Issuer shall publicly disclose the name of Subscriber or any affiliate or investment adviser of Subscriber, or include the name of Subscriber or any affiliate or investment adviser of Subscriber in any press release or in any filing with the Commission or any regulatory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583" w:name="page584"/>
    <w:bookmarkEnd w:id="5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agency or trading market, without the prior written consent (including by e-mail) of Subscriber, except in the Registration Statement contemplated by Section 5 of this Subscription Agreement, as required by the federal securities laws, rules or regulations and/or to the extent such disclosure is required by other laws, rules or regulations, or at the request of the staff of the Commission or any regulatory agency, in which case the Issuer shall provide Subscriber with prior written notice (including by e-mail) of such permitted disclosure, and shall reasonably consult with Subscriber regarding such disclosure.</w:t>
      </w:r>
    </w:p>
    <w:p>
      <w:pPr>
        <w:spacing w:after="0" w:line="188" w:lineRule="exact"/>
        <w:rPr>
          <w:sz w:val="20"/>
          <w:szCs w:val="20"/>
          <w:color w:val="auto"/>
        </w:rPr>
      </w:pPr>
    </w:p>
    <w:p>
      <w:pPr>
        <w:ind w:left="120" w:firstLine="436"/>
        <w:spacing w:after="0" w:line="268" w:lineRule="auto"/>
        <w:tabs>
          <w:tab w:leader="none" w:pos="740" w:val="left"/>
        </w:tabs>
        <w:numPr>
          <w:ilvl w:val="0"/>
          <w:numId w:val="499"/>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Subscriber acknowledges that the Issuer has established a trust account containing the proceeds of its initial public offering and from certain private placements (collectively, with interest accrued from time to time thereon, the “</w:t>
      </w:r>
      <w:r>
        <w:rPr>
          <w:rFonts w:ascii="Arial" w:cs="Arial" w:eastAsia="Arial" w:hAnsi="Arial"/>
          <w:sz w:val="17"/>
          <w:szCs w:val="17"/>
          <w:b w:val="1"/>
          <w:bCs w:val="1"/>
          <w:color w:val="auto"/>
        </w:rPr>
        <w:t>Trust Account</w:t>
      </w:r>
      <w:r>
        <w:rPr>
          <w:rFonts w:ascii="Arial" w:cs="Arial" w:eastAsia="Arial" w:hAnsi="Arial"/>
          <w:sz w:val="17"/>
          <w:szCs w:val="17"/>
          <w:color w:val="auto"/>
        </w:rPr>
        <w:t>”). For and in consideration of the Issuer’s entering into this Subscription Agreement, and for other good and valuable consideration, the receipt and sufficiency of which are hereby acknowledged, Subscriber agrees that (i) it has no right, title, interest, or claim of any kind in or to any monies held in the Trust Account, and (ii) it shall have no right of set-off or any right, title, interest, or claim of any kind (“</w:t>
      </w:r>
      <w:r>
        <w:rPr>
          <w:rFonts w:ascii="Arial" w:cs="Arial" w:eastAsia="Arial" w:hAnsi="Arial"/>
          <w:sz w:val="17"/>
          <w:szCs w:val="17"/>
          <w:b w:val="1"/>
          <w:bCs w:val="1"/>
          <w:color w:val="auto"/>
        </w:rPr>
        <w:t>Claim</w:t>
      </w:r>
      <w:r>
        <w:rPr>
          <w:rFonts w:ascii="Arial" w:cs="Arial" w:eastAsia="Arial" w:hAnsi="Arial"/>
          <w:sz w:val="17"/>
          <w:szCs w:val="17"/>
          <w:color w:val="auto"/>
        </w:rPr>
        <w:t xml:space="preserve">”) to, or to any monies in, the Trust Account, in each case in connection with this Subscription Agreement, and hereby irrevocably waives any Claim to, or to any monies in, the Trust Account that it may have in connection with this Subscription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(x) shall serve to limit or prohibit the Subscriber’s right to pursue a claim against Issuer for legal relief against assets held outside the Trust Account, for specific performance or other equitable relief, (y) shall serve to limit or prohibit any claims that the Subscriber may have in the future against the Issuer’s assets or funds that are not held in the Trust Account (including any funds that have been released from the Trust Account and any assets that have been purchased or acquired with any such funds) or (z) shall be deemed to limit Subscriber’s right, title, interest, or claim to the Trust Account by virtue of such Subscriber’s record or beneficial ownership of securities of the Issuer acquired by any means other than pursuant to this Subscription Agreement, including any redemption right with respect to any such securities of the Issuer. In the event Subscriber has any Claim against the Issuer under this Subscription Agreement, Subscriber shall pursue such Claim solely against the Issuer and its assets outside the Trust Account and not against the property or any monies in the Trust Account.</w:t>
      </w:r>
    </w:p>
    <w:p>
      <w:pPr>
        <w:spacing w:after="0" w:line="181" w:lineRule="exact"/>
        <w:rPr>
          <w:rFonts w:ascii="Arial" w:cs="Arial" w:eastAsia="Arial" w:hAnsi="Arial"/>
          <w:sz w:val="17"/>
          <w:szCs w:val="17"/>
          <w:color w:val="auto"/>
        </w:rPr>
      </w:pPr>
    </w:p>
    <w:p>
      <w:pPr>
        <w:ind w:left="120" w:right="20" w:firstLine="436"/>
        <w:spacing w:after="0" w:line="291" w:lineRule="auto"/>
        <w:tabs>
          <w:tab w:leader="none" w:pos="740"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Subscriber acknowledges that it is not relying upon, and has not relied upon, any statement, representation, or warranty made by any person, firm, or corporation (including, without limitation, the Company, the Issuer, any of their respective affiliates, or any of its or their respective control persons, officers, directors, or employees), other than the representations and warranties of the Issuer expressly set forth in this Subscription Agreement, in making its investment or decision to invest in the Issuer. Subscriber agrees none of the Placement Agent, its affiliates or any control persons, officers, directors, employees, partners, agents or representatives of any of the foregoing shall be liable to Subscriber pursuant to or in connection with this Subscription Agreement or any other agreement related to the private placement of shares of the Issuer’s capital stock for any action heretofore or hereafter taken or omitted to be taken by any of them in connection with the purchase of the Shares hereunder.</w:t>
      </w:r>
    </w:p>
    <w:p>
      <w:pPr>
        <w:spacing w:after="0" w:line="166" w:lineRule="exact"/>
        <w:rPr>
          <w:rFonts w:ascii="Arial" w:cs="Arial" w:eastAsia="Arial" w:hAnsi="Arial"/>
          <w:sz w:val="16"/>
          <w:szCs w:val="16"/>
          <w:color w:val="auto"/>
        </w:rPr>
      </w:pPr>
    </w:p>
    <w:p>
      <w:pPr>
        <w:ind w:left="120" w:right="280" w:firstLine="436"/>
        <w:spacing w:after="0" w:line="277" w:lineRule="auto"/>
        <w:tabs>
          <w:tab w:leader="none" w:pos="83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Waiver of Sovereign Immunity</w:t>
      </w:r>
      <w:r>
        <w:rPr>
          <w:rFonts w:ascii="Arial" w:cs="Arial" w:eastAsia="Arial" w:hAnsi="Arial"/>
          <w:sz w:val="18"/>
          <w:szCs w:val="18"/>
          <w:color w:val="auto"/>
        </w:rPr>
        <w:t>. With respect to the liability of Subscriber to perform its obligations under this Agreement, with respect to itself or its property, Subscriber:</w:t>
      </w:r>
    </w:p>
    <w:p>
      <w:pPr>
        <w:spacing w:after="0" w:line="170"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10.1 agrees that, for purposes of the doctrine of sovereign immunity, the execution, delivery, and performance by it of this Agreement constitutes private and commercial acts done for private and commercial purposes;</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10.2 agrees that, should any proceedings be brought against it or its assets in any jurisdiction in relation to this Agreement or any transaction contemplated by this Agreement in accordance with the terms hereof, Subscriber is not entitled to any immunity on the basis of sovereignty in respect of its obligations under this Agreement, and no immunity from such proceedings (including, without limitation, immunity from service of process from suit, from the jurisdiction of any court, from an order or injunction of such court, or the enforcement of same against its assets) shall be claimed by or on behalf of such party or with respect to its assets;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584" w:name="page585"/>
    <w:bookmarkEnd w:id="5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10.3 waives, in any such proceedings, to the fullest extent permitted by law, any right of immunity which it or any of its assets now has or may acquire in the future in any jurisdiction;</w:t>
      </w:r>
    </w:p>
    <w:p>
      <w:pPr>
        <w:spacing w:after="0" w:line="170" w:lineRule="exact"/>
        <w:rPr>
          <w:sz w:val="20"/>
          <w:szCs w:val="20"/>
          <w:color w:val="auto"/>
        </w:rPr>
      </w:pPr>
    </w:p>
    <w:p>
      <w:pPr>
        <w:ind w:left="120" w:right="160" w:firstLine="991"/>
        <w:spacing w:after="0" w:line="301" w:lineRule="auto"/>
        <w:rPr>
          <w:sz w:val="20"/>
          <w:szCs w:val="20"/>
          <w:color w:val="auto"/>
        </w:rPr>
      </w:pPr>
      <w:r>
        <w:rPr>
          <w:rFonts w:ascii="Arial" w:cs="Arial" w:eastAsia="Arial" w:hAnsi="Arial"/>
          <w:sz w:val="16"/>
          <w:szCs w:val="16"/>
          <w:color w:val="auto"/>
        </w:rPr>
        <w:t>10.4 subject to the terms and conditions hereof, consents generally in respect of the enforcement of any judgment or award against it in any such proceedings to the giving of any relief or the issue of any process in any jurisdiction in connection with such proceedings (including, without limitation, pre-judgment attachment, post judgment attachment, the making, enforcement, or execution against or in respect of any assets whatsoever irrespective of their use or intended use of any order or judgment that may be made or given in connection therewith); and</w:t>
      </w:r>
    </w:p>
    <w:p>
      <w:pPr>
        <w:spacing w:after="0" w:line="157"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10.5 specifies that, for the purposes of this provision, “assets” shall be taken as excluding “premises of the mission” as defined in the Vienna Convention on Diplomatic Relations signed at Vienna, April 18, 1961, “consular premises” as defined in the Vienna Convention on Consular Relations signed in 1963, and military property or military assets or property of the Subscriber.]</w:t>
      </w:r>
      <w:r>
        <w:rPr>
          <w:rFonts w:ascii="Arial" w:cs="Arial" w:eastAsia="Arial" w:hAnsi="Arial"/>
          <w:sz w:val="15"/>
          <w:szCs w:val="15"/>
          <w:color w:val="auto"/>
        </w:rPr>
        <w:t>1</w:t>
      </w:r>
    </w:p>
    <w:p>
      <w:pPr>
        <w:spacing w:after="0" w:line="184" w:lineRule="exact"/>
        <w:rPr>
          <w:sz w:val="20"/>
          <w:szCs w:val="20"/>
          <w:color w:val="auto"/>
        </w:rPr>
      </w:pPr>
    </w:p>
    <w:p>
      <w:pPr>
        <w:ind w:left="120" w:right="80" w:firstLine="436"/>
        <w:spacing w:after="0" w:line="263" w:lineRule="auto"/>
        <w:tabs>
          <w:tab w:leader="none" w:pos="823"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From and after such time as the benefits of Rule 144 promulgated under the Securities Act or any other similar rule or regulation of the Commission that may allow Subscriber to sell securities of the Issuer to the public without registration are available to holders of the Issuer’s common stock and until the third (3</w:t>
      </w:r>
      <w:r>
        <w:rPr>
          <w:rFonts w:ascii="Arial" w:cs="Arial" w:eastAsia="Arial" w:hAnsi="Arial"/>
          <w:sz w:val="15"/>
          <w:szCs w:val="15"/>
          <w:color w:val="auto"/>
        </w:rPr>
        <w:t>rd</w:t>
      </w:r>
      <w:r>
        <w:rPr>
          <w:rFonts w:ascii="Arial" w:cs="Arial" w:eastAsia="Arial" w:hAnsi="Arial"/>
          <w:sz w:val="18"/>
          <w:szCs w:val="18"/>
          <w:color w:val="auto"/>
        </w:rPr>
        <w:t>) anniversary of the Closing Date, the Issuer shall, at its expense: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11.1.1 make and keep public information available, as those terms are understood and defined in Rule 144;</w:t>
      </w:r>
    </w:p>
    <w:p>
      <w:pPr>
        <w:spacing w:after="0" w:line="117"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11.1.2 use commercially reasonable efforts to 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to enable Subscriber to sell the Shares under Rule 144 for so long as the Subscriber holds any Shares; and</w:t>
      </w:r>
    </w:p>
    <w:p>
      <w:pPr>
        <w:spacing w:after="0" w:line="79"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11.1.3 furnish to Subscriber, promptly upon Subscriber’s reasonable request, (i) a written statement by the Issuer, if true, that it has complied with the reporting requirements of Rule 144, the Securities Act, and the Exchange Act, (ii) a copy of the most recent annual or quarterly report of the Issuer and such other reports and documents so filed by the Issuer, and (iii) such other information as may be reasonably requested to permit Subscriber to sell such securities pursuant to Rule 144 without registration.</w:t>
      </w:r>
    </w:p>
    <w:p>
      <w:pPr>
        <w:spacing w:after="0" w:line="79" w:lineRule="exact"/>
        <w:rPr>
          <w:sz w:val="20"/>
          <w:szCs w:val="20"/>
          <w:color w:val="auto"/>
        </w:rPr>
      </w:pPr>
    </w:p>
    <w:p>
      <w:pPr>
        <w:ind w:left="560" w:right="120" w:firstLine="423"/>
        <w:spacing w:after="0" w:line="342" w:lineRule="auto"/>
        <w:rPr>
          <w:sz w:val="20"/>
          <w:szCs w:val="20"/>
          <w:color w:val="auto"/>
        </w:rPr>
      </w:pPr>
      <w:r>
        <w:rPr>
          <w:rFonts w:ascii="Arial" w:cs="Arial" w:eastAsia="Arial" w:hAnsi="Arial"/>
          <w:sz w:val="16"/>
          <w:szCs w:val="16"/>
          <w:color w:val="auto"/>
        </w:rPr>
        <w:t xml:space="preserve">11.1.4 If in the opinion of counsel to the Issuer, it is then permissible to remove the restrictive legend from the Shares pursuant to Rule 144 under the Securities Act, then at Subscriber’s request, the Issuer will request its transfer agent to remove the legend set forth in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60" w:right="5300" w:hanging="5344"/>
        <w:spacing w:after="0" w:line="535" w:lineRule="auto"/>
        <w:tabs>
          <w:tab w:leader="none" w:pos="338" w:val="left"/>
        </w:tabs>
        <w:numPr>
          <w:ilvl w:val="0"/>
          <w:numId w:val="501"/>
        </w:numPr>
        <w:rPr>
          <w:rFonts w:ascii="Arial" w:cs="Arial" w:eastAsia="Arial" w:hAnsi="Arial"/>
          <w:sz w:val="13"/>
          <w:szCs w:val="13"/>
          <w:color w:val="auto"/>
        </w:rPr>
      </w:pPr>
      <w:r>
        <w:rPr>
          <w:rFonts w:ascii="Arial" w:cs="Arial" w:eastAsia="Arial" w:hAnsi="Arial"/>
          <w:sz w:val="16"/>
          <w:szCs w:val="16"/>
          <w:u w:val="single" w:color="auto"/>
          <w:color w:val="auto"/>
        </w:rPr>
        <w:t>Note to Draft</w:t>
      </w:r>
      <w:r>
        <w:rPr>
          <w:rFonts w:ascii="Arial" w:cs="Arial" w:eastAsia="Arial" w:hAnsi="Arial"/>
          <w:sz w:val="16"/>
          <w:szCs w:val="16"/>
          <w:color w:val="auto"/>
        </w:rPr>
        <w:t>: To be included for all sovereign wealth or similar investors. F-20</w:t>
      </w:r>
    </w:p>
    <w:p>
      <w:pPr>
        <w:sectPr>
          <w:pgSz w:w="11900" w:h="16838" w:orient="portrait"/>
          <w:cols w:equalWidth="0" w:num="1">
            <w:col w:w="11100"/>
          </w:cols>
          <w:pgMar w:left="320" w:top="459" w:right="479"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Dobres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 to Subscription Agreement]</w:t>
      </w:r>
    </w:p>
    <w:p>
      <w:pPr>
        <w:sectPr>
          <w:pgSz w:w="11900" w:h="16838" w:orient="portrait"/>
          <w:cols w:equalWidth="0" w:num="1">
            <w:col w:w="10780"/>
          </w:cols>
          <w:pgMar w:left="320" w:top="459" w:right="799"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this [●] day of January,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SUBSCRIBER:</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Signature of Subscriber:</w:t>
            </w:r>
          </w:p>
        </w:tc>
        <w:tc>
          <w:tcPr>
            <w:tcW w:w="82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OF</w:t>
            </w:r>
            <w:r>
              <w:rPr>
                <w:rFonts w:ascii="Arial" w:cs="Arial" w:eastAsia="Arial" w:hAnsi="Arial"/>
                <w:sz w:val="18"/>
                <w:szCs w:val="18"/>
                <w:color w:val="auto"/>
              </w:rPr>
              <w:t xml:space="preserve"> J</w:t>
            </w:r>
            <w:r>
              <w:rPr>
                <w:rFonts w:ascii="Arial" w:cs="Arial" w:eastAsia="Arial" w:hAnsi="Arial"/>
                <w:sz w:val="14"/>
                <w:szCs w:val="14"/>
                <w:color w:val="auto"/>
              </w:rPr>
              <w:t>OINT</w:t>
            </w:r>
            <w:r>
              <w:rPr>
                <w:rFonts w:ascii="Arial" w:cs="Arial" w:eastAsia="Arial" w:hAnsi="Arial"/>
                <w:sz w:val="18"/>
                <w:szCs w:val="18"/>
                <w:color w:val="auto"/>
              </w:rPr>
              <w:t xml:space="preserve"> S</w:t>
            </w:r>
            <w:r>
              <w:rPr>
                <w:rFonts w:ascii="Arial" w:cs="Arial" w:eastAsia="Arial" w:hAnsi="Arial"/>
                <w:sz w:val="14"/>
                <w:szCs w:val="14"/>
                <w:color w:val="auto"/>
              </w:rPr>
              <w:t>UBSCRIBER</w:t>
            </w:r>
            <w:r>
              <w:rPr>
                <w:rFonts w:ascii="Arial" w:cs="Arial" w:eastAsia="Arial" w:hAnsi="Arial"/>
                <w:sz w:val="18"/>
                <w:szCs w:val="18"/>
                <w:color w:val="auto"/>
              </w:rPr>
              <w:t xml:space="preserve">, </w:t>
            </w:r>
            <w:r>
              <w:rPr>
                <w:rFonts w:ascii="Arial" w:cs="Arial" w:eastAsia="Arial" w:hAnsi="Arial"/>
                <w:sz w:val="14"/>
                <w:szCs w:val="14"/>
                <w:color w:val="auto"/>
              </w:rPr>
              <w:t>IF APPLICABLE</w:t>
            </w:r>
            <w:r>
              <w:rPr>
                <w:rFonts w:ascii="Arial" w:cs="Arial" w:eastAsia="Arial" w:hAnsi="Arial"/>
                <w:sz w:val="18"/>
                <w:szCs w:val="18"/>
                <w:color w:val="auto"/>
              </w:rPr>
              <w:t>:</w:t>
            </w: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By:</w:t>
            </w:r>
          </w:p>
        </w:tc>
        <w:tc>
          <w:tcPr>
            <w:tcW w:w="82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By:</w:t>
            </w:r>
          </w:p>
        </w:tc>
      </w:tr>
      <w:tr>
        <w:trPr>
          <w:trHeight w:val="182"/>
        </w:trPr>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70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08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Title:</w:t>
            </w:r>
          </w:p>
        </w:tc>
        <w:tc>
          <w:tcPr>
            <w:tcW w:w="82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Date: January [●], 2021</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Name of Subscriber:</w:t>
            </w:r>
          </w:p>
        </w:tc>
        <w:tc>
          <w:tcPr>
            <w:tcW w:w="82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Name of Joint Subscriber, if applicable:</w:t>
            </w:r>
          </w:p>
        </w:tc>
      </w:tr>
      <w:tr>
        <w:trPr>
          <w:trHeight w:val="432"/>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09"/>
        </w:trPr>
        <w:tc>
          <w:tcPr>
            <w:tcW w:w="5040" w:type="dxa"/>
            <w:vAlign w:val="bottom"/>
            <w:gridSpan w:val="4"/>
          </w:tcPr>
          <w:p>
            <w:pPr>
              <w:spacing w:after="0"/>
              <w:rPr>
                <w:sz w:val="20"/>
                <w:szCs w:val="20"/>
                <w:color w:val="auto"/>
              </w:rPr>
            </w:pPr>
            <w:r>
              <w:rPr>
                <w:rFonts w:ascii="Arial" w:cs="Arial" w:eastAsia="Arial" w:hAnsi="Arial"/>
                <w:sz w:val="18"/>
                <w:szCs w:val="18"/>
                <w:color w:val="auto"/>
              </w:rPr>
              <w:t>(Please print. Please indicate name and</w:t>
            </w:r>
          </w:p>
        </w:tc>
        <w:tc>
          <w:tcPr>
            <w:tcW w:w="8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(Please print. Please indicate name and</w:t>
            </w: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capacity of person signing above.)</w:t>
            </w:r>
          </w:p>
        </w:tc>
        <w:tc>
          <w:tcPr>
            <w:tcW w:w="82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capacity of person signing above.)</w:t>
            </w:r>
          </w:p>
        </w:tc>
      </w:tr>
      <w:tr>
        <w:trPr>
          <w:trHeight w:val="445"/>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5040" w:type="dxa"/>
            <w:vAlign w:val="bottom"/>
            <w:gridSpan w:val="4"/>
          </w:tcPr>
          <w:p>
            <w:pPr>
              <w:spacing w:after="0"/>
              <w:rPr>
                <w:sz w:val="20"/>
                <w:szCs w:val="20"/>
                <w:color w:val="auto"/>
              </w:rPr>
            </w:pPr>
            <w:r>
              <w:rPr>
                <w:rFonts w:ascii="Arial" w:cs="Arial" w:eastAsia="Arial" w:hAnsi="Arial"/>
                <w:sz w:val="18"/>
                <w:szCs w:val="18"/>
                <w:color w:val="auto"/>
                <w:w w:val="96"/>
              </w:rPr>
              <w:t>Name in which securities are to be registered (if different from the</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name of Subscriber listed directly above.)</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Email Address:</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040" w:type="dxa"/>
            <w:vAlign w:val="bottom"/>
            <w:gridSpan w:val="4"/>
          </w:tcPr>
          <w:p>
            <w:pPr>
              <w:spacing w:after="0"/>
              <w:rPr>
                <w:sz w:val="20"/>
                <w:szCs w:val="20"/>
                <w:color w:val="auto"/>
              </w:rPr>
            </w:pPr>
            <w:r>
              <w:rPr>
                <w:rFonts w:ascii="Arial" w:cs="Arial" w:eastAsia="Arial" w:hAnsi="Arial"/>
                <w:sz w:val="18"/>
                <w:szCs w:val="18"/>
                <w:color w:val="auto"/>
              </w:rPr>
              <w:t>If there are joint investors, please check one:</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7"/>
        </w:trPr>
        <w:tc>
          <w:tcPr>
            <w:tcW w:w="50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Joint Tenants with Rights of Survivorship</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50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Tenants-in-Common</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83"/>
        </w:trPr>
        <w:tc>
          <w:tcPr>
            <w:tcW w:w="50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Community Property</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1"/>
        </w:trPr>
        <w:tc>
          <w:tcPr>
            <w:tcW w:w="1340" w:type="dxa"/>
            <w:vAlign w:val="bottom"/>
            <w:gridSpan w:val="2"/>
          </w:tcPr>
          <w:p>
            <w:pPr>
              <w:spacing w:after="0"/>
              <w:rPr>
                <w:sz w:val="20"/>
                <w:szCs w:val="20"/>
                <w:color w:val="auto"/>
              </w:rPr>
            </w:pPr>
            <w:r>
              <w:rPr>
                <w:rFonts w:ascii="Arial" w:cs="Arial" w:eastAsia="Arial" w:hAnsi="Arial"/>
                <w:sz w:val="18"/>
                <w:szCs w:val="18"/>
                <w:color w:val="auto"/>
                <w:w w:val="94"/>
              </w:rPr>
              <w:t>Subscriber’s EIN:</w:t>
            </w:r>
          </w:p>
        </w:tc>
        <w:tc>
          <w:tcPr>
            <w:tcW w:w="30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3"/>
              </w:rPr>
              <w:t>Joint Subscriber’s EIN:</w:t>
            </w:r>
          </w:p>
        </w:tc>
        <w:tc>
          <w:tcPr>
            <w:tcW w:w="26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453"/>
        </w:trPr>
        <w:tc>
          <w:tcPr>
            <w:tcW w:w="5040" w:type="dxa"/>
            <w:vAlign w:val="bottom"/>
            <w:gridSpan w:val="4"/>
          </w:tcPr>
          <w:p>
            <w:pPr>
              <w:spacing w:after="0"/>
              <w:rPr>
                <w:sz w:val="20"/>
                <w:szCs w:val="20"/>
                <w:color w:val="auto"/>
              </w:rPr>
            </w:pPr>
            <w:r>
              <w:rPr>
                <w:rFonts w:ascii="Arial" w:cs="Arial" w:eastAsia="Arial" w:hAnsi="Arial"/>
                <w:sz w:val="18"/>
                <w:szCs w:val="18"/>
                <w:color w:val="auto"/>
              </w:rPr>
              <w:t>Business Address-Street:</w:t>
            </w:r>
          </w:p>
        </w:tc>
        <w:tc>
          <w:tcPr>
            <w:tcW w:w="82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Mailing Address-Street (if different):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1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4"/>
              </w:rPr>
              <w:t>City, State, Zip</w:t>
            </w:r>
          </w:p>
        </w:tc>
        <w:tc>
          <w:tcPr>
            <w:tcW w:w="2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51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City, State, Zip</w:t>
            </w:r>
          </w:p>
        </w:tc>
      </w:tr>
      <w:tr>
        <w:trPr>
          <w:trHeight w:val="364"/>
        </w:trPr>
        <w:tc>
          <w:tcPr>
            <w:tcW w:w="760" w:type="dxa"/>
            <w:vAlign w:val="bottom"/>
          </w:tcPr>
          <w:p>
            <w:pPr>
              <w:spacing w:after="0"/>
              <w:rPr>
                <w:sz w:val="20"/>
                <w:szCs w:val="20"/>
                <w:color w:val="auto"/>
              </w:rPr>
            </w:pPr>
            <w:r>
              <w:rPr>
                <w:rFonts w:ascii="Arial" w:cs="Arial" w:eastAsia="Arial" w:hAnsi="Arial"/>
                <w:sz w:val="18"/>
                <w:szCs w:val="18"/>
                <w:color w:val="auto"/>
              </w:rPr>
              <w:t>Attn:</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gridSpan w:val="6"/>
          </w:tcPr>
          <w:p>
            <w:pPr>
              <w:spacing w:after="0"/>
              <w:rPr>
                <w:sz w:val="20"/>
                <w:szCs w:val="20"/>
                <w:color w:val="auto"/>
              </w:rPr>
            </w:pPr>
            <w:r>
              <w:rPr>
                <w:rFonts w:ascii="Arial" w:cs="Arial" w:eastAsia="Arial" w:hAnsi="Arial"/>
                <w:sz w:val="18"/>
                <w:szCs w:val="18"/>
                <w:color w:val="auto"/>
              </w:rPr>
              <w:t>Attn:</w:t>
            </w:r>
          </w:p>
        </w:tc>
      </w:tr>
      <w:tr>
        <w:trPr>
          <w:trHeight w:val="21"/>
        </w:trPr>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8"/>
        </w:trPr>
        <w:tc>
          <w:tcPr>
            <w:tcW w:w="1140" w:type="dxa"/>
            <w:vAlign w:val="bottom"/>
            <w:gridSpan w:val="3"/>
          </w:tcPr>
          <w:p>
            <w:pPr>
              <w:spacing w:after="0"/>
              <w:rPr>
                <w:sz w:val="20"/>
                <w:szCs w:val="20"/>
                <w:color w:val="auto"/>
              </w:rPr>
            </w:pPr>
            <w:r>
              <w:rPr>
                <w:rFonts w:ascii="Arial" w:cs="Arial" w:eastAsia="Arial" w:hAnsi="Arial"/>
                <w:sz w:val="18"/>
                <w:szCs w:val="18"/>
                <w:color w:val="auto"/>
                <w:w w:val="90"/>
              </w:rPr>
              <w:t>Telephone No.:</w:t>
            </w:r>
          </w:p>
        </w:tc>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90"/>
              </w:rPr>
              <w:t>Telephone No.:</w:t>
            </w:r>
          </w:p>
        </w:tc>
        <w:tc>
          <w:tcPr>
            <w:tcW w:w="2760" w:type="dxa"/>
            <w:vAlign w:val="bottom"/>
            <w:tcBorders>
              <w:bottom w:val="single" w:sz="8" w:color="auto"/>
            </w:tcBorders>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w w:val="94"/>
              </w:rPr>
              <w:t>Facsimile No.:</w:t>
            </w: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Facsimile No.:</w:t>
            </w:r>
          </w:p>
        </w:tc>
        <w:tc>
          <w:tcPr>
            <w:tcW w:w="2780" w:type="dxa"/>
            <w:vAlign w:val="bottom"/>
            <w:tcBorders>
              <w:bottom w:val="single" w:sz="8" w:color="auto"/>
            </w:tcBorders>
            <w:gridSpan w:val="2"/>
          </w:tcPr>
          <w:p>
            <w:pPr>
              <w:spacing w:after="0"/>
              <w:rPr>
                <w:sz w:val="24"/>
                <w:szCs w:val="24"/>
                <w:color w:val="auto"/>
              </w:rPr>
            </w:pPr>
          </w:p>
        </w:tc>
        <w:tc>
          <w:tcPr>
            <w:tcW w:w="1280" w:type="dxa"/>
            <w:vAlign w:val="bottom"/>
            <w:gridSpan w:val="2"/>
          </w:tcPr>
          <w:p>
            <w:pPr>
              <w:spacing w:after="0"/>
              <w:rPr>
                <w:sz w:val="24"/>
                <w:szCs w:val="24"/>
                <w:color w:val="auto"/>
              </w:rPr>
            </w:pPr>
          </w:p>
        </w:tc>
      </w:tr>
      <w:tr>
        <w:trPr>
          <w:trHeight w:val="453"/>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gridSpan w:val="8"/>
          </w:tcPr>
          <w:p>
            <w:pPr>
              <w:ind w:left="20"/>
              <w:spacing w:after="0"/>
              <w:rPr>
                <w:sz w:val="20"/>
                <w:szCs w:val="20"/>
                <w:color w:val="auto"/>
              </w:rPr>
            </w:pPr>
            <w:r>
              <w:rPr>
                <w:rFonts w:ascii="Arial" w:cs="Arial" w:eastAsia="Arial" w:hAnsi="Arial"/>
                <w:sz w:val="18"/>
                <w:szCs w:val="18"/>
                <w:color w:val="auto"/>
              </w:rPr>
              <w:t>[Signature Page to Subscription Agreement]</w:t>
            </w:r>
          </w:p>
        </w:tc>
      </w:tr>
    </w:tbl>
    <w:p>
      <w:pPr>
        <w:sectPr>
          <w:pgSz w:w="11900" w:h="16838" w:orient="portrait"/>
          <w:cols w:equalWidth="0" w:num="1">
            <w:col w:w="11140"/>
          </w:cols>
          <w:pgMar w:left="320" w:top="459" w:right="43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Aggregate Number of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328295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Aggregate Purchase Price: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wp:posOffset>
            </wp:positionV>
            <wp:extent cx="31457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must pay the Purchase Price by wire transfer of U.S. $ in immediately available funds to the account specified by the Issuer in the Closing Notice.</w:t>
      </w:r>
    </w:p>
    <w:p>
      <w:pPr>
        <w:spacing w:after="0" w:line="1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 to Subscription Agreement]</w:t>
      </w:r>
    </w:p>
    <w:p>
      <w:pPr>
        <w:sectPr>
          <w:pgSz w:w="11900" w:h="16838" w:orient="portrait"/>
          <w:cols w:equalWidth="0" w:num="1">
            <w:col w:w="10840"/>
          </w:cols>
          <w:pgMar w:left="320" w:top="459" w:right="73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56" w:lineRule="exact"/>
        <w:rPr>
          <w:sz w:val="20"/>
          <w:szCs w:val="20"/>
          <w:color w:val="auto"/>
        </w:rPr>
      </w:pPr>
    </w:p>
    <w:p>
      <w:pPr>
        <w:ind w:left="560" w:right="6860" w:hanging="444"/>
        <w:spacing w:after="0" w:line="308" w:lineRule="auto"/>
        <w:tabs>
          <w:tab w:leader="none" w:pos="552" w:val="left"/>
        </w:tabs>
        <w:numPr>
          <w:ilvl w:val="0"/>
          <w:numId w:val="502"/>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9" w:lineRule="exact"/>
        <w:rPr>
          <w:rFonts w:ascii="Arial" w:cs="Arial" w:eastAsia="Arial" w:hAnsi="Arial"/>
          <w:sz w:val="17"/>
          <w:szCs w:val="17"/>
          <w:color w:val="auto"/>
        </w:rPr>
      </w:pPr>
    </w:p>
    <w:p>
      <w:pPr>
        <w:ind w:left="1080" w:hanging="532"/>
        <w:spacing w:after="0" w:line="232" w:lineRule="exact"/>
        <w:tabs>
          <w:tab w:leader="none" w:pos="1080" w:val="left"/>
        </w:tabs>
        <w:numPr>
          <w:ilvl w:val="1"/>
          <w:numId w:val="50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 “</w:t>
      </w:r>
      <w:r>
        <w:rPr>
          <w:rFonts w:ascii="Arial" w:cs="Arial" w:eastAsia="Arial" w:hAnsi="Arial"/>
          <w:sz w:val="18"/>
          <w:szCs w:val="18"/>
          <w:b w:val="1"/>
          <w:bCs w:val="1"/>
          <w:color w:val="auto"/>
        </w:rPr>
        <w:t>QIB</w:t>
      </w:r>
      <w:r>
        <w:rPr>
          <w:rFonts w:ascii="Arial" w:cs="Arial" w:eastAsia="Arial" w:hAnsi="Arial"/>
          <w:sz w:val="18"/>
          <w:szCs w:val="18"/>
          <w:color w:val="auto"/>
        </w:rPr>
        <w:t>”)) and have marked and initialed the appropriate box on the following pages indicating the provision under which we qualify as a QIB.</w:t>
      </w:r>
    </w:p>
    <w:p>
      <w:pPr>
        <w:spacing w:after="0" w:line="76" w:lineRule="exact"/>
        <w:rPr>
          <w:rFonts w:ascii="Arial" w:cs="Arial" w:eastAsia="Arial" w:hAnsi="Arial"/>
          <w:sz w:val="18"/>
          <w:szCs w:val="18"/>
          <w:color w:val="auto"/>
        </w:rPr>
      </w:pPr>
    </w:p>
    <w:p>
      <w:pPr>
        <w:ind w:left="1080" w:hanging="532"/>
        <w:spacing w:after="0" w:line="184" w:lineRule="exact"/>
        <w:tabs>
          <w:tab w:leader="none" w:pos="1080" w:val="left"/>
        </w:tabs>
        <w:numPr>
          <w:ilvl w:val="1"/>
          <w:numId w:val="50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are subscribing for the Shares as a fiduciary or agent for one or more investor accounts, and each owner of such account is a QIB.</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OR ***</w:t>
      </w:r>
    </w:p>
    <w:p>
      <w:pPr>
        <w:spacing w:after="0" w:line="131" w:lineRule="exact"/>
        <w:rPr>
          <w:sz w:val="20"/>
          <w:szCs w:val="20"/>
          <w:color w:val="auto"/>
        </w:rPr>
      </w:pPr>
    </w:p>
    <w:p>
      <w:pPr>
        <w:ind w:left="560" w:right="6400" w:hanging="444"/>
        <w:spacing w:after="0" w:line="308" w:lineRule="auto"/>
        <w:tabs>
          <w:tab w:leader="none" w:pos="552" w:val="left"/>
        </w:tabs>
        <w:numPr>
          <w:ilvl w:val="0"/>
          <w:numId w:val="503"/>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19" w:lineRule="exact"/>
        <w:rPr>
          <w:rFonts w:ascii="Arial" w:cs="Arial" w:eastAsia="Arial" w:hAnsi="Arial"/>
          <w:sz w:val="17"/>
          <w:szCs w:val="17"/>
          <w:color w:val="auto"/>
        </w:rPr>
      </w:pPr>
    </w:p>
    <w:p>
      <w:pPr>
        <w:ind w:left="1080" w:right="60" w:hanging="532"/>
        <w:spacing w:after="0" w:line="232" w:lineRule="exact"/>
        <w:tabs>
          <w:tab w:leader="none" w:pos="1080" w:val="left"/>
        </w:tabs>
        <w:numPr>
          <w:ilvl w:val="1"/>
          <w:numId w:val="5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76" w:lineRule="exact"/>
        <w:rPr>
          <w:rFonts w:ascii="Arial" w:cs="Arial" w:eastAsia="Arial" w:hAnsi="Arial"/>
          <w:sz w:val="18"/>
          <w:szCs w:val="18"/>
          <w:color w:val="auto"/>
        </w:rPr>
      </w:pPr>
    </w:p>
    <w:p>
      <w:pPr>
        <w:ind w:left="1080" w:hanging="532"/>
        <w:spacing w:after="0" w:line="207" w:lineRule="exact"/>
        <w:tabs>
          <w:tab w:leader="none" w:pos="1080" w:val="left"/>
        </w:tabs>
        <w:numPr>
          <w:ilvl w:val="1"/>
          <w:numId w:val="5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AND ***</w:t>
      </w:r>
    </w:p>
    <w:p>
      <w:pPr>
        <w:spacing w:after="0" w:line="131" w:lineRule="exact"/>
        <w:rPr>
          <w:sz w:val="20"/>
          <w:szCs w:val="20"/>
          <w:color w:val="auto"/>
        </w:rPr>
      </w:pPr>
    </w:p>
    <w:p>
      <w:pPr>
        <w:ind w:left="540" w:hanging="424"/>
        <w:spacing w:after="0"/>
        <w:tabs>
          <w:tab w:leader="none" w:pos="5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1"/>
          <w:numId w:val="504"/>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130"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04"/>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ectPr>
          <w:pgSz w:w="11900" w:h="16838" w:orient="portrait"/>
          <w:cols w:equalWidth="0" w:num="1">
            <w:col w:w="11120"/>
          </w:cols>
          <w:pgMar w:left="320" w:top="459" w:right="45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Subscriber is a “qualified institutional buyer” (within the meaning of Rule 144A under the Securities Act) if it is an entity that meets any one of the following categories at the time of the sale of securities to the Subscriber (Please check the applicable subparagraphs):</w:t>
      </w:r>
    </w:p>
    <w:p>
      <w:pPr>
        <w:spacing w:after="0" w:line="170" w:lineRule="exact"/>
        <w:rPr>
          <w:sz w:val="20"/>
          <w:szCs w:val="20"/>
          <w:color w:val="auto"/>
        </w:rPr>
      </w:pPr>
    </w:p>
    <w:p>
      <w:pPr>
        <w:ind w:left="120" w:hanging="4"/>
        <w:spacing w:after="0" w:line="277" w:lineRule="auto"/>
        <w:tabs>
          <w:tab w:leader="none" w:pos="327" w:val="left"/>
        </w:tabs>
        <w:numPr>
          <w:ilvl w:val="0"/>
          <w:numId w:val="505"/>
        </w:numPr>
        <w:rPr>
          <w:rFonts w:ascii="MS PGothic" w:cs="MS PGothic" w:eastAsia="MS PGothic" w:hAnsi="MS PGothic"/>
          <w:sz w:val="18"/>
          <w:szCs w:val="18"/>
          <w:color w:val="auto"/>
        </w:rPr>
      </w:pPr>
      <w:r>
        <w:rPr>
          <w:rFonts w:ascii="Arial" w:cs="Arial" w:eastAsia="Arial" w:hAnsi="Arial"/>
          <w:sz w:val="18"/>
          <w:szCs w:val="18"/>
          <w:color w:val="auto"/>
        </w:rPr>
        <w:t>The Subscriber is an entity that, acting for its own account or the accounts of other qualified institutional buyers, in the aggregate owns and invests on a discretionary basis at least $100 million in securities of issuers that are not affiliated with the Subscriber and:</w:t>
      </w:r>
    </w:p>
    <w:p>
      <w:pPr>
        <w:spacing w:after="0" w:line="62" w:lineRule="exact"/>
        <w:rPr>
          <w:rFonts w:ascii="MS PGothic" w:cs="MS PGothic" w:eastAsia="MS PGothic" w:hAnsi="MS PGothic"/>
          <w:sz w:val="18"/>
          <w:szCs w:val="18"/>
          <w:color w:val="auto"/>
        </w:rPr>
      </w:pPr>
    </w:p>
    <w:p>
      <w:pPr>
        <w:ind w:left="760" w:hanging="204"/>
        <w:spacing w:after="0"/>
        <w:tabs>
          <w:tab w:leader="none" w:pos="760"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an insurance company as defined in section 2(a)(13) of the Securities Act;</w:t>
      </w:r>
    </w:p>
    <w:p>
      <w:pPr>
        <w:spacing w:after="0" w:line="113" w:lineRule="exact"/>
        <w:rPr>
          <w:rFonts w:ascii="MS PGothic" w:cs="MS PGothic" w:eastAsia="MS PGothic" w:hAnsi="MS PGothic"/>
          <w:sz w:val="18"/>
          <w:szCs w:val="18"/>
          <w:color w:val="auto"/>
        </w:rPr>
      </w:pPr>
    </w:p>
    <w:p>
      <w:pPr>
        <w:ind w:left="560" w:right="480" w:hanging="4"/>
        <w:spacing w:after="0" w:line="282" w:lineRule="auto"/>
        <w:tabs>
          <w:tab w:leader="none" w:pos="767"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an investment company registered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or any business development company as defined in section 2(a)(48) of the Investment Company Act;</w:t>
      </w:r>
    </w:p>
    <w:p>
      <w:pPr>
        <w:spacing w:after="0" w:line="57" w:lineRule="exact"/>
        <w:rPr>
          <w:rFonts w:ascii="MS PGothic" w:cs="MS PGothic" w:eastAsia="MS PGothic" w:hAnsi="MS PGothic"/>
          <w:sz w:val="18"/>
          <w:szCs w:val="18"/>
          <w:color w:val="auto"/>
        </w:rPr>
      </w:pPr>
    </w:p>
    <w:p>
      <w:pPr>
        <w:ind w:left="560" w:right="100" w:hanging="4"/>
        <w:spacing w:after="0" w:line="277" w:lineRule="auto"/>
        <w:tabs>
          <w:tab w:leader="none" w:pos="767"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 Small Business Investment Company licensed by the US Small Business Administration under section 301(c) or (d) of the Small Business Investment Act of 1958, as amended (“</w:t>
      </w:r>
      <w:r>
        <w:rPr>
          <w:rFonts w:ascii="Arial" w:cs="Arial" w:eastAsia="Arial" w:hAnsi="Arial"/>
          <w:sz w:val="18"/>
          <w:szCs w:val="18"/>
          <w:b w:val="1"/>
          <w:bCs w:val="1"/>
          <w:color w:val="auto"/>
        </w:rPr>
        <w:t>Small Business Investment Act</w:t>
      </w:r>
      <w:r>
        <w:rPr>
          <w:rFonts w:ascii="Arial" w:cs="Arial" w:eastAsia="Arial" w:hAnsi="Arial"/>
          <w:sz w:val="18"/>
          <w:szCs w:val="18"/>
          <w:color w:val="auto"/>
        </w:rPr>
        <w:t>”);</w:t>
      </w:r>
    </w:p>
    <w:p>
      <w:pPr>
        <w:spacing w:after="0" w:line="62" w:lineRule="exact"/>
        <w:rPr>
          <w:rFonts w:ascii="MS PGothic" w:cs="MS PGothic" w:eastAsia="MS PGothic" w:hAnsi="MS PGothic"/>
          <w:sz w:val="18"/>
          <w:szCs w:val="18"/>
          <w:color w:val="auto"/>
        </w:rPr>
      </w:pPr>
    </w:p>
    <w:p>
      <w:pPr>
        <w:ind w:left="560" w:right="40" w:hanging="4"/>
        <w:spacing w:after="0" w:line="277" w:lineRule="auto"/>
        <w:tabs>
          <w:tab w:leader="none" w:pos="767"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 plan established and maintained by a state, its political subdivisions, or any agency or instrumentality of a state or its political subdivisions, for the benefit of its employees;</w:t>
      </w:r>
    </w:p>
    <w:p>
      <w:pPr>
        <w:spacing w:after="0" w:line="58" w:lineRule="exact"/>
        <w:rPr>
          <w:rFonts w:ascii="MS PGothic" w:cs="MS PGothic" w:eastAsia="MS PGothic" w:hAnsi="MS PGothic"/>
          <w:sz w:val="18"/>
          <w:szCs w:val="18"/>
          <w:color w:val="auto"/>
        </w:rPr>
      </w:pPr>
    </w:p>
    <w:p>
      <w:pPr>
        <w:ind w:left="760" w:hanging="204"/>
        <w:spacing w:after="0"/>
        <w:tabs>
          <w:tab w:leader="none" w:pos="760" w:val="left"/>
        </w:tabs>
        <w:numPr>
          <w:ilvl w:val="1"/>
          <w:numId w:val="505"/>
        </w:numPr>
        <w:rPr>
          <w:rFonts w:ascii="MS PGothic" w:cs="MS PGothic" w:eastAsia="MS PGothic" w:hAnsi="MS PGothic"/>
          <w:sz w:val="16"/>
          <w:szCs w:val="16"/>
          <w:color w:val="auto"/>
        </w:rPr>
      </w:pPr>
      <w:r>
        <w:rPr>
          <w:rFonts w:ascii="Arial" w:cs="Arial" w:eastAsia="Arial" w:hAnsi="Arial"/>
          <w:sz w:val="16"/>
          <w:szCs w:val="16"/>
          <w:color w:val="auto"/>
        </w:rPr>
        <w:t>is an employee benefit plan within the meaning of Title I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w:t>
      </w:r>
    </w:p>
    <w:p>
      <w:pPr>
        <w:spacing w:after="0" w:line="144" w:lineRule="exact"/>
        <w:rPr>
          <w:rFonts w:ascii="MS PGothic" w:cs="MS PGothic" w:eastAsia="MS PGothic" w:hAnsi="MS PGothic"/>
          <w:sz w:val="16"/>
          <w:szCs w:val="16"/>
          <w:color w:val="auto"/>
        </w:rPr>
      </w:pPr>
    </w:p>
    <w:p>
      <w:pPr>
        <w:jc w:val="both"/>
        <w:ind w:left="560" w:hanging="4"/>
        <w:spacing w:after="0" w:line="259" w:lineRule="auto"/>
        <w:tabs>
          <w:tab w:leader="none" w:pos="767"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 trust fund whose trustee is a bank or trust company and whose participants are exclusively (a) plans established and maintained by a state, its political subdivisions, or any agency or instrumentality of a state or its political subdivisions, for the benefit of its employees, of (b) employee benefit plan within the meaning of Title I of the ERISA, except, in each case, trust funds that include as participants individual retirement accounts or H.R. 10 plans;</w:t>
      </w:r>
    </w:p>
    <w:p>
      <w:pPr>
        <w:spacing w:after="0" w:line="74" w:lineRule="exact"/>
        <w:rPr>
          <w:rFonts w:ascii="MS PGothic" w:cs="MS PGothic" w:eastAsia="MS PGothic" w:hAnsi="MS PGothic"/>
          <w:sz w:val="18"/>
          <w:szCs w:val="18"/>
          <w:color w:val="auto"/>
        </w:rPr>
      </w:pPr>
    </w:p>
    <w:p>
      <w:pPr>
        <w:ind w:left="560" w:right="300" w:hanging="4"/>
        <w:spacing w:after="0" w:line="282" w:lineRule="auto"/>
        <w:tabs>
          <w:tab w:leader="none" w:pos="767"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 business development company as defined in section 202(a)(22) of the Investment Advisers Act of 1940, as amended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Advisers Act</w:t>
      </w:r>
      <w:r>
        <w:rPr>
          <w:rFonts w:ascii="Arial" w:cs="Arial" w:eastAsia="Arial" w:hAnsi="Arial"/>
          <w:sz w:val="18"/>
          <w:szCs w:val="18"/>
          <w:color w:val="auto"/>
        </w:rPr>
        <w:t>”);</w:t>
      </w:r>
    </w:p>
    <w:p>
      <w:pPr>
        <w:spacing w:after="0" w:line="53" w:lineRule="exact"/>
        <w:rPr>
          <w:rFonts w:ascii="MS PGothic" w:cs="MS PGothic" w:eastAsia="MS PGothic" w:hAnsi="MS PGothic"/>
          <w:sz w:val="18"/>
          <w:szCs w:val="18"/>
          <w:color w:val="auto"/>
        </w:rPr>
      </w:pPr>
    </w:p>
    <w:p>
      <w:pPr>
        <w:ind w:left="560" w:right="40" w:hanging="4"/>
        <w:spacing w:after="0" w:line="293" w:lineRule="auto"/>
        <w:tabs>
          <w:tab w:leader="none" w:pos="767" w:val="left"/>
        </w:tabs>
        <w:numPr>
          <w:ilvl w:val="1"/>
          <w:numId w:val="505"/>
        </w:numPr>
        <w:rPr>
          <w:rFonts w:ascii="MS PGothic" w:cs="MS PGothic" w:eastAsia="MS PGothic" w:hAnsi="MS PGothic"/>
          <w:sz w:val="16"/>
          <w:szCs w:val="16"/>
          <w:color w:val="auto"/>
        </w:rPr>
      </w:pPr>
      <w:r>
        <w:rPr>
          <w:rFonts w:ascii="Arial" w:cs="Arial" w:eastAsia="Arial" w:hAnsi="Arial"/>
          <w:sz w:val="16"/>
          <w:szCs w:val="16"/>
          <w:color w:val="auto"/>
        </w:rPr>
        <w:t>is an organization described in section 501(c)(3) of the Internal Revenue Code of 1986, as amended (the “</w:t>
      </w:r>
      <w:r>
        <w:rPr>
          <w:rFonts w:ascii="Arial" w:cs="Arial" w:eastAsia="Arial" w:hAnsi="Arial"/>
          <w:sz w:val="16"/>
          <w:szCs w:val="16"/>
          <w:b w:val="1"/>
          <w:bCs w:val="1"/>
          <w:color w:val="auto"/>
        </w:rPr>
        <w:t>Internal Revenue Code</w:t>
      </w:r>
      <w:r>
        <w:rPr>
          <w:rFonts w:ascii="Arial" w:cs="Arial" w:eastAsia="Arial" w:hAnsi="Arial"/>
          <w:sz w:val="16"/>
          <w:szCs w:val="16"/>
          <w:color w:val="auto"/>
        </w:rPr>
        <w:t>”), corporation (other than a bank as defined in section 3(a)(2) of the Act, a savings and loan association or other institution referenced in section 3(a)</w:t>
      </w:r>
    </w:p>
    <w:p>
      <w:pPr>
        <w:spacing w:after="0" w:line="1" w:lineRule="exact"/>
        <w:rPr>
          <w:rFonts w:ascii="MS PGothic" w:cs="MS PGothic" w:eastAsia="MS PGothic" w:hAnsi="MS PGothic"/>
          <w:sz w:val="16"/>
          <w:szCs w:val="16"/>
          <w:color w:val="auto"/>
        </w:rPr>
      </w:pPr>
    </w:p>
    <w:p>
      <w:pPr>
        <w:ind w:left="560" w:right="280"/>
        <w:spacing w:after="0" w:line="260" w:lineRule="auto"/>
        <w:rPr>
          <w:rFonts w:ascii="MS PGothic" w:cs="MS PGothic" w:eastAsia="MS PGothic" w:hAnsi="MS PGothic"/>
          <w:sz w:val="16"/>
          <w:szCs w:val="16"/>
          <w:color w:val="auto"/>
        </w:rPr>
      </w:pPr>
      <w:r>
        <w:rPr>
          <w:rFonts w:ascii="Arial" w:cs="Arial" w:eastAsia="Arial" w:hAnsi="Arial"/>
          <w:sz w:val="18"/>
          <w:szCs w:val="18"/>
          <w:color w:val="auto"/>
        </w:rPr>
        <w:t>(5)(A) of the Act, or a foreign bank or savings and loan association or equivalent institution), partnership, or Massachusetts or similar business trust; or</w:t>
      </w:r>
    </w:p>
    <w:p>
      <w:pPr>
        <w:spacing w:after="0" w:line="77" w:lineRule="exact"/>
        <w:rPr>
          <w:rFonts w:ascii="MS PGothic" w:cs="MS PGothic" w:eastAsia="MS PGothic" w:hAnsi="MS PGothic"/>
          <w:sz w:val="16"/>
          <w:szCs w:val="16"/>
          <w:color w:val="auto"/>
        </w:rPr>
      </w:pPr>
    </w:p>
    <w:p>
      <w:pPr>
        <w:ind w:left="760" w:hanging="204"/>
        <w:spacing w:after="0"/>
        <w:tabs>
          <w:tab w:leader="none" w:pos="760"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is an investment adviser registered under the Investment Advisers Act;</w:t>
      </w:r>
    </w:p>
    <w:p>
      <w:pPr>
        <w:spacing w:after="0" w:line="221" w:lineRule="exact"/>
        <w:rPr>
          <w:rFonts w:ascii="MS PGothic" w:cs="MS PGothic" w:eastAsia="MS PGothic" w:hAnsi="MS PGothic"/>
          <w:sz w:val="18"/>
          <w:szCs w:val="18"/>
          <w:color w:val="auto"/>
        </w:rPr>
      </w:pPr>
    </w:p>
    <w:p>
      <w:pPr>
        <w:jc w:val="both"/>
        <w:ind w:left="120" w:right="40" w:hanging="4"/>
        <w:spacing w:after="0" w:line="266" w:lineRule="auto"/>
        <w:tabs>
          <w:tab w:leader="none" w:pos="327" w:val="left"/>
        </w:tabs>
        <w:numPr>
          <w:ilvl w:val="0"/>
          <w:numId w:val="505"/>
        </w:numPr>
        <w:rPr>
          <w:rFonts w:ascii="MS PGothic" w:cs="MS PGothic" w:eastAsia="MS PGothic" w:hAnsi="MS PGothic"/>
          <w:sz w:val="18"/>
          <w:szCs w:val="18"/>
          <w:color w:val="auto"/>
        </w:rPr>
      </w:pPr>
      <w:r>
        <w:rPr>
          <w:rFonts w:ascii="Arial" w:cs="Arial" w:eastAsia="Arial" w:hAnsi="Arial"/>
          <w:sz w:val="18"/>
          <w:szCs w:val="18"/>
          <w:color w:val="auto"/>
        </w:rPr>
        <w:t>The Subscriber is a dealer registered pursuant to Section 15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acting for its own account or the accounts of other qualified institutional buyers, that in the aggregate owns and invests on a discretionary basis at least $10 million of securities of issuers that are not affiliated with the Subscriber;</w:t>
      </w:r>
    </w:p>
    <w:p>
      <w:pPr>
        <w:spacing w:after="0" w:line="179" w:lineRule="exact"/>
        <w:rPr>
          <w:rFonts w:ascii="MS PGothic" w:cs="MS PGothic" w:eastAsia="MS PGothic" w:hAnsi="MS PGothic"/>
          <w:sz w:val="18"/>
          <w:szCs w:val="18"/>
          <w:color w:val="auto"/>
        </w:rPr>
      </w:pPr>
    </w:p>
    <w:p>
      <w:pPr>
        <w:ind w:left="120" w:right="380" w:hanging="4"/>
        <w:spacing w:after="0" w:line="277" w:lineRule="auto"/>
        <w:tabs>
          <w:tab w:leader="none" w:pos="327" w:val="left"/>
        </w:tabs>
        <w:numPr>
          <w:ilvl w:val="0"/>
          <w:numId w:val="505"/>
        </w:numPr>
        <w:rPr>
          <w:rFonts w:ascii="MS PGothic" w:cs="MS PGothic" w:eastAsia="MS PGothic" w:hAnsi="MS PGothic"/>
          <w:sz w:val="18"/>
          <w:szCs w:val="18"/>
          <w:color w:val="auto"/>
        </w:rPr>
      </w:pPr>
      <w:r>
        <w:rPr>
          <w:rFonts w:ascii="Arial" w:cs="Arial" w:eastAsia="Arial" w:hAnsi="Arial"/>
          <w:sz w:val="18"/>
          <w:szCs w:val="18"/>
          <w:color w:val="auto"/>
        </w:rPr>
        <w:t>The Subscriber is a dealer registered pursuant to Section 15 of the Exchange Act acting in a riskless principal transaction on behalf of a qualified institutional buyer;</w:t>
      </w:r>
    </w:p>
    <w:p>
      <w:pPr>
        <w:spacing w:after="0" w:line="170" w:lineRule="exact"/>
        <w:rPr>
          <w:rFonts w:ascii="MS PGothic" w:cs="MS PGothic" w:eastAsia="MS PGothic" w:hAnsi="MS PGothic"/>
          <w:sz w:val="18"/>
          <w:szCs w:val="18"/>
          <w:color w:val="auto"/>
        </w:rPr>
      </w:pPr>
    </w:p>
    <w:p>
      <w:pPr>
        <w:ind w:left="120" w:right="100" w:hanging="4"/>
        <w:spacing w:after="0" w:line="263" w:lineRule="auto"/>
        <w:tabs>
          <w:tab w:leader="none" w:pos="327" w:val="left"/>
        </w:tabs>
        <w:numPr>
          <w:ilvl w:val="0"/>
          <w:numId w:val="505"/>
        </w:numPr>
        <w:rPr>
          <w:rFonts w:ascii="MS PGothic" w:cs="MS PGothic" w:eastAsia="MS PGothic" w:hAnsi="MS PGothic"/>
          <w:sz w:val="18"/>
          <w:szCs w:val="18"/>
          <w:color w:val="auto"/>
        </w:rPr>
      </w:pPr>
      <w:r>
        <w:rPr>
          <w:rFonts w:ascii="Arial" w:cs="Arial" w:eastAsia="Arial" w:hAnsi="Arial"/>
          <w:sz w:val="18"/>
          <w:szCs w:val="18"/>
          <w:color w:val="auto"/>
        </w:rPr>
        <w:t>The Subscriber is an investment company registered under the Investment Company Act, acting for its own account or for the accounts of other qualified institutional buyers, that is part of a family of investment companies</w:t>
      </w:r>
      <w:r>
        <w:rPr>
          <w:rFonts w:ascii="Arial" w:cs="Arial" w:eastAsia="Arial" w:hAnsi="Arial"/>
          <w:sz w:val="15"/>
          <w:szCs w:val="15"/>
          <w:color w:val="auto"/>
        </w:rPr>
        <w:t>2</w:t>
      </w:r>
      <w:r>
        <w:rPr>
          <w:rFonts w:ascii="Arial" w:cs="Arial" w:eastAsia="Arial" w:hAnsi="Arial"/>
          <w:sz w:val="18"/>
          <w:szCs w:val="18"/>
          <w:color w:val="auto"/>
        </w:rPr>
        <w:t xml:space="preserve"> which own in the aggregate at least $100 million in securities of issuers, other than issuers that are affiliated with Subscriber or are part of such family of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540" w:right="20" w:hanging="424"/>
        <w:spacing w:after="0" w:line="294" w:lineRule="auto"/>
        <w:tabs>
          <w:tab w:leader="none" w:pos="540" w:val="left"/>
        </w:tabs>
        <w:numPr>
          <w:ilvl w:val="0"/>
          <w:numId w:val="506"/>
        </w:numPr>
        <w:rPr>
          <w:rFonts w:ascii="Arial" w:cs="Arial" w:eastAsia="Arial" w:hAnsi="Arial"/>
          <w:sz w:val="13"/>
          <w:szCs w:val="13"/>
          <w:color w:val="auto"/>
        </w:rPr>
      </w:pPr>
      <w:r>
        <w:rPr>
          <w:rFonts w:ascii="Arial" w:cs="Arial" w:eastAsia="Arial" w:hAnsi="Arial"/>
          <w:sz w:val="16"/>
          <w:szCs w:val="16"/>
          <w:color w:val="auto"/>
        </w:rPr>
        <w:t>“</w:t>
      </w:r>
      <w:r>
        <w:rPr>
          <w:rFonts w:ascii="Arial" w:cs="Arial" w:eastAsia="Arial" w:hAnsi="Arial"/>
          <w:sz w:val="16"/>
          <w:szCs w:val="16"/>
          <w:b w:val="1"/>
          <w:bCs w:val="1"/>
          <w:color w:val="auto"/>
        </w:rPr>
        <w:t>Family of investment companies</w:t>
      </w:r>
      <w:r>
        <w:rPr>
          <w:rFonts w:ascii="Arial" w:cs="Arial" w:eastAsia="Arial" w:hAnsi="Arial"/>
          <w:sz w:val="16"/>
          <w:szCs w:val="16"/>
          <w:color w:val="auto"/>
        </w:rPr>
        <w:t>” means any two or more investment companies registered under the Investment Company Act, except for a unit investment trust whose assets consist solely of shares of one or more registered investment companies, that have the same investment adviser (or, in the case of unit investment trusts, the same depositor); provided that, (a) each series of a series company (as defined in Rule 18f-2 under the Investment Company Act) shall be deemed to be a separate investment company and (b) investment companies shall be deemed to have the same adviser (or depositor) if their advisers (or depositors) are majority-owned subsidiaries of the same parent, or if one investment company’s adviser (or depositor) is a majority-owned subsidiary of the other investment company’s adviser (or depositor)</w:t>
      </w:r>
    </w:p>
    <w:p>
      <w:pPr>
        <w:sectPr>
          <w:pgSz w:w="11900" w:h="16838" w:orient="portrait"/>
          <w:cols w:equalWidth="0" w:num="1">
            <w:col w:w="11120"/>
          </w:cols>
          <w:pgMar w:left="320" w:top="459" w:right="459" w:bottom="1440" w:gutter="0" w:footer="0" w:header="0"/>
        </w:sectPr>
      </w:pPr>
    </w:p>
    <w:bookmarkStart w:id="590" w:name="page591"/>
    <w:bookmarkEnd w:id="5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hanging="4"/>
        <w:spacing w:after="0" w:line="277" w:lineRule="auto"/>
        <w:tabs>
          <w:tab w:leader="none" w:pos="327" w:val="left"/>
        </w:tabs>
        <w:numPr>
          <w:ilvl w:val="0"/>
          <w:numId w:val="507"/>
        </w:numPr>
        <w:rPr>
          <w:rFonts w:ascii="MS PGothic" w:cs="MS PGothic" w:eastAsia="MS PGothic" w:hAnsi="MS PGothic"/>
          <w:sz w:val="18"/>
          <w:szCs w:val="18"/>
          <w:color w:val="auto"/>
        </w:rPr>
      </w:pPr>
      <w:r>
        <w:rPr>
          <w:rFonts w:ascii="Arial" w:cs="Arial" w:eastAsia="Arial" w:hAnsi="Arial"/>
          <w:sz w:val="18"/>
          <w:szCs w:val="18"/>
          <w:color w:val="auto"/>
        </w:rPr>
        <w:t>The Subscriber is an entity, all of the equity owners of which are qualified institutional buyers, acting for its own account or the accounts of other qualified institutional buyers; or</w:t>
      </w:r>
    </w:p>
    <w:p>
      <w:pPr>
        <w:spacing w:after="0" w:line="170" w:lineRule="exact"/>
        <w:rPr>
          <w:rFonts w:ascii="MS PGothic" w:cs="MS PGothic" w:eastAsia="MS PGothic" w:hAnsi="MS PGothic"/>
          <w:sz w:val="18"/>
          <w:szCs w:val="18"/>
          <w:color w:val="auto"/>
        </w:rPr>
      </w:pPr>
    </w:p>
    <w:p>
      <w:pPr>
        <w:ind w:left="120" w:hanging="4"/>
        <w:spacing w:after="0" w:line="293" w:lineRule="auto"/>
        <w:tabs>
          <w:tab w:leader="none" w:pos="327" w:val="left"/>
        </w:tabs>
        <w:numPr>
          <w:ilvl w:val="0"/>
          <w:numId w:val="507"/>
        </w:numPr>
        <w:rPr>
          <w:rFonts w:ascii="MS PGothic" w:cs="MS PGothic" w:eastAsia="MS PGothic" w:hAnsi="MS PGothic"/>
          <w:sz w:val="16"/>
          <w:szCs w:val="16"/>
          <w:color w:val="auto"/>
        </w:rPr>
      </w:pPr>
      <w:r>
        <w:rPr>
          <w:rFonts w:ascii="Arial" w:cs="Arial" w:eastAsia="Arial" w:hAnsi="Arial"/>
          <w:sz w:val="16"/>
          <w:szCs w:val="16"/>
          <w:color w:val="auto"/>
        </w:rPr>
        <w:t>The Subscriber is a bank as defined in section 3(a)(2) of the Securities Act, or any savings and loan association or other institution as defined in section 3(a)(5)(A) of the Securities Act, or any foreign bank or savings and loan association or equivalent institution, acting for its own account or the accounts of other qualified institutional buyers, that in the aggregate owns and invests on a discretionary basis at least $100 million in securities of issuers that are not affiliated with the Subscriber and that has an audited net worth of at least $25 million as demonstrated in its latest annual financial statements, as of a date not more than 16 months preceding the date of sale of securities in the case of a US bank or savings and loan association, and not more than 18 months preceding the date of sale of securities for a foreign bank or savings and loan association or equivalent institution.</w:t>
      </w:r>
    </w:p>
    <w:p>
      <w:pPr>
        <w:spacing w:after="0" w:line="164"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institutional “accredited investor.”</w:t>
      </w:r>
    </w:p>
    <w:p>
      <w:pPr>
        <w:spacing w:after="0" w:line="187" w:lineRule="exact"/>
        <w:rPr>
          <w:sz w:val="20"/>
          <w:szCs w:val="20"/>
          <w:color w:val="auto"/>
        </w:rPr>
      </w:pPr>
    </w:p>
    <w:p>
      <w:pPr>
        <w:ind w:left="120" w:right="180" w:hanging="4"/>
        <w:spacing w:after="0" w:line="277" w:lineRule="auto"/>
        <w:tabs>
          <w:tab w:leader="none" w:pos="327"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70" w:lineRule="exact"/>
        <w:rPr>
          <w:rFonts w:ascii="MS PGothic" w:cs="MS PGothic" w:eastAsia="MS PGothic" w:hAnsi="MS PGothic"/>
          <w:sz w:val="18"/>
          <w:szCs w:val="18"/>
          <w:color w:val="auto"/>
        </w:rPr>
      </w:pPr>
    </w:p>
    <w:p>
      <w:pPr>
        <w:ind w:left="320" w:hanging="204"/>
        <w:spacing w:after="0"/>
        <w:tabs>
          <w:tab w:leader="none" w:pos="320"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225" w:lineRule="exact"/>
        <w:rPr>
          <w:rFonts w:ascii="MS PGothic" w:cs="MS PGothic" w:eastAsia="MS PGothic" w:hAnsi="MS PGothic"/>
          <w:sz w:val="18"/>
          <w:szCs w:val="18"/>
          <w:color w:val="auto"/>
        </w:rPr>
      </w:pPr>
    </w:p>
    <w:p>
      <w:pPr>
        <w:ind w:left="320" w:hanging="204"/>
        <w:spacing w:after="0"/>
        <w:tabs>
          <w:tab w:leader="none" w:pos="320"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225" w:lineRule="exact"/>
        <w:rPr>
          <w:rFonts w:ascii="MS PGothic" w:cs="MS PGothic" w:eastAsia="MS PGothic" w:hAnsi="MS PGothic"/>
          <w:sz w:val="18"/>
          <w:szCs w:val="18"/>
          <w:color w:val="auto"/>
        </w:rPr>
      </w:pPr>
    </w:p>
    <w:p>
      <w:pPr>
        <w:ind w:left="120" w:right="320" w:hanging="4"/>
        <w:spacing w:after="0" w:line="277" w:lineRule="auto"/>
        <w:tabs>
          <w:tab w:leader="none" w:pos="327"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or a business development company as defined in section 2(a)(48) of the Investment Company Act;</w:t>
      </w:r>
    </w:p>
    <w:p>
      <w:pPr>
        <w:spacing w:after="0" w:line="170" w:lineRule="exact"/>
        <w:rPr>
          <w:rFonts w:ascii="MS PGothic" w:cs="MS PGothic" w:eastAsia="MS PGothic" w:hAnsi="MS PGothic"/>
          <w:sz w:val="18"/>
          <w:szCs w:val="18"/>
          <w:color w:val="auto"/>
        </w:rPr>
      </w:pPr>
    </w:p>
    <w:p>
      <w:pPr>
        <w:ind w:left="120" w:right="400" w:hanging="4"/>
        <w:spacing w:after="0" w:line="277" w:lineRule="auto"/>
        <w:tabs>
          <w:tab w:leader="none" w:pos="327"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w:t>
      </w:r>
    </w:p>
    <w:p>
      <w:pPr>
        <w:spacing w:after="0" w:line="170" w:lineRule="exact"/>
        <w:rPr>
          <w:rFonts w:ascii="MS PGothic" w:cs="MS PGothic" w:eastAsia="MS PGothic" w:hAnsi="MS PGothic"/>
          <w:sz w:val="18"/>
          <w:szCs w:val="18"/>
          <w:color w:val="auto"/>
        </w:rPr>
      </w:pPr>
    </w:p>
    <w:p>
      <w:pPr>
        <w:ind w:left="120" w:right="160" w:hanging="4"/>
        <w:spacing w:after="0" w:line="277" w:lineRule="auto"/>
        <w:tabs>
          <w:tab w:leader="none" w:pos="327"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ind w:left="120" w:right="140" w:hanging="4"/>
        <w:spacing w:after="0" w:line="259" w:lineRule="auto"/>
        <w:tabs>
          <w:tab w:leader="none" w:pos="327"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86" w:lineRule="exact"/>
        <w:rPr>
          <w:rFonts w:ascii="MS PGothic" w:cs="MS PGothic" w:eastAsia="MS PGothic" w:hAnsi="MS PGothic"/>
          <w:sz w:val="18"/>
          <w:szCs w:val="18"/>
          <w:color w:val="auto"/>
        </w:rPr>
      </w:pPr>
    </w:p>
    <w:p>
      <w:pPr>
        <w:ind w:left="320" w:hanging="204"/>
        <w:spacing w:after="0"/>
        <w:tabs>
          <w:tab w:leader="none" w:pos="320"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w:t>
      </w:r>
    </w:p>
    <w:p>
      <w:pPr>
        <w:spacing w:after="0" w:line="225" w:lineRule="exact"/>
        <w:rPr>
          <w:rFonts w:ascii="MS PGothic" w:cs="MS PGothic" w:eastAsia="MS PGothic" w:hAnsi="MS PGothic"/>
          <w:sz w:val="18"/>
          <w:szCs w:val="18"/>
          <w:color w:val="auto"/>
        </w:rPr>
      </w:pPr>
    </w:p>
    <w:p>
      <w:pPr>
        <w:ind w:left="120" w:hanging="4"/>
        <w:spacing w:after="0" w:line="263" w:lineRule="auto"/>
        <w:tabs>
          <w:tab w:leader="none" w:pos="327" w:val="left"/>
        </w:tabs>
        <w:numPr>
          <w:ilvl w:val="0"/>
          <w:numId w:val="508"/>
        </w:numPr>
        <w:rPr>
          <w:rFonts w:ascii="MS PGothic" w:cs="MS PGothic" w:eastAsia="MS PGothic" w:hAnsi="MS PGothic"/>
          <w:sz w:val="18"/>
          <w:szCs w:val="18"/>
          <w:color w:val="auto"/>
        </w:rPr>
      </w:pPr>
      <w:r>
        <w:rPr>
          <w:rFonts w:ascii="Arial" w:cs="Arial" w:eastAsia="Arial" w:hAnsi="Arial"/>
          <w:sz w:val="18"/>
          <w:szCs w:val="18"/>
          <w:color w:val="auto"/>
        </w:rPr>
        <w:t>Any (i) corporation, limited liability company or partnership, (ii) Massachusetts or similar business trust, or (iii) organization described in section 501(c)(3) of the Internal Revenue Code of 1986, as amended, not formed for the specific purpose of acquiring the securities offered, and with total assets in excess of $5,000,000;</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natural person whose individual net worth, or joint net worth with that person’s spouse, exceeds $1,000,000. For purposes of calculating a natural person’s net worth: (a) the person’s primary residence shall not be included</w:t>
      </w:r>
    </w:p>
    <w:p>
      <w:pPr>
        <w:sectPr>
          <w:pgSz w:w="11900" w:h="16838" w:orient="portrait"/>
          <w:cols w:equalWidth="0" w:num="1">
            <w:col w:w="11120"/>
          </w:cols>
          <w:pgMar w:left="320" w:top="459" w:right="459" w:bottom="1440" w:gutter="0" w:footer="0" w:header="0"/>
        </w:sectPr>
      </w:pPr>
    </w:p>
    <w:bookmarkStart w:id="591" w:name="page592"/>
    <w:bookmarkEnd w:id="5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76"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46" w:lineRule="exact"/>
        <w:rPr>
          <w:sz w:val="20"/>
          <w:szCs w:val="20"/>
          <w:color w:val="auto"/>
        </w:rPr>
      </w:pPr>
    </w:p>
    <w:p>
      <w:pPr>
        <w:ind w:left="120" w:hanging="4"/>
        <w:spacing w:after="0" w:line="277" w:lineRule="auto"/>
        <w:tabs>
          <w:tab w:leader="none" w:pos="327" w:val="left"/>
        </w:tabs>
        <w:numPr>
          <w:ilvl w:val="0"/>
          <w:numId w:val="509"/>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Section 230.506(b)(2)(ii) of Regulation D; or</w:t>
      </w:r>
    </w:p>
    <w:p>
      <w:pPr>
        <w:spacing w:after="0" w:line="170" w:lineRule="exact"/>
        <w:rPr>
          <w:rFonts w:ascii="MS PGothic" w:cs="MS PGothic" w:eastAsia="MS PGothic" w:hAnsi="MS PGothic"/>
          <w:sz w:val="18"/>
          <w:szCs w:val="18"/>
          <w:color w:val="auto"/>
        </w:rPr>
      </w:pPr>
    </w:p>
    <w:p>
      <w:pPr>
        <w:ind w:left="320" w:hanging="204"/>
        <w:spacing w:after="0"/>
        <w:tabs>
          <w:tab w:leader="none" w:pos="320" w:val="left"/>
        </w:tabs>
        <w:numPr>
          <w:ilvl w:val="0"/>
          <w:numId w:val="509"/>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institutional “accredited investors.”</w:t>
      </w:r>
    </w:p>
    <w:p>
      <w:pPr>
        <w:sectPr>
          <w:pgSz w:w="11900" w:h="16838" w:orient="portrait"/>
          <w:cols w:equalWidth="0" w:num="1">
            <w:col w:w="11100"/>
          </w:cols>
          <w:pgMar w:left="320" w:top="459" w:right="479" w:bottom="1440" w:gutter="0" w:footer="0" w:header="0"/>
        </w:sectPr>
      </w:pPr>
    </w:p>
    <w:bookmarkStart w:id="592" w:name="page593"/>
    <w:bookmarkEnd w:id="5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332740</wp:posOffset>
            </wp:positionV>
            <wp:extent cx="6998970" cy="49276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INCENTIVE AWARD PLAN</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9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Applicable Laws permit, the Board or the Administrator may delegate any or all of its powers under the Plan to one or more Committees or committees of officers of the Company or any of its Subsidiaries (other than with respect to such powers that relate to executive officers of the Company or its Subsidiaries). The Board or the Administrator, as applicable, may rescind any such delegation, abolish any such committee or Committee and/or re-vest in itself any previously delegated authority at any time.</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 and the Prior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140"/>
          </w:cols>
          <w:pgMar w:left="320" w:top="459" w:right="439" w:bottom="1440" w:gutter="0" w:footer="0" w:header="0"/>
        </w:sectPr>
      </w:pPr>
    </w:p>
    <w:bookmarkStart w:id="593" w:name="page594"/>
    <w:bookmarkEnd w:id="5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Plan will be terminated; however, the Prior Plan Awards will remain subject to the terms of the Prior Plan. Shares issued under the Plan may consist of authorized but unissued Shares, Shares purchased on the open market or treasury Shares.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Share Recycling</w:t>
      </w:r>
      <w:r>
        <w:rPr>
          <w:rFonts w:ascii="Arial" w:cs="Arial" w:eastAsia="Arial" w:hAnsi="Arial"/>
          <w:sz w:val="17"/>
          <w:szCs w:val="17"/>
          <w:color w:val="auto"/>
        </w:rPr>
        <w:t>. 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w:t>
      </w:r>
    </w:p>
    <w:p>
      <w:pPr>
        <w:spacing w:after="0" w:line="17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 100,000,000 Shares may be issued pursuant to the exercise of Incentive Stock Options.</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Non-Employee Director Compensation</w:t>
      </w:r>
      <w:r>
        <w:rPr>
          <w:rFonts w:ascii="Arial" w:cs="Arial" w:eastAsia="Arial" w:hAnsi="Arial"/>
          <w:sz w:val="18"/>
          <w:szCs w:val="18"/>
          <w:color w:val="auto"/>
        </w:rPr>
        <w:t>. Notwithstanding any provision to the contrary in the Plan, the Administrator may establish compensation for non-employee Directors from time to time, subject to the limitations in the Plan.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in respect of any fiscal year of the Company may not exceed $750,000 (the “</w:t>
      </w:r>
      <w:r>
        <w:rPr>
          <w:rFonts w:ascii="Arial" w:cs="Arial" w:eastAsia="Arial" w:hAnsi="Arial"/>
          <w:sz w:val="18"/>
          <w:szCs w:val="18"/>
          <w:b w:val="1"/>
          <w:bCs w:val="1"/>
          <w:i w:val="1"/>
          <w:iCs w:val="1"/>
          <w:color w:val="auto"/>
        </w:rPr>
        <w:t>Director Limit</w:t>
      </w:r>
      <w:r>
        <w:rPr>
          <w:rFonts w:ascii="Arial" w:cs="Arial" w:eastAsia="Arial" w:hAnsi="Arial"/>
          <w:sz w:val="18"/>
          <w:szCs w:val="18"/>
          <w:color w:val="auto"/>
        </w:rPr>
        <w:t>”) (which limits shall not apply to the compensation for any non-employee Director of the Company who serves in any capacity in addition to that of a non-employee Director for which he or she receives additional compensation).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120"/>
          </w:cols>
          <w:pgMar w:left="320" w:top="459" w:right="459" w:bottom="1440" w:gutter="0" w:footer="0" w:header="0"/>
        </w:sectPr>
      </w:pPr>
    </w:p>
    <w:bookmarkStart w:id="594" w:name="page595"/>
    <w:bookmarkEnd w:id="5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21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Exercise Price</w:t>
      </w:r>
      <w:r>
        <w:rPr>
          <w:rFonts w:ascii="Arial" w:cs="Arial" w:eastAsia="Arial" w:hAnsi="Arial"/>
          <w:sz w:val="17"/>
          <w:szCs w:val="17"/>
          <w:color w:val="auto"/>
        </w:rPr>
        <w:t>. The Administrator will establish each Option’s and Stock Appreciation Right’s exercise price and specify the exercise price in the Award Agreement. Unless otherwise determined by the Board,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Duration</w:t>
      </w:r>
      <w:r>
        <w:rPr>
          <w:rFonts w:ascii="Arial" w:cs="Arial" w:eastAsia="Arial" w:hAnsi="Arial"/>
          <w:sz w:val="16"/>
          <w:szCs w:val="16"/>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w:t>
      </w:r>
    </w:p>
    <w:p>
      <w:pPr>
        <w:spacing w:after="0" w:line="1" w:lineRule="exact"/>
        <w:rPr>
          <w:sz w:val="20"/>
          <w:szCs w:val="20"/>
          <w:color w:val="auto"/>
        </w:rPr>
      </w:pPr>
    </w:p>
    <w:p>
      <w:pPr>
        <w:ind w:left="120" w:right="100" w:hanging="4"/>
        <w:spacing w:after="0" w:line="268" w:lineRule="auto"/>
        <w:tabs>
          <w:tab w:leader="none" w:pos="38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 10.8, any Company insider trading policy (including blackout periods) and Applicable Laws, the exercise price of an Option must be paid by:</w:t>
      </w:r>
    </w:p>
    <w:p>
      <w:pPr>
        <w:spacing w:after="0" w:line="170" w:lineRule="exact"/>
        <w:rPr>
          <w:sz w:val="20"/>
          <w:szCs w:val="20"/>
          <w:color w:val="auto"/>
        </w:rPr>
      </w:pPr>
    </w:p>
    <w:p>
      <w:pPr>
        <w:ind w:left="120" w:right="200" w:firstLine="987"/>
        <w:spacing w:after="0" w:line="277" w:lineRule="auto"/>
        <w:tabs>
          <w:tab w:leader="none" w:pos="135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20"/>
          </w:cols>
          <w:pgMar w:left="320" w:top="459" w:right="459" w:bottom="1440" w:gutter="0" w:footer="0" w:header="0"/>
        </w:sectPr>
      </w:pPr>
    </w:p>
    <w:bookmarkStart w:id="595" w:name="page596"/>
    <w:bookmarkEnd w:id="5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75" w:lineRule="auto"/>
        <w:tabs>
          <w:tab w:leader="none" w:pos="1366" w:val="left"/>
        </w:tabs>
        <w:numPr>
          <w:ilvl w:val="0"/>
          <w:numId w:val="512"/>
        </w:numPr>
        <w:rPr>
          <w:rFonts w:ascii="Arial" w:cs="Arial" w:eastAsia="Arial" w:hAnsi="Arial"/>
          <w:sz w:val="17"/>
          <w:szCs w:val="17"/>
          <w:color w:val="auto"/>
        </w:rPr>
      </w:pPr>
      <w:r>
        <w:rPr>
          <w:rFonts w:ascii="Arial" w:cs="Arial" w:eastAsia="Arial" w:hAnsi="Arial"/>
          <w:sz w:val="17"/>
          <w:szCs w:val="17"/>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6" w:lineRule="exact"/>
        <w:rPr>
          <w:rFonts w:ascii="Arial" w:cs="Arial" w:eastAsia="Arial" w:hAnsi="Arial"/>
          <w:sz w:val="17"/>
          <w:szCs w:val="17"/>
          <w:color w:val="auto"/>
        </w:rPr>
      </w:pPr>
    </w:p>
    <w:p>
      <w:pPr>
        <w:ind w:left="120" w:right="500" w:firstLine="987"/>
        <w:spacing w:after="0" w:line="277" w:lineRule="auto"/>
        <w:tabs>
          <w:tab w:leader="none" w:pos="135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w:t>
      </w:r>
    </w:p>
    <w:p>
      <w:pPr>
        <w:spacing w:after="0" w:line="170" w:lineRule="exact"/>
        <w:rPr>
          <w:rFonts w:ascii="Arial" w:cs="Arial" w:eastAsia="Arial" w:hAnsi="Arial"/>
          <w:sz w:val="18"/>
          <w:szCs w:val="18"/>
          <w:color w:val="auto"/>
        </w:rPr>
      </w:pPr>
    </w:p>
    <w:p>
      <w:pPr>
        <w:ind w:left="120" w:right="180" w:firstLine="987"/>
        <w:spacing w:after="0" w:line="277" w:lineRule="auto"/>
        <w:tabs>
          <w:tab w:leader="none" w:pos="136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left="120" w:right="220" w:firstLine="987"/>
        <w:spacing w:after="0" w:line="277" w:lineRule="auto"/>
        <w:tabs>
          <w:tab w:leader="none" w:pos="135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Terms of Incentive Stock Options</w:t>
      </w:r>
      <w:r>
        <w:rPr>
          <w:rFonts w:ascii="Arial" w:cs="Arial" w:eastAsia="Arial" w:hAnsi="Arial"/>
          <w:sz w:val="16"/>
          <w:szCs w:val="16"/>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and shall be intended to comply with Section 422 of the Code and any regulations implementing such statute.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140"/>
          </w:cols>
          <w:pgMar w:left="320" w:top="459" w:right="439" w:bottom="1440" w:gutter="0" w:footer="0" w:header="0"/>
        </w:sectPr>
      </w:pPr>
    </w:p>
    <w:bookmarkStart w:id="596" w:name="page597"/>
    <w:bookmarkEnd w:id="5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57" w:lineRule="auto"/>
        <w:tabs>
          <w:tab w:leader="none" w:pos="1356"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7" w:lineRule="exact"/>
        <w:rPr>
          <w:rFonts w:ascii="Arial" w:cs="Arial" w:eastAsia="Arial" w:hAnsi="Arial"/>
          <w:sz w:val="18"/>
          <w:szCs w:val="18"/>
          <w:color w:val="auto"/>
        </w:rPr>
      </w:pPr>
    </w:p>
    <w:p>
      <w:pPr>
        <w:ind w:left="120" w:right="440" w:firstLine="987"/>
        <w:spacing w:after="0" w:line="277" w:lineRule="auto"/>
        <w:tabs>
          <w:tab w:leader="none" w:pos="1366"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120" w:right="40" w:firstLine="987"/>
        <w:spacing w:after="0" w:line="259" w:lineRule="auto"/>
        <w:tabs>
          <w:tab w:leader="none" w:pos="1356"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Restricted Stock Units may be settled in Shares, cash or other property as determined by the Administrator and set forth in the Award Agreement.</w:t>
      </w:r>
    </w:p>
    <w:p>
      <w:pPr>
        <w:spacing w:after="0" w:line="186" w:lineRule="exact"/>
        <w:rPr>
          <w:rFonts w:ascii="Arial" w:cs="Arial" w:eastAsia="Arial" w:hAnsi="Arial"/>
          <w:sz w:val="18"/>
          <w:szCs w:val="18"/>
          <w:color w:val="auto"/>
        </w:rPr>
      </w:pPr>
    </w:p>
    <w:p>
      <w:pPr>
        <w:ind w:left="120" w:right="480" w:firstLine="987"/>
        <w:spacing w:after="0" w:line="277" w:lineRule="auto"/>
        <w:tabs>
          <w:tab w:leader="none" w:pos="1366"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The grant of Other Stock or Cash Based Awards shall not require a segregation of any of the Company’s assets for satisfaction of the Company’s payment obligation thereunder.</w:t>
      </w:r>
    </w:p>
    <w:p>
      <w:pPr>
        <w:spacing w:after="0" w:line="19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Restructuring(a)</w:t>
      </w:r>
      <w:r>
        <w:rPr>
          <w:rFonts w:ascii="Arial" w:cs="Arial" w:eastAsia="Arial" w:hAnsi="Arial"/>
          <w:sz w:val="18"/>
          <w:szCs w:val="18"/>
          <w:color w:val="auto"/>
        </w:rPr>
        <w:t xml:space="preserve"> . In connection with any Equity Restructuring, notwithstanding anything to the contrary in this Article VIII, the Administrator will equitably adjust each outstanding Award as it deems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120"/>
          </w:cols>
          <w:pgMar w:left="320" w:top="459" w:right="459" w:bottom="1440" w:gutter="0" w:footer="0" w:header="0"/>
        </w:sectPr>
      </w:pPr>
    </w:p>
    <w:bookmarkStart w:id="597" w:name="page598"/>
    <w:bookmarkEnd w:id="5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appropriate to reflect the Equity Restructuring to the extent it deems it necessary in order to prevent enlargement or dilution of benefits under the Plan,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8.1 will be nondiscretionary on the part of the Participant and final and binding on the affected Participant and the Company; provided that the Administrator will determine whether an adjustment is equitable.</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2" w:lineRule="exact"/>
        <w:rPr>
          <w:sz w:val="20"/>
          <w:szCs w:val="20"/>
          <w:color w:val="auto"/>
        </w:rPr>
      </w:pPr>
    </w:p>
    <w:p>
      <w:pPr>
        <w:ind w:left="120" w:right="40" w:firstLine="987"/>
        <w:spacing w:after="0" w:line="255" w:lineRule="auto"/>
        <w:tabs>
          <w:tab w:leader="none" w:pos="135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Awards held by members of the Board will be settled in Shares on or immediately prior to the applicable event if the Administrator takes action under this clause (a); provided, further,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2" w:lineRule="exact"/>
        <w:rPr>
          <w:rFonts w:ascii="Arial" w:cs="Arial" w:eastAsia="Arial" w:hAnsi="Arial"/>
          <w:sz w:val="18"/>
          <w:szCs w:val="18"/>
          <w:color w:val="auto"/>
        </w:rPr>
      </w:pPr>
    </w:p>
    <w:p>
      <w:pPr>
        <w:ind w:left="120" w:right="320" w:firstLine="987"/>
        <w:spacing w:after="0" w:line="277" w:lineRule="auto"/>
        <w:tabs>
          <w:tab w:leader="none" w:pos="136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left="120" w:right="180" w:firstLine="987"/>
        <w:spacing w:after="0" w:line="286" w:lineRule="auto"/>
        <w:tabs>
          <w:tab w:leader="none" w:pos="1356"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5" w:lineRule="exact"/>
        <w:rPr>
          <w:rFonts w:ascii="Arial" w:cs="Arial" w:eastAsia="Arial" w:hAnsi="Arial"/>
          <w:sz w:val="17"/>
          <w:szCs w:val="17"/>
          <w:color w:val="auto"/>
        </w:rPr>
      </w:pPr>
    </w:p>
    <w:p>
      <w:pPr>
        <w:jc w:val="both"/>
        <w:ind w:left="120" w:right="180" w:firstLine="987"/>
        <w:spacing w:after="0" w:line="259" w:lineRule="auto"/>
        <w:tabs>
          <w:tab w:leader="none" w:pos="136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340" w:hanging="233"/>
        <w:spacing w:after="0"/>
        <w:tabs>
          <w:tab w:leader="none" w:pos="13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Participant’s Awards are not continued, converted, assumed, or replaced with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140"/>
          </w:cols>
          <w:pgMar w:left="320" w:top="459" w:right="439" w:bottom="1440" w:gutter="0" w:footer="0" w:header="0"/>
        </w:sectPr>
      </w:pPr>
    </w:p>
    <w:bookmarkStart w:id="598" w:name="page599"/>
    <w:bookmarkEnd w:id="5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substantially similar award by (a) the Company, or (b) a successor entity or its parent or subsidiary (an “</w:t>
      </w:r>
      <w:r>
        <w:rPr>
          <w:rFonts w:ascii="Arial" w:cs="Arial" w:eastAsia="Arial" w:hAnsi="Arial"/>
          <w:sz w:val="17"/>
          <w:szCs w:val="17"/>
          <w:b w:val="1"/>
          <w:bCs w:val="1"/>
          <w:i w:val="1"/>
          <w:iCs w:val="1"/>
          <w:color w:val="auto"/>
        </w:rPr>
        <w:t>Assumption</w:t>
      </w:r>
      <w:r>
        <w:rPr>
          <w:rFonts w:ascii="Arial" w:cs="Arial" w:eastAsia="Arial" w:hAnsi="Arial"/>
          <w:sz w:val="17"/>
          <w:szCs w:val="17"/>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8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Administrative Stand Still</w:t>
      </w:r>
      <w:r>
        <w:rPr>
          <w:rFonts w:ascii="Arial" w:cs="Arial" w:eastAsia="Arial" w:hAnsi="Arial"/>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17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General</w:t>
      </w:r>
      <w:r>
        <w:rPr>
          <w:rFonts w:ascii="Arial" w:cs="Arial" w:eastAsia="Arial" w:hAnsi="Arial"/>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120"/>
          </w:cols>
          <w:pgMar w:left="320" w:top="459" w:right="459" w:bottom="1440" w:gutter="0" w:footer="0" w:header="0"/>
        </w:sectPr>
      </w:pPr>
    </w:p>
    <w:bookmarkStart w:id="599" w:name="page600"/>
    <w:bookmarkEnd w:id="5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will be evidenced in an Award Agreement, which may be written or electronic, as the Administrator determines.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Award may contain terms and conditions in addition to those set forth in the Plan.</w:t>
      </w:r>
    </w:p>
    <w:p>
      <w:pPr>
        <w:spacing w:after="0" w:line="21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49"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w:t>
      </w:r>
    </w:p>
    <w:p>
      <w:pPr>
        <w:spacing w:after="0" w:line="10" w:lineRule="exact"/>
        <w:rPr>
          <w:sz w:val="20"/>
          <w:szCs w:val="20"/>
          <w:color w:val="auto"/>
        </w:rPr>
      </w:pPr>
    </w:p>
    <w:p>
      <w:pPr>
        <w:ind w:left="120" w:right="180" w:hanging="4"/>
        <w:spacing w:after="0" w:line="253" w:lineRule="auto"/>
        <w:tabs>
          <w:tab w:leader="none" w:pos="38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9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 Repricing</w:t>
      </w:r>
      <w:r>
        <w:rPr>
          <w:rFonts w:ascii="Arial" w:cs="Arial" w:eastAsia="Arial" w:hAnsi="Arial"/>
          <w:sz w:val="18"/>
          <w:szCs w:val="18"/>
          <w:color w:val="auto"/>
        </w:rPr>
        <w:t>. The Administrator may amend, modify or terminate any outstanding Award, including by substituting another Award of the same or a different type, changing the exercise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120"/>
          </w:cols>
          <w:pgMar w:left="320" w:top="459" w:right="459" w:bottom="1440" w:gutter="0" w:footer="0" w:header="0"/>
        </w:sectPr>
      </w:pPr>
    </w:p>
    <w:bookmarkStart w:id="600" w:name="page601"/>
    <w:bookmarkEnd w:id="6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6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Cash Settlement</w:t>
      </w:r>
      <w:r>
        <w:rPr>
          <w:rFonts w:ascii="Arial" w:cs="Arial" w:eastAsia="Arial" w:hAnsi="Arial"/>
          <w:sz w:val="17"/>
          <w:szCs w:val="17"/>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4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 broker-assisted sale of Shares in connection with the payment of amounts owed by a Participant under or with respect to the Plan or Awards, including amounts to be paid under the final sentence of Section 9.5, above: (i) any Shares to be sold through the broker-assisted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harmless from any losses, costs, damages, or expenses relating to any such sale; (iv) to the extent the Company or its designee receives proceeds of such sale that exceed the amount owed, the Company will pay such excess in cash to the applicable Participant as soon as reasonably practicable; (v) the Company and its designees are under no obligation to arrange for such sale at any particular price; and (vi)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100"/>
          </w:cols>
          <w:pgMar w:left="320" w:top="459" w:right="479" w:bottom="1440" w:gutter="0" w:footer="0" w:header="0"/>
        </w:sectPr>
      </w:pPr>
    </w:p>
    <w:bookmarkStart w:id="601" w:name="page602"/>
    <w:bookmarkEnd w:id="6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Unless earlier terminated by the Board, the Plan will become effective on the date the Board adopts the Plan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subject to approval by the Company’s shareholders, and will remain in effect until the tenth anniversary of the Effective Date. Notwithstanding anything to the contrary in the Plan, an Incentive Stock Option may not be granted under the Plan after 10 years from the earlier of</w:t>
      </w:r>
    </w:p>
    <w:p>
      <w:pPr>
        <w:spacing w:after="0" w:line="2" w:lineRule="exact"/>
        <w:rPr>
          <w:sz w:val="20"/>
          <w:szCs w:val="20"/>
          <w:color w:val="auto"/>
        </w:rPr>
      </w:pPr>
    </w:p>
    <w:p>
      <w:pPr>
        <w:ind w:left="120" w:hanging="4"/>
        <w:spacing w:after="0" w:line="253" w:lineRule="auto"/>
        <w:tabs>
          <w:tab w:leader="none" w:pos="33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date the Board adopted the Plan or (ii) the date the Company’s stockholders approved the Plan, but Awards previously granted may extend beyond that date in accordance with the Plan. Notwithstanding anything to the contrary contained herein, if the Plan is not approved by the Company’s stockholders, the Plan will not become effective and no Awards will be granted under the Plan, and the Prior Plan will continue in full force and effect in accordance with its terms.</w:t>
      </w:r>
    </w:p>
    <w:p>
      <w:pPr>
        <w:spacing w:after="0" w:line="193"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69" w:lineRule="auto"/>
        <w:tabs>
          <w:tab w:leader="none" w:pos="1356"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5" w:lineRule="exact"/>
        <w:rPr>
          <w:rFonts w:ascii="Arial" w:cs="Arial" w:eastAsia="Arial" w:hAnsi="Arial"/>
          <w:sz w:val="17"/>
          <w:szCs w:val="17"/>
          <w:color w:val="auto"/>
        </w:rPr>
      </w:pPr>
    </w:p>
    <w:p>
      <w:pPr>
        <w:jc w:val="both"/>
        <w:ind w:left="120" w:right="380" w:firstLine="987"/>
        <w:spacing w:after="0" w:line="259" w:lineRule="auto"/>
        <w:tabs>
          <w:tab w:leader="none" w:pos="1366"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120"/>
          </w:cols>
          <w:pgMar w:left="320" w:top="459" w:right="459" w:bottom="1440" w:gutter="0" w:footer="0" w:header="0"/>
        </w:sectPr>
      </w:pPr>
    </w:p>
    <w:bookmarkStart w:id="602" w:name="page603"/>
    <w:bookmarkEnd w:id="6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46" w:lineRule="exact"/>
        <w:rPr>
          <w:sz w:val="20"/>
          <w:szCs w:val="20"/>
          <w:color w:val="auto"/>
        </w:rPr>
      </w:pPr>
    </w:p>
    <w:p>
      <w:pPr>
        <w:ind w:left="120" w:right="20" w:firstLine="987"/>
        <w:spacing w:after="0" w:line="289" w:lineRule="auto"/>
        <w:tabs>
          <w:tab w:leader="none" w:pos="1356"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6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120"/>
          </w:cols>
          <w:pgMar w:left="320" w:top="459" w:right="459" w:bottom="1440" w:gutter="0" w:footer="0" w:header="0"/>
        </w:sectPr>
      </w:pPr>
    </w:p>
    <w:bookmarkStart w:id="603" w:name="page604"/>
    <w:bookmarkEnd w:id="6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7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4"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65"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2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6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9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120"/>
          </w:cols>
          <w:pgMar w:left="320" w:top="459" w:right="459" w:bottom="1440" w:gutter="0" w:footer="0" w:header="0"/>
        </w:sectPr>
      </w:pPr>
    </w:p>
    <w:bookmarkStart w:id="604" w:name="page605"/>
    <w:bookmarkEnd w:id="6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25" w:lineRule="exact"/>
        <w:rPr>
          <w:sz w:val="20"/>
          <w:szCs w:val="20"/>
          <w:color w:val="auto"/>
        </w:rPr>
      </w:pPr>
    </w:p>
    <w:p>
      <w:pPr>
        <w:ind w:left="120" w:firstLine="987"/>
        <w:spacing w:after="0" w:line="291" w:lineRule="auto"/>
        <w:tabs>
          <w:tab w:leader="none" w:pos="1356" w:val="left"/>
        </w:tabs>
        <w:numPr>
          <w:ilvl w:val="0"/>
          <w:numId w:val="520"/>
        </w:numPr>
        <w:rPr>
          <w:rFonts w:ascii="Arial" w:cs="Arial" w:eastAsia="Arial" w:hAnsi="Arial"/>
          <w:sz w:val="16"/>
          <w:szCs w:val="16"/>
          <w:color w:val="auto"/>
        </w:rPr>
      </w:pPr>
      <w:r>
        <w:rPr>
          <w:rFonts w:ascii="Arial" w:cs="Arial" w:eastAsia="Arial" w:hAnsi="Arial"/>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66" w:lineRule="exact"/>
        <w:rPr>
          <w:rFonts w:ascii="Arial" w:cs="Arial" w:eastAsia="Arial" w:hAnsi="Arial"/>
          <w:sz w:val="16"/>
          <w:szCs w:val="16"/>
          <w:color w:val="auto"/>
        </w:rPr>
      </w:pPr>
    </w:p>
    <w:p>
      <w:pPr>
        <w:ind w:left="120" w:firstLine="987"/>
        <w:spacing w:after="0" w:line="275" w:lineRule="auto"/>
        <w:tabs>
          <w:tab w:leader="none" w:pos="1366" w:val="left"/>
        </w:tabs>
        <w:numPr>
          <w:ilvl w:val="0"/>
          <w:numId w:val="520"/>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76" w:lineRule="exact"/>
        <w:rPr>
          <w:rFonts w:ascii="Arial" w:cs="Arial" w:eastAsia="Arial" w:hAnsi="Arial"/>
          <w:sz w:val="17"/>
          <w:szCs w:val="17"/>
          <w:color w:val="auto"/>
        </w:rPr>
      </w:pPr>
    </w:p>
    <w:p>
      <w:pPr>
        <w:ind w:left="120" w:right="20" w:firstLine="987"/>
        <w:spacing w:after="0" w:line="259" w:lineRule="auto"/>
        <w:tabs>
          <w:tab w:leader="none" w:pos="135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ind w:left="120" w:right="80" w:firstLine="1428"/>
        <w:spacing w:after="0" w:line="275" w:lineRule="auto"/>
        <w:tabs>
          <w:tab w:leader="none" w:pos="1767" w:val="left"/>
        </w:tabs>
        <w:numPr>
          <w:ilvl w:val="1"/>
          <w:numId w:val="520"/>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176" w:lineRule="exact"/>
        <w:rPr>
          <w:rFonts w:ascii="Arial" w:cs="Arial" w:eastAsia="Arial" w:hAnsi="Arial"/>
          <w:sz w:val="17"/>
          <w:szCs w:val="17"/>
          <w:color w:val="auto"/>
        </w:rPr>
      </w:pPr>
    </w:p>
    <w:p>
      <w:pPr>
        <w:ind w:left="120" w:right="140" w:firstLine="1428"/>
        <w:spacing w:after="0" w:line="259" w:lineRule="auto"/>
        <w:tabs>
          <w:tab w:leader="none" w:pos="1817" w:val="left"/>
        </w:tabs>
        <w:numPr>
          <w:ilvl w:val="1"/>
          <w:numId w:val="520"/>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120"/>
          </w:cols>
          <w:pgMar w:left="320" w:top="459" w:right="459" w:bottom="1440" w:gutter="0" w:footer="0" w:header="0"/>
        </w:sectPr>
      </w:pPr>
    </w:p>
    <w:bookmarkStart w:id="605" w:name="page606"/>
    <w:bookmarkEnd w:id="6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avoidance of doubt, the consummation of the transactions contemplated by the Merger Agreement will not constitute a Change in Control under the Plan.</w:t>
      </w:r>
    </w:p>
    <w:p>
      <w:pPr>
        <w:spacing w:after="0" w:line="170"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22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Talkspace, Inc., a Delaware corporation, or any successor.</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consultant or advisor, engaged by the Company or any of its Subsidiaries to render services to such entity, who qualifies as a consultant or advisor under the applicable rules of Form S-8 Registration Statement.</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22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its Subsidiaries.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G-14</w:t>
      </w:r>
    </w:p>
    <w:p>
      <w:pPr>
        <w:sectPr>
          <w:pgSz w:w="11900" w:h="16838" w:orient="portrait"/>
          <w:cols w:equalWidth="0" w:num="1">
            <w:col w:w="11140"/>
          </w:cols>
          <w:pgMar w:left="320" w:top="459" w:right="439" w:bottom="1440" w:gutter="0" w:footer="0" w:header="0"/>
        </w:sectPr>
      </w:pPr>
    </w:p>
    <w:bookmarkStart w:id="606" w:name="page607"/>
    <w:bookmarkEnd w:id="6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or (c) without an established market for the Common Stock, the Administrator will determine the Fair Market Value in its discretion.</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11.20 “</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intended to qualify as an “incentive stock option” as defined in Section 422 of the Code.</w:t>
      </w:r>
    </w:p>
    <w:p>
      <w:pPr>
        <w:spacing w:after="0" w:line="23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means that certain Agreement and Plan of Merger by and among Hudson Executive Investment Corp., Tailwind Merger Sub I, Inc., Tailwind Merger Sub II, LLC, and Groop Internet Platform, Inc. dated as of January [12],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11.22 “</w:t>
      </w:r>
      <w:r>
        <w:rPr>
          <w:rFonts w:ascii="Arial" w:cs="Arial" w:eastAsia="Arial" w:hAnsi="Arial"/>
          <w:sz w:val="17"/>
          <w:szCs w:val="17"/>
          <w:b w:val="1"/>
          <w:bCs w:val="1"/>
          <w:i w:val="1"/>
          <w:iCs w:val="1"/>
          <w:color w:val="auto"/>
        </w:rPr>
        <w:t>Non-Qualified Stock Option</w:t>
      </w:r>
      <w:r>
        <w:rPr>
          <w:rFonts w:ascii="Arial" w:cs="Arial" w:eastAsia="Arial" w:hAnsi="Arial"/>
          <w:sz w:val="17"/>
          <w:szCs w:val="17"/>
          <w:color w:val="auto"/>
        </w:rPr>
        <w:t>” means an Option, or portion thereof, not intended or not qualifying as an Incentive Stock Option.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 Option.</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(a) [●]</w:t>
      </w:r>
      <w:r>
        <w:rPr>
          <w:rFonts w:ascii="Arial" w:cs="Arial" w:eastAsia="Arial" w:hAnsi="Arial"/>
          <w:sz w:val="15"/>
          <w:szCs w:val="15"/>
          <w:color w:val="auto"/>
        </w:rPr>
        <w:t>1</w:t>
      </w:r>
      <w:r>
        <w:rPr>
          <w:rFonts w:ascii="Arial" w:cs="Arial" w:eastAsia="Arial" w:hAnsi="Arial"/>
          <w:sz w:val="18"/>
          <w:szCs w:val="18"/>
          <w:color w:val="auto"/>
        </w:rPr>
        <w:t xml:space="preserve"> Shares and (b) an annual increase on the first day of each calendar year beginning on and including January 1, 2022 and ending on and including January 1, 2031 equal to the lesser of (i) a number equal to five percent (5%) of the aggregate number of Shares outstanding on the final day of the immediately preceding calendar year and (ii) such smaller number of Shares as is determined by the Board.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11.27 “</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ind w:left="540" w:right="60" w:hanging="424"/>
        <w:spacing w:after="0" w:line="259" w:lineRule="auto"/>
        <w:tabs>
          <w:tab w:leader="none" w:pos="540" w:val="left"/>
        </w:tabs>
        <w:numPr>
          <w:ilvl w:val="0"/>
          <w:numId w:val="521"/>
        </w:numPr>
        <w:rPr>
          <w:rFonts w:ascii="Arial" w:cs="Arial" w:eastAsia="Arial" w:hAnsi="Arial"/>
          <w:sz w:val="15"/>
          <w:szCs w:val="15"/>
          <w:color w:val="auto"/>
        </w:rPr>
      </w:pPr>
      <w:r>
        <w:rPr>
          <w:rFonts w:ascii="Arial" w:cs="Arial" w:eastAsia="Arial" w:hAnsi="Arial"/>
          <w:sz w:val="18"/>
          <w:szCs w:val="18"/>
          <w:color w:val="auto"/>
        </w:rPr>
        <w:t>Note to Draft: To be equal to 10% of outstanding shares as of the Effective Date, plus a number of shares of common stock necessary to satisfy approximately 750,000 stock options promised to certain Talkspace employees pursuant to offer letters entered into prior to the date hereof, plus a number of shares of common stock necessary to satisfy the consideration set forth in the consulting agreement approved by the HEC board of directors on January 11, 2021 (650,000 shares).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G-15</w:t>
      </w:r>
    </w:p>
    <w:p>
      <w:pPr>
        <w:sectPr>
          <w:pgSz w:w="11900" w:h="16838" w:orient="portrait"/>
          <w:cols w:equalWidth="0" w:num="1">
            <w:col w:w="11120"/>
          </w:cols>
          <w:pgMar w:left="320" w:top="459" w:right="459" w:bottom="1440" w:gutter="0" w:footer="0" w:header="0"/>
        </w:sectPr>
      </w:pPr>
    </w:p>
    <w:bookmarkStart w:id="607" w:name="page608"/>
    <w:bookmarkEnd w:id="6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2021 Incentive Award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Groop Internet Platform Inc. 2014 Stock Incentive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outstanding under the Prior Plan as of the Effective Date.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11.31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awarded to a Participant under Article VI subject to certain vesting conditions and other restrictions.</w:t>
      </w:r>
    </w:p>
    <w:p>
      <w:pPr>
        <w:spacing w:after="0" w:line="24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stock appreciation right granted under Article V.</w:t>
      </w:r>
    </w:p>
    <w:p>
      <w:pPr>
        <w:spacing w:after="0" w:line="22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11.39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11.40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G-16</w:t>
      </w:r>
    </w:p>
    <w:p>
      <w:pPr>
        <w:sectPr>
          <w:pgSz w:w="11900" w:h="16838" w:orient="portrait"/>
          <w:cols w:equalWidth="0" w:num="1">
            <w:col w:w="11120"/>
          </w:cols>
          <w:pgMar w:left="320" w:top="459" w:right="459" w:bottom="1440" w:gutter="0" w:footer="0" w:header="0"/>
        </w:sectPr>
      </w:pPr>
    </w:p>
    <w:bookmarkStart w:id="608" w:name="page609"/>
    <w:bookmarkEnd w:id="6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case by a company acquired by the Company or any Subsidiary or with which the Company or any Subsidiary combines.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 * * * *</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G-17</w:t>
      </w:r>
    </w:p>
    <w:p>
      <w:pPr>
        <w:sectPr>
          <w:pgSz w:w="11900" w:h="16838" w:orient="portrait"/>
          <w:cols w:equalWidth="0" w:num="1">
            <w:col w:w="10139"/>
          </w:cols>
          <w:pgMar w:left="320" w:top="460" w:right="1440" w:bottom="1440" w:gutter="0" w:footer="0" w:header="0"/>
        </w:sectPr>
      </w:pPr>
    </w:p>
    <w:bookmarkStart w:id="609" w:name="page610"/>
    <w:bookmarkEnd w:id="6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H</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EMPLOYEE STOCK PURCHASE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left="120" w:right="160" w:firstLine="440"/>
        <w:spacing w:after="0" w:line="257" w:lineRule="auto"/>
        <w:rPr>
          <w:sz w:val="20"/>
          <w:szCs w:val="20"/>
          <w:color w:val="auto"/>
        </w:rPr>
      </w:pPr>
      <w:r>
        <w:rPr>
          <w:rFonts w:ascii="Arial" w:cs="Arial" w:eastAsia="Arial" w:hAnsi="Arial"/>
          <w:sz w:val="18"/>
          <w:szCs w:val="18"/>
          <w:color w:val="auto"/>
        </w:rPr>
        <w:t>The purposes of this Talkspace, Inc. 2021 Employee Stock Purchase Plan (as it may be amended or restated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to assist Eligible Employees of Talkspace,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 AND CONSTRUCTION</w:t>
      </w:r>
    </w:p>
    <w:p>
      <w:pPr>
        <w:spacing w:after="0" w:line="21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8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4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2.2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and include each of the following:</w:t>
      </w:r>
    </w:p>
    <w:p>
      <w:pPr>
        <w:spacing w:after="0" w:line="225" w:lineRule="exact"/>
        <w:rPr>
          <w:sz w:val="20"/>
          <w:szCs w:val="20"/>
          <w:color w:val="auto"/>
        </w:rPr>
      </w:pPr>
    </w:p>
    <w:p>
      <w:pPr>
        <w:ind w:left="120" w:firstLine="436"/>
        <w:spacing w:after="0" w:line="291" w:lineRule="auto"/>
        <w:tabs>
          <w:tab w:leader="none" w:pos="805" w:val="left"/>
        </w:tabs>
        <w:numPr>
          <w:ilvl w:val="1"/>
          <w:numId w:val="522"/>
        </w:numPr>
        <w:rPr>
          <w:rFonts w:ascii="Arial" w:cs="Arial" w:eastAsia="Arial" w:hAnsi="Arial"/>
          <w:sz w:val="16"/>
          <w:szCs w:val="16"/>
          <w:color w:val="auto"/>
        </w:rPr>
      </w:pPr>
      <w:r>
        <w:rPr>
          <w:rFonts w:ascii="Arial" w:cs="Arial" w:eastAsia="Arial" w:hAnsi="Arial"/>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w:t>
      </w:r>
    </w:p>
    <w:p>
      <w:pPr>
        <w:ind w:left="120" w:right="240" w:hanging="4"/>
        <w:spacing w:after="0" w:line="271" w:lineRule="auto"/>
        <w:tabs>
          <w:tab w:leader="none" w:pos="365" w:val="left"/>
        </w:tabs>
        <w:numPr>
          <w:ilvl w:val="0"/>
          <w:numId w:val="523"/>
        </w:numPr>
        <w:rPr>
          <w:rFonts w:ascii="Arial" w:cs="Arial" w:eastAsia="Arial" w:hAnsi="Arial"/>
          <w:sz w:val="17"/>
          <w:szCs w:val="17"/>
          <w:color w:val="auto"/>
        </w:rPr>
      </w:pPr>
      <w:r>
        <w:rPr>
          <w:rFonts w:ascii="Arial" w:cs="Arial" w:eastAsia="Arial" w:hAnsi="Arial"/>
          <w:sz w:val="17"/>
          <w:szCs w:val="17"/>
          <w:color w:val="auto"/>
        </w:rPr>
        <w:t>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8" w:lineRule="exact"/>
        <w:rPr>
          <w:rFonts w:ascii="Arial" w:cs="Arial" w:eastAsia="Arial" w:hAnsi="Arial"/>
          <w:sz w:val="17"/>
          <w:szCs w:val="17"/>
          <w:color w:val="auto"/>
        </w:rPr>
      </w:pPr>
    </w:p>
    <w:p>
      <w:pPr>
        <w:ind w:left="120" w:right="100" w:firstLine="436"/>
        <w:spacing w:after="0" w:line="279" w:lineRule="auto"/>
        <w:tabs>
          <w:tab w:leader="none" w:pos="815" w:val="left"/>
        </w:tabs>
        <w:numPr>
          <w:ilvl w:val="1"/>
          <w:numId w:val="523"/>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140"/>
          </w:cols>
          <w:pgMar w:left="320" w:top="460" w:right="439" w:bottom="1440" w:gutter="0" w:footer="0" w:header="0"/>
        </w:sectPr>
      </w:pPr>
    </w:p>
    <w:bookmarkStart w:id="610" w:name="page611"/>
    <w:bookmarkEnd w:id="6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whose election or nomination for election was previously so approved, cease for any reason to constitute a majority thereof; or</w:t>
      </w:r>
    </w:p>
    <w:p>
      <w:pPr>
        <w:spacing w:after="0" w:line="225" w:lineRule="exact"/>
        <w:rPr>
          <w:sz w:val="20"/>
          <w:szCs w:val="20"/>
          <w:color w:val="auto"/>
        </w:rPr>
      </w:pPr>
    </w:p>
    <w:p>
      <w:pPr>
        <w:ind w:left="120" w:right="160" w:firstLine="436"/>
        <w:spacing w:after="0" w:line="259" w:lineRule="auto"/>
        <w:tabs>
          <w:tab w:leader="none" w:pos="805"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rFonts w:ascii="Arial" w:cs="Arial" w:eastAsia="Arial" w:hAnsi="Arial"/>
          <w:sz w:val="18"/>
          <w:szCs w:val="18"/>
          <w:color w:val="auto"/>
        </w:rPr>
      </w:pPr>
    </w:p>
    <w:p>
      <w:pPr>
        <w:ind w:left="560" w:right="100" w:firstLine="419"/>
        <w:spacing w:after="0" w:line="275" w:lineRule="auto"/>
        <w:tabs>
          <w:tab w:leader="none" w:pos="1198" w:val="left"/>
        </w:tabs>
        <w:numPr>
          <w:ilvl w:val="1"/>
          <w:numId w:val="524"/>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68" w:lineRule="exact"/>
        <w:rPr>
          <w:rFonts w:ascii="Arial" w:cs="Arial" w:eastAsia="Arial" w:hAnsi="Arial"/>
          <w:sz w:val="17"/>
          <w:szCs w:val="17"/>
          <w:color w:val="auto"/>
        </w:rPr>
      </w:pPr>
    </w:p>
    <w:p>
      <w:pPr>
        <w:ind w:left="560" w:firstLine="419"/>
        <w:spacing w:after="0" w:line="259" w:lineRule="auto"/>
        <w:tabs>
          <w:tab w:leader="none" w:pos="1248" w:val="left"/>
        </w:tabs>
        <w:numPr>
          <w:ilvl w:val="1"/>
          <w:numId w:val="524"/>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“change in control event,” as defined in Treasury Regulation Section 1.409A-3(i)(5).</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 and the regulations issued thereunder.</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 par value of $0.0001 per share, and such other securities of the Company that may be substituted therefor pursuant to Article VIII.</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Talkspace, Inc., a Delaware corporation, or any successor.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Eligible Employee shall mean the gross cash compensation received by such Eligible Employee as compensation for services to the Company or any Designated Subsidiary, including prior week adjustment, overtime payments, commissions, periodic bonuses, vacation pay and holiday pay, but excluding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Designated Subsidiary</w:t>
      </w:r>
      <w:r>
        <w:rPr>
          <w:rFonts w:ascii="Arial" w:cs="Arial" w:eastAsia="Arial" w:hAnsi="Arial"/>
          <w:sz w:val="18"/>
          <w:szCs w:val="18"/>
          <w:color w:val="auto"/>
        </w:rPr>
        <w:t>” shall mean any Subsidiary designated by the Administrator in accordance with Section 11.3(b).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date the Plan is approved by the Company’s stockholders.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100"/>
          </w:cols>
          <w:pgMar w:left="320" w:top="460" w:right="479" w:bottom="1440" w:gutter="0" w:footer="0" w:header="0"/>
        </w:sectPr>
      </w:pPr>
    </w:p>
    <w:bookmarkStart w:id="611" w:name="page612"/>
    <w:bookmarkEnd w:id="6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2.11 “</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shall mean an Employee who does not, immediately after any rights under this Plan are granted, own (directly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through attribution) stock possessing 5% or more of the total combined voting power or value of all classes of Common Stock and other stock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a Parent or a Subsidiary (as determined under Section 423(b)(3) of the Code). For purposes of the foregoing sentence, the rules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424(d) of the Code with regard to the attribution of stock ownership shall apply in determining the stock ownership of an individual, and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that an Employee may purchase under outstanding options shall be treated as stock owned by the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provide in an Offering Document that an Employee shall not be eligible to participate in an Offering Period if: (a) such Employee is a highly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compensated employee within the meaning of Section 423(b)(4)(D) of the Code, (b) such Employee has not met a service requirement designated by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Administrator pursuant to Section 423(b)(4)(A) of the Code (which service requirement may not exceed two years), (c) such Employee’s customary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employment is for 20 hours or less per week, (d) such Employee’s customary employment is for less than five months in any calendar year and/or</w:t>
      </w:r>
    </w:p>
    <w:p>
      <w:pPr>
        <w:spacing w:after="0" w:line="21" w:lineRule="exact"/>
        <w:rPr>
          <w:sz w:val="20"/>
          <w:szCs w:val="20"/>
          <w:color w:val="auto"/>
        </w:rPr>
      </w:pPr>
    </w:p>
    <w:p>
      <w:pPr>
        <w:ind w:left="120" w:right="80" w:hanging="4"/>
        <w:spacing w:after="0" w:line="271" w:lineRule="auto"/>
        <w:tabs>
          <w:tab w:leader="none" w:pos="365" w:val="left"/>
        </w:tabs>
        <w:numPr>
          <w:ilvl w:val="0"/>
          <w:numId w:val="525"/>
        </w:numPr>
        <w:rPr>
          <w:rFonts w:ascii="Arial" w:cs="Arial" w:eastAsia="Arial" w:hAnsi="Arial"/>
          <w:sz w:val="17"/>
          <w:szCs w:val="17"/>
          <w:color w:val="auto"/>
        </w:rPr>
      </w:pPr>
      <w:r>
        <w:rPr>
          <w:rFonts w:ascii="Arial" w:cs="Arial" w:eastAsia="Arial" w:hAnsi="Arial"/>
          <w:sz w:val="17"/>
          <w:szCs w:val="17"/>
          <w:color w:val="auto"/>
        </w:rPr>
        <w:t xml:space="preserve">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exclusion in clauses (a), (b), (c), (d) or (e) shall be applied in an identical manner under each Offering Period to all Employees, in accordance with Treasury Regulation Section 1.423-2(e).</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b w:val="1"/>
          <w:bCs w:val="1"/>
          <w:i w:val="1"/>
          <w:iCs w:val="1"/>
          <w:color w:val="auto"/>
        </w:rPr>
        <w:t>Enrollment Date</w:t>
      </w:r>
      <w:r>
        <w:rPr>
          <w:rFonts w:ascii="Arial" w:cs="Arial" w:eastAsia="Arial" w:hAnsi="Arial"/>
          <w:sz w:val="17"/>
          <w:szCs w:val="17"/>
          <w:color w:val="auto"/>
        </w:rPr>
        <w:t>” shall mean the first Trading Day of each Offering Period, unless otherwise specified in the Offering Document.</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or (c) without an established market for the Common Stock, the Administrator will determine the Fair Market Value in its discretion.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shall have the meaning given to such term in Section 4.1.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have the meaning given to such term in Section 4.1.</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120"/>
          </w:cols>
          <w:pgMar w:left="320" w:top="460" w:right="459" w:bottom="1440" w:gutter="0" w:footer="0" w:header="0"/>
        </w:sectPr>
      </w:pPr>
    </w:p>
    <w:bookmarkStart w:id="612" w:name="page613"/>
    <w:bookmarkEnd w:id="6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any Eligible Employee who has executed a subscription agreement and been granted rights to purchase Common Stock pursuant to the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Talkspace, Inc. 2021 Employee Stock Purchase Plan, as it may be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Trading Day of each Purchase Period.</w:t>
      </w:r>
    </w:p>
    <w:p>
      <w:pPr>
        <w:spacing w:after="0" w:line="22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2.22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xml:space="preserve">” shall refer to one or more periods within an Offering Period, as designated in the applicable Offering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shall mean a share of Common Stock.</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ind w:left="120" w:right="320"/>
        <w:spacing w:after="0" w:line="323" w:lineRule="auto"/>
        <w:rPr>
          <w:sz w:val="20"/>
          <w:szCs w:val="20"/>
          <w:color w:val="auto"/>
        </w:rPr>
      </w:pPr>
      <w:r>
        <w:rPr>
          <w:rFonts w:ascii="Arial" w:cs="Arial" w:eastAsia="Arial" w:hAnsi="Arial"/>
          <w:sz w:val="16"/>
          <w:szCs w:val="16"/>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 day on which national stock exchanges in the United States are open for trading.</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Article VIII, the aggregate number of Shares that may be issued pursuant to rights granted under the Plan shall be [ ● ]</w:t>
      </w:r>
      <w:r>
        <w:rPr>
          <w:rFonts w:ascii="Arial" w:cs="Arial" w:eastAsia="Arial" w:hAnsi="Arial"/>
          <w:sz w:val="14"/>
          <w:szCs w:val="14"/>
          <w:color w:val="auto"/>
        </w:rPr>
        <w:t>1</w:t>
      </w:r>
      <w:r>
        <w:rPr>
          <w:rFonts w:ascii="Arial" w:cs="Arial" w:eastAsia="Arial" w:hAnsi="Arial"/>
          <w:sz w:val="17"/>
          <w:szCs w:val="17"/>
          <w:color w:val="auto"/>
        </w:rPr>
        <w:t xml:space="preserve"> Shares. In addition to the foregoing, subject to Article VIII, on the first day of each calendar year beginning on and including January 1, 2022 and ending on and including January 1, 2031, the number of Shares available for issuance under the Plan shall be increased by that number of Shares equal to the lesser of (a) one percent (1%) of the aggregate number of Shares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50,000,000 Shares, subject to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5480" w:right="5020" w:hanging="5364"/>
        <w:spacing w:after="0" w:line="535" w:lineRule="auto"/>
        <w:tabs>
          <w:tab w:leader="none" w:pos="328" w:val="left"/>
        </w:tabs>
        <w:numPr>
          <w:ilvl w:val="0"/>
          <w:numId w:val="526"/>
        </w:numPr>
        <w:rPr>
          <w:rFonts w:ascii="Arial" w:cs="Arial" w:eastAsia="Arial" w:hAnsi="Arial"/>
          <w:sz w:val="13"/>
          <w:szCs w:val="13"/>
          <w:color w:val="auto"/>
        </w:rPr>
      </w:pPr>
      <w:r>
        <w:rPr>
          <w:rFonts w:ascii="Arial" w:cs="Arial" w:eastAsia="Arial" w:hAnsi="Arial"/>
          <w:sz w:val="16"/>
          <w:szCs w:val="16"/>
          <w:color w:val="auto"/>
        </w:rPr>
        <w:t>Note to Draft: To be equal to 2% of outstanding shares as of the Effective Date. H-4</w:t>
      </w:r>
    </w:p>
    <w:p>
      <w:pPr>
        <w:sectPr>
          <w:pgSz w:w="11900" w:h="16838" w:orient="portrait"/>
          <w:cols w:equalWidth="0" w:num="1">
            <w:col w:w="11080"/>
          </w:cols>
          <w:pgMar w:left="320" w:top="460" w:right="499" w:bottom="1440" w:gutter="0" w:footer="0" w:header="0"/>
        </w:sectPr>
      </w:pPr>
    </w:p>
    <w:bookmarkStart w:id="613" w:name="page614"/>
    <w:bookmarkEnd w:id="6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Common Stock distributed pursuant to the Plan may consist, in whole or in part, of authorized and unissued Common Stock, treasury stock or Common Stock purchased on the open market.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Offering Periods</w:t>
      </w:r>
      <w:r>
        <w:rPr>
          <w:rFonts w:ascii="Arial" w:cs="Arial" w:eastAsia="Arial" w:hAnsi="Arial"/>
          <w:sz w:val="18"/>
          <w:szCs w:val="18"/>
          <w:color w:val="auto"/>
        </w:rPr>
        <w:t>. The Administrator may from time to time grant or provide for the grant of rights to purchase Shares under the Plan to Eligible Employees during one or more periods (each, an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selected by the Administrator. The terms and conditions applicable to each Offering Period shall be set forth in an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 by reference or otherwise):</w:t>
      </w:r>
    </w:p>
    <w:p>
      <w:pPr>
        <w:spacing w:after="0" w:line="211" w:lineRule="exact"/>
        <w:rPr>
          <w:sz w:val="20"/>
          <w:szCs w:val="20"/>
          <w:color w:val="auto"/>
        </w:rPr>
      </w:pPr>
    </w:p>
    <w:p>
      <w:pPr>
        <w:ind w:left="800" w:hanging="244"/>
        <w:spacing w:after="0"/>
        <w:tabs>
          <w:tab w:leader="none" w:pos="8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27 months;</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w:t>
      </w:r>
    </w:p>
    <w:p>
      <w:pPr>
        <w:spacing w:after="0" w:line="225" w:lineRule="exact"/>
        <w:rPr>
          <w:rFonts w:ascii="Arial" w:cs="Arial" w:eastAsia="Arial" w:hAnsi="Arial"/>
          <w:sz w:val="18"/>
          <w:szCs w:val="18"/>
          <w:color w:val="auto"/>
        </w:rPr>
      </w:pPr>
    </w:p>
    <w:p>
      <w:pPr>
        <w:ind w:left="120" w:right="40" w:firstLine="436"/>
        <w:spacing w:after="0" w:line="342" w:lineRule="auto"/>
        <w:tabs>
          <w:tab w:leader="none" w:pos="805" w:val="left"/>
        </w:tabs>
        <w:numPr>
          <w:ilvl w:val="0"/>
          <w:numId w:val="527"/>
        </w:numPr>
        <w:rPr>
          <w:rFonts w:ascii="Arial" w:cs="Arial" w:eastAsia="Arial" w:hAnsi="Arial"/>
          <w:sz w:val="16"/>
          <w:szCs w:val="16"/>
          <w:color w:val="auto"/>
        </w:rPr>
      </w:pPr>
      <w:r>
        <w:rPr>
          <w:rFonts w:ascii="Arial" w:cs="Arial" w:eastAsia="Arial" w:hAnsi="Arial"/>
          <w:sz w:val="16"/>
          <w:szCs w:val="16"/>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5,000 Shares;</w:t>
      </w:r>
    </w:p>
    <w:p>
      <w:pPr>
        <w:spacing w:after="0" w:line="123" w:lineRule="exact"/>
        <w:rPr>
          <w:rFonts w:ascii="Arial" w:cs="Arial" w:eastAsia="Arial" w:hAnsi="Arial"/>
          <w:sz w:val="16"/>
          <w:szCs w:val="16"/>
          <w:color w:val="auto"/>
        </w:rPr>
      </w:pPr>
    </w:p>
    <w:p>
      <w:pPr>
        <w:ind w:left="120" w:right="200" w:firstLine="436"/>
        <w:spacing w:after="0" w:line="263" w:lineRule="auto"/>
        <w:tabs>
          <w:tab w:leader="none" w:pos="81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 Shares; and</w:t>
      </w:r>
    </w:p>
    <w:p>
      <w:pPr>
        <w:spacing w:after="0" w:line="183" w:lineRule="exact"/>
        <w:rPr>
          <w:rFonts w:ascii="Arial" w:cs="Arial" w:eastAsia="Arial" w:hAnsi="Arial"/>
          <w:sz w:val="18"/>
          <w:szCs w:val="18"/>
          <w:color w:val="auto"/>
        </w:rPr>
      </w:pPr>
    </w:p>
    <w:p>
      <w:pPr>
        <w:ind w:left="800" w:hanging="244"/>
        <w:spacing w:after="0"/>
        <w:tabs>
          <w:tab w:leader="none" w:pos="8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such other provisions as the Administrator determines are appropriate, subject to the Plan.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311" w:lineRule="auto"/>
        <w:tabs>
          <w:tab w:leader="none" w:pos="805" w:val="left"/>
        </w:tabs>
        <w:numPr>
          <w:ilvl w:val="0"/>
          <w:numId w:val="528"/>
        </w:numPr>
        <w:rPr>
          <w:rFonts w:ascii="Arial" w:cs="Arial" w:eastAsia="Arial" w:hAnsi="Arial"/>
          <w:sz w:val="16"/>
          <w:szCs w:val="16"/>
          <w:color w:val="auto"/>
        </w:rPr>
      </w:pPr>
      <w:r>
        <w:rPr>
          <w:rFonts w:ascii="Arial" w:cs="Arial" w:eastAsia="Arial" w:hAnsi="Arial"/>
          <w:sz w:val="16"/>
          <w:szCs w:val="16"/>
          <w:color w:val="auto"/>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48" w:lineRule="exact"/>
        <w:rPr>
          <w:rFonts w:ascii="Arial" w:cs="Arial" w:eastAsia="Arial" w:hAnsi="Arial"/>
          <w:sz w:val="16"/>
          <w:szCs w:val="16"/>
          <w:color w:val="auto"/>
        </w:rPr>
      </w:pPr>
    </w:p>
    <w:p>
      <w:pPr>
        <w:ind w:left="120" w:right="20" w:firstLine="436"/>
        <w:spacing w:after="0" w:line="277" w:lineRule="auto"/>
        <w:tabs>
          <w:tab w:leader="none" w:pos="81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Each subscription agreement shall designate a whole percentage of such Eligible Employee’s Compensation to be withheld by the Company or the Designated Subsidiary employing such Eligible Employee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120"/>
          </w:cols>
          <w:pgMar w:left="320" w:top="460" w:right="459" w:bottom="1440" w:gutter="0" w:footer="0" w:header="0"/>
        </w:sectPr>
      </w:pPr>
    </w:p>
    <w:bookmarkStart w:id="614" w:name="page615"/>
    <w:bookmarkEnd w:id="6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spacing w:after="0" w:line="187" w:lineRule="exact"/>
        <w:rPr>
          <w:sz w:val="20"/>
          <w:szCs w:val="20"/>
          <w:color w:val="auto"/>
        </w:rPr>
      </w:pPr>
    </w:p>
    <w:p>
      <w:pPr>
        <w:ind w:left="120" w:right="40" w:firstLine="436"/>
        <w:spacing w:after="0" w:line="269" w:lineRule="auto"/>
        <w:tabs>
          <w:tab w:leader="none" w:pos="80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A Participant may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 Any such change or suspension of payroll deductions shall be effective with the first full payroll period following ten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85" w:lineRule="exact"/>
        <w:rPr>
          <w:rFonts w:ascii="Arial" w:cs="Arial" w:eastAsia="Arial" w:hAnsi="Arial"/>
          <w:sz w:val="17"/>
          <w:szCs w:val="17"/>
          <w:color w:val="auto"/>
        </w:rPr>
      </w:pPr>
    </w:p>
    <w:p>
      <w:pPr>
        <w:ind w:left="120" w:right="220" w:firstLine="436"/>
        <w:spacing w:after="0" w:line="308" w:lineRule="auto"/>
        <w:tabs>
          <w:tab w:leader="none" w:pos="81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Common Stock</w:t>
      </w:r>
      <w:r>
        <w:rPr>
          <w:rFonts w:ascii="Arial" w:cs="Arial" w:eastAsia="Arial" w:hAnsi="Arial"/>
          <w:sz w:val="18"/>
          <w:szCs w:val="18"/>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Suspension of Payroll Deductions</w:t>
      </w:r>
      <w:r>
        <w:rPr>
          <w:rFonts w:ascii="Arial" w:cs="Arial" w:eastAsia="Arial" w:hAnsi="Arial"/>
          <w:sz w:val="18"/>
          <w:szCs w:val="18"/>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Foreign Employees</w:t>
      </w:r>
      <w:r>
        <w:rPr>
          <w:rFonts w:ascii="Arial" w:cs="Arial" w:eastAsia="Arial" w:hAnsi="Arial"/>
          <w:sz w:val="18"/>
          <w:szCs w:val="18"/>
          <w:color w:val="auto"/>
        </w:rPr>
        <w:t>. In order to facilitate participation in the Plan, the Administrator may provide for such special terms applicable to Participants who are citizens or residents of a foreign jurisdiction, or who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120"/>
          </w:cols>
          <w:pgMar w:left="320" w:top="460" w:right="459" w:bottom="1440" w:gutter="0" w:footer="0" w:header="0"/>
        </w:sectPr>
      </w:pPr>
    </w:p>
    <w:bookmarkStart w:id="615" w:name="page616"/>
    <w:bookmarkEnd w:id="6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w:t>
      </w:r>
    </w:p>
    <w:p>
      <w:pPr>
        <w:spacing w:after="0" w:line="23"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his or her authorized payroll deduction.</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GRANT AND EXERCISE OF RIGHTS</w:t>
      </w:r>
    </w:p>
    <w:p>
      <w:pPr>
        <w:spacing w:after="0" w:line="211"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360" w:hanging="244"/>
        <w:spacing w:after="0"/>
        <w:tabs>
          <w:tab w:leader="none" w:pos="3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such Participant’s payroll deductions accumulated prior to such Purchase Date and retained in the Participant’s account as of the Purchase Date, by</w:t>
      </w:r>
    </w:p>
    <w:p>
      <w:pPr>
        <w:spacing w:after="0" w:line="32" w:lineRule="exact"/>
        <w:rPr>
          <w:rFonts w:ascii="Arial" w:cs="Arial" w:eastAsia="Arial" w:hAnsi="Arial"/>
          <w:sz w:val="16"/>
          <w:szCs w:val="16"/>
          <w:color w:val="auto"/>
        </w:rPr>
      </w:pPr>
    </w:p>
    <w:p>
      <w:pPr>
        <w:ind w:left="120" w:hanging="4"/>
        <w:spacing w:after="0" w:line="323" w:lineRule="auto"/>
        <w:tabs>
          <w:tab w:leader="none" w:pos="375" w:val="left"/>
        </w:tabs>
        <w:numPr>
          <w:ilvl w:val="0"/>
          <w:numId w:val="530"/>
        </w:numPr>
        <w:rPr>
          <w:rFonts w:ascii="Arial" w:cs="Arial" w:eastAsia="Arial" w:hAnsi="Arial"/>
          <w:sz w:val="16"/>
          <w:szCs w:val="16"/>
          <w:color w:val="auto"/>
        </w:rPr>
      </w:pPr>
      <w:r>
        <w:rPr>
          <w:rFonts w:ascii="Arial" w:cs="Arial" w:eastAsia="Arial" w:hAnsi="Arial"/>
          <w:sz w:val="16"/>
          <w:szCs w:val="16"/>
          <w:color w:val="auto"/>
        </w:rPr>
        <w:t>the applicable Purchase Price (rounded down to the nearest Share). The right shall expire on the earlier of: (x) the last Purchase Date of such Offering Period, (y) last day of such Offering Period and (z) the date on which such Participant withdraws in accordance with Section 7.1 or Section 7.3.</w:t>
      </w:r>
    </w:p>
    <w:p>
      <w:pPr>
        <w:spacing w:after="0" w:line="13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Exercise of Rights</w:t>
      </w:r>
      <w:r>
        <w:rPr>
          <w:rFonts w:ascii="Arial" w:cs="Arial" w:eastAsia="Arial" w:hAnsi="Arial"/>
          <w:sz w:val="17"/>
          <w:szCs w:val="17"/>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spacing w:after="0" w:line="17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Pro Rata Allocation of Shares</w:t>
      </w:r>
      <w:r>
        <w:rPr>
          <w:rFonts w:ascii="Arial" w:cs="Arial" w:eastAsia="Arial" w:hAnsi="Arial"/>
          <w:sz w:val="16"/>
          <w:szCs w:val="16"/>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left="120" w:right="20" w:hanging="4"/>
        <w:spacing w:after="0" w:line="253" w:lineRule="auto"/>
        <w:tabs>
          <w:tab w:leader="none" w:pos="38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100"/>
          </w:cols>
          <w:pgMar w:left="320" w:top="460" w:right="479" w:bottom="1440" w:gutter="0" w:footer="0" w:header="0"/>
        </w:sectPr>
      </w:pPr>
    </w:p>
    <w:bookmarkStart w:id="616" w:name="page617"/>
    <w:bookmarkEnd w:id="6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Withholding</w:t>
      </w:r>
      <w:r>
        <w:rPr>
          <w:rFonts w:ascii="Arial" w:cs="Arial" w:eastAsia="Arial" w:hAnsi="Arial"/>
          <w:sz w:val="16"/>
          <w:szCs w:val="16"/>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61"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Conditions to Issuance of Common Stock</w:t>
      </w:r>
      <w:r>
        <w:rPr>
          <w:rFonts w:ascii="Arial" w:cs="Arial" w:eastAsia="Arial" w:hAnsi="Arial"/>
          <w:sz w:val="16"/>
          <w:szCs w:val="16"/>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24" w:lineRule="exact"/>
        <w:rPr>
          <w:sz w:val="20"/>
          <w:szCs w:val="20"/>
          <w:color w:val="auto"/>
        </w:rPr>
      </w:pPr>
    </w:p>
    <w:p>
      <w:pPr>
        <w:ind w:left="800" w:hanging="244"/>
        <w:spacing w:after="0"/>
        <w:tabs>
          <w:tab w:leader="none" w:pos="8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Common Stock is then listed;</w:t>
      </w:r>
    </w:p>
    <w:p>
      <w:pPr>
        <w:spacing w:after="0" w:line="225" w:lineRule="exact"/>
        <w:rPr>
          <w:rFonts w:ascii="Arial" w:cs="Arial" w:eastAsia="Arial" w:hAnsi="Arial"/>
          <w:sz w:val="18"/>
          <w:szCs w:val="18"/>
          <w:color w:val="auto"/>
        </w:rPr>
      </w:pPr>
    </w:p>
    <w:p>
      <w:pPr>
        <w:jc w:val="both"/>
        <w:ind w:left="120" w:right="20" w:firstLine="436"/>
        <w:spacing w:after="0" w:line="263" w:lineRule="auto"/>
        <w:tabs>
          <w:tab w:leader="none" w:pos="81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83" w:lineRule="exact"/>
        <w:rPr>
          <w:rFonts w:ascii="Arial" w:cs="Arial" w:eastAsia="Arial" w:hAnsi="Arial"/>
          <w:sz w:val="18"/>
          <w:szCs w:val="18"/>
          <w:color w:val="auto"/>
        </w:rPr>
      </w:pPr>
    </w:p>
    <w:p>
      <w:pPr>
        <w:ind w:left="120" w:right="300" w:firstLine="436"/>
        <w:spacing w:after="0" w:line="277" w:lineRule="auto"/>
        <w:tabs>
          <w:tab w:leader="none" w:pos="80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that the Administrator shall, in its absolute discretion, determine to be necessary or advisable;</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The payment to the Company of all amounts that it is required to withhold under federal, state or local law upon exercise of the rights, if any;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20" w:right="520" w:firstLine="436"/>
        <w:spacing w:after="0" w:line="277" w:lineRule="auto"/>
        <w:tabs>
          <w:tab w:leader="none" w:pos="80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rights as the Administrator may from time to time establish for reasons of administrative convenience.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WITHDRAWAL; CESSATION OF ELIGIBILITY</w:t>
      </w:r>
    </w:p>
    <w:p>
      <w:pPr>
        <w:spacing w:after="0" w:line="21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8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Cessation of Eligibility</w:t>
      </w:r>
      <w:r>
        <w:rPr>
          <w:rFonts w:ascii="Arial" w:cs="Arial" w:eastAsia="Arial" w:hAnsi="Arial"/>
          <w:sz w:val="18"/>
          <w:szCs w:val="18"/>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120"/>
          </w:cols>
          <w:pgMar w:left="320" w:top="460" w:right="459" w:bottom="1440" w:gutter="0" w:footer="0" w:header="0"/>
        </w:sectPr>
      </w:pPr>
    </w:p>
    <w:bookmarkStart w:id="617" w:name="page618"/>
    <w:bookmarkEnd w:id="6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ADJUSTMENTS UPON CHANGES IN STOCK</w:t>
      </w:r>
    </w:p>
    <w:p>
      <w:pPr>
        <w:spacing w:after="0" w:line="21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7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95" w:lineRule="exact"/>
        <w:rPr>
          <w:sz w:val="20"/>
          <w:szCs w:val="20"/>
          <w:color w:val="auto"/>
        </w:rPr>
      </w:pPr>
    </w:p>
    <w:p>
      <w:pPr>
        <w:ind w:left="120" w:firstLine="436"/>
        <w:spacing w:after="0" w:line="263" w:lineRule="auto"/>
        <w:tabs>
          <w:tab w:leader="none" w:pos="80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83" w:lineRule="exact"/>
        <w:rPr>
          <w:rFonts w:ascii="Arial" w:cs="Arial" w:eastAsia="Arial" w:hAnsi="Arial"/>
          <w:sz w:val="18"/>
          <w:szCs w:val="18"/>
          <w:color w:val="auto"/>
        </w:rPr>
      </w:pPr>
    </w:p>
    <w:p>
      <w:pPr>
        <w:ind w:left="120" w:right="260" w:firstLine="436"/>
        <w:spacing w:after="0" w:line="263" w:lineRule="auto"/>
        <w:tabs>
          <w:tab w:leader="none" w:pos="81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83" w:lineRule="exact"/>
        <w:rPr>
          <w:rFonts w:ascii="Arial" w:cs="Arial" w:eastAsia="Arial" w:hAnsi="Arial"/>
          <w:sz w:val="18"/>
          <w:szCs w:val="18"/>
          <w:color w:val="auto"/>
        </w:rPr>
      </w:pPr>
    </w:p>
    <w:p>
      <w:pPr>
        <w:ind w:left="120" w:right="200" w:firstLine="436"/>
        <w:spacing w:after="0" w:line="277" w:lineRule="auto"/>
        <w:tabs>
          <w:tab w:leader="none" w:pos="80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70" w:lineRule="exact"/>
        <w:rPr>
          <w:rFonts w:ascii="Arial" w:cs="Arial" w:eastAsia="Arial" w:hAnsi="Arial"/>
          <w:sz w:val="18"/>
          <w:szCs w:val="18"/>
          <w:color w:val="auto"/>
        </w:rPr>
      </w:pPr>
    </w:p>
    <w:p>
      <w:pPr>
        <w:ind w:left="120" w:right="300" w:firstLine="436"/>
        <w:spacing w:after="0" w:line="263" w:lineRule="auto"/>
        <w:tabs>
          <w:tab w:leader="none" w:pos="81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183" w:lineRule="exact"/>
        <w:rPr>
          <w:rFonts w:ascii="Arial" w:cs="Arial" w:eastAsia="Arial" w:hAnsi="Arial"/>
          <w:sz w:val="18"/>
          <w:szCs w:val="18"/>
          <w:color w:val="auto"/>
        </w:rPr>
      </w:pPr>
    </w:p>
    <w:p>
      <w:pPr>
        <w:ind w:left="800" w:hanging="244"/>
        <w:spacing w:after="0"/>
        <w:tabs>
          <w:tab w:leader="none" w:pos="8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provide that all outstanding rights shall terminate without being exercised.</w:t>
      </w:r>
    </w:p>
    <w:p>
      <w:pPr>
        <w:spacing w:after="0" w:line="22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 Adjustment Under Certain Circumstances</w:t>
      </w:r>
      <w:r>
        <w:rPr>
          <w:rFonts w:ascii="Arial" w:cs="Arial" w:eastAsia="Arial" w:hAnsi="Arial"/>
          <w:sz w:val="16"/>
          <w:szCs w:val="16"/>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H-9</w:t>
      </w:r>
    </w:p>
    <w:p>
      <w:pPr>
        <w:sectPr>
          <w:pgSz w:w="11900" w:h="16838" w:orient="portrait"/>
          <w:cols w:equalWidth="0" w:num="1">
            <w:col w:w="11100"/>
          </w:cols>
          <w:pgMar w:left="320" w:top="460" w:right="479" w:bottom="1440" w:gutter="0" w:footer="0" w:header="0"/>
        </w:sectPr>
      </w:pPr>
    </w:p>
    <w:bookmarkStart w:id="618" w:name="page619"/>
    <w:bookmarkEnd w:id="6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xml:space="preserve">. The Administrator may amend, suspend or terminate the Plan at any time and from time to time;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w:t>
      </w:r>
    </w:p>
    <w:p>
      <w:pPr>
        <w:spacing w:after="0" w:line="1" w:lineRule="exact"/>
        <w:rPr>
          <w:sz w:val="20"/>
          <w:szCs w:val="20"/>
          <w:color w:val="auto"/>
        </w:rPr>
      </w:pPr>
    </w:p>
    <w:p>
      <w:pPr>
        <w:ind w:left="120" w:right="40" w:hanging="4"/>
        <w:spacing w:after="0" w:line="260" w:lineRule="auto"/>
        <w:tabs>
          <w:tab w:leader="none" w:pos="36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change the Plan in any manner that would cause the Plan to no longer be an “employee stock purchase plan” within the meaning of Section 423(b) of the Code.</w:t>
      </w:r>
    </w:p>
    <w:p>
      <w:pPr>
        <w:spacing w:after="0" w:line="18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Changes to Plan</w:t>
      </w:r>
      <w:r>
        <w:rPr>
          <w:rFonts w:ascii="Arial" w:cs="Arial" w:eastAsia="Arial" w:hAnsi="Arial"/>
          <w:sz w:val="17"/>
          <w:szCs w:val="17"/>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7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65" w:lineRule="exact"/>
        <w:rPr>
          <w:sz w:val="20"/>
          <w:szCs w:val="20"/>
          <w:color w:val="auto"/>
        </w:rPr>
      </w:pPr>
    </w:p>
    <w:p>
      <w:pPr>
        <w:ind w:left="800" w:hanging="244"/>
        <w:spacing w:after="0"/>
        <w:tabs>
          <w:tab w:leader="none" w:pos="80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altering the Purchase Price for any Offering Period including an Offering Period underway at the time of the change in Purchase Price;</w:t>
      </w:r>
    </w:p>
    <w:p>
      <w:pPr>
        <w:spacing w:after="0" w:line="236" w:lineRule="exact"/>
        <w:rPr>
          <w:rFonts w:ascii="Arial" w:cs="Arial" w:eastAsia="Arial" w:hAnsi="Arial"/>
          <w:sz w:val="17"/>
          <w:szCs w:val="17"/>
          <w:color w:val="auto"/>
        </w:rPr>
      </w:pPr>
    </w:p>
    <w:p>
      <w:pPr>
        <w:ind w:left="120" w:right="60" w:firstLine="436"/>
        <w:spacing w:after="0" w:line="277" w:lineRule="auto"/>
        <w:tabs>
          <w:tab w:leader="none" w:pos="81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11140"/>
          </w:cols>
          <w:pgMar w:left="320" w:top="460" w:right="439" w:bottom="1440" w:gutter="0" w:footer="0" w:header="0"/>
        </w:sectPr>
      </w:pPr>
    </w:p>
    <w:bookmarkStart w:id="619" w:name="page620"/>
    <w:bookmarkEnd w:id="6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 OF PLAN</w:t>
      </w:r>
    </w:p>
    <w:p>
      <w:pPr>
        <w:spacing w:after="0" w:line="21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Board may at any time vest in the Board any authority or duties for administration of the Plan.</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Action by the Administrator</w:t>
      </w:r>
      <w:r>
        <w:rPr>
          <w:rFonts w:ascii="Arial" w:cs="Arial" w:eastAsia="Arial" w:hAnsi="Arial"/>
          <w:sz w:val="16"/>
          <w:szCs w:val="16"/>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Authority of Administrator. The Administrator shall have the power, subject to,</w:t>
      </w:r>
      <w:r>
        <w:rPr>
          <w:rFonts w:ascii="Arial" w:cs="Arial" w:eastAsia="Arial" w:hAnsi="Arial"/>
          <w:sz w:val="17"/>
          <w:szCs w:val="17"/>
          <w:color w:val="auto"/>
        </w:rPr>
        <w:t xml:space="preserve"> and within the limitations of, the express provisions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20" w:right="240" w:firstLine="436"/>
        <w:spacing w:after="0" w:line="277" w:lineRule="auto"/>
        <w:tabs>
          <w:tab w:leader="none" w:pos="80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determine when and how rights to purchase Shares shall be granted and the provisions of each offering of such rights (which need not be identical).</w:t>
      </w:r>
    </w:p>
    <w:p>
      <w:pPr>
        <w:spacing w:after="0" w:line="170" w:lineRule="exact"/>
        <w:rPr>
          <w:rFonts w:ascii="Arial" w:cs="Arial" w:eastAsia="Arial" w:hAnsi="Arial"/>
          <w:sz w:val="18"/>
          <w:szCs w:val="18"/>
          <w:color w:val="auto"/>
        </w:rPr>
      </w:pPr>
    </w:p>
    <w:p>
      <w:pPr>
        <w:ind w:left="120" w:right="100" w:firstLine="436"/>
        <w:spacing w:after="0" w:line="277" w:lineRule="auto"/>
        <w:tabs>
          <w:tab w:leader="none" w:pos="81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w:t>
      </w:r>
    </w:p>
    <w:p>
      <w:pPr>
        <w:spacing w:after="0" w:line="170" w:lineRule="exact"/>
        <w:rPr>
          <w:rFonts w:ascii="Arial" w:cs="Arial" w:eastAsia="Arial" w:hAnsi="Arial"/>
          <w:sz w:val="18"/>
          <w:szCs w:val="18"/>
          <w:color w:val="auto"/>
        </w:rPr>
      </w:pPr>
    </w:p>
    <w:p>
      <w:pPr>
        <w:ind w:left="120" w:right="180" w:firstLine="436"/>
        <w:spacing w:after="0" w:line="263" w:lineRule="auto"/>
        <w:tabs>
          <w:tab w:leader="none" w:pos="80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225" w:lineRule="exact"/>
        <w:rPr>
          <w:rFonts w:ascii="Arial" w:cs="Arial" w:eastAsia="Arial" w:hAnsi="Arial"/>
          <w:sz w:val="18"/>
          <w:szCs w:val="18"/>
          <w:color w:val="auto"/>
        </w:rPr>
      </w:pPr>
    </w:p>
    <w:p>
      <w:pPr>
        <w:ind w:left="120" w:right="40" w:firstLine="436"/>
        <w:spacing w:after="0" w:line="263" w:lineRule="auto"/>
        <w:tabs>
          <w:tab w:leader="none" w:pos="80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120"/>
          </w:cols>
          <w:pgMar w:left="320" w:top="460" w:right="459" w:bottom="1440" w:gutter="0" w:footer="0" w:header="0"/>
        </w:sectPr>
      </w:pPr>
    </w:p>
    <w:bookmarkStart w:id="620" w:name="page621"/>
    <w:bookmarkEnd w:id="6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Stockholder</w:t>
      </w:r>
      <w:r>
        <w:rPr>
          <w:rFonts w:ascii="Arial" w:cs="Arial" w:eastAsia="Arial" w:hAnsi="Arial"/>
          <w:sz w:val="17"/>
          <w:szCs w:val="17"/>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293" w:lineRule="auto"/>
        <w:tabs>
          <w:tab w:leader="none" w:pos="805"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64" w:lineRule="exact"/>
        <w:rPr>
          <w:rFonts w:ascii="Arial" w:cs="Arial" w:eastAsia="Arial" w:hAnsi="Arial"/>
          <w:sz w:val="16"/>
          <w:szCs w:val="16"/>
          <w:color w:val="auto"/>
        </w:rPr>
      </w:pPr>
    </w:p>
    <w:p>
      <w:pPr>
        <w:ind w:left="120" w:right="60" w:firstLine="436"/>
        <w:spacing w:after="0" w:line="255" w:lineRule="auto"/>
        <w:tabs>
          <w:tab w:leader="none" w:pos="815" w:val="left"/>
        </w:tabs>
        <w:numPr>
          <w:ilvl w:val="0"/>
          <w:numId w:val="537"/>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120"/>
          </w:cols>
          <w:pgMar w:left="320" w:top="460" w:right="459" w:bottom="1440" w:gutter="0" w:footer="0" w:header="0"/>
        </w:sectPr>
      </w:pPr>
    </w:p>
    <w:bookmarkStart w:id="621" w:name="page622"/>
    <w:bookmarkEnd w:id="6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7" w:lineRule="exact"/>
        <w:rPr>
          <w:sz w:val="20"/>
          <w:szCs w:val="20"/>
          <w:color w:val="auto"/>
        </w:rPr>
      </w:pPr>
    </w:p>
    <w:p>
      <w:pPr>
        <w:ind w:left="4660"/>
        <w:spacing w:after="0"/>
        <w:tabs>
          <w:tab w:leader="none" w:pos="5080" w:val="left"/>
          <w:tab w:leader="none" w:pos="5540" w:val="left"/>
          <w:tab w:leader="none" w:pos="6040" w:val="left"/>
          <w:tab w:leader="none" w:pos="6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100"/>
          </w:cols>
          <w:pgMar w:left="320" w:top="460" w:right="479" w:bottom="1440" w:gutter="0" w:footer="0" w:header="0"/>
        </w:sectPr>
      </w:pPr>
    </w:p>
    <w:bookmarkStart w:id="622" w:name="page623"/>
    <w:bookmarkEnd w:id="6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SPONSOR SUPPORT AGREEMENT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Sponsor Support Agreement (this “</w:t>
      </w:r>
      <w:r>
        <w:rPr>
          <w:rFonts w:ascii="Arial" w:cs="Arial" w:eastAsia="Arial" w:hAnsi="Arial"/>
          <w:sz w:val="17"/>
          <w:szCs w:val="17"/>
          <w:u w:val="single" w:color="auto"/>
          <w:color w:val="auto"/>
        </w:rPr>
        <w:t>Sponsor Agreement</w:t>
      </w:r>
      <w:r>
        <w:rPr>
          <w:rFonts w:ascii="Arial" w:cs="Arial" w:eastAsia="Arial" w:hAnsi="Arial"/>
          <w:sz w:val="17"/>
          <w:szCs w:val="17"/>
          <w:color w:val="auto"/>
        </w:rPr>
        <w:t>”) is dated as of January 12, 2021 by and among HEC Sponsor LLC,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Delaware limited liability company (the “</w:t>
      </w:r>
      <w:r>
        <w:rPr>
          <w:rFonts w:ascii="Arial" w:cs="Arial" w:eastAsia="Arial" w:hAnsi="Arial"/>
          <w:sz w:val="17"/>
          <w:szCs w:val="17"/>
          <w:u w:val="single" w:color="auto"/>
          <w:color w:val="auto"/>
        </w:rPr>
        <w:t>Sponsor Holdco</w:t>
      </w:r>
      <w:r>
        <w:rPr>
          <w:rFonts w:ascii="Arial" w:cs="Arial" w:eastAsia="Arial" w:hAnsi="Arial"/>
          <w:sz w:val="17"/>
          <w:szCs w:val="17"/>
          <w:color w:val="auto"/>
        </w:rPr>
        <w:t xml:space="preserve">”), the Persons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(together with the Sponsor Holdco, each,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and,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Hudson Executive Investment Corp., a Delaware corporation (as defined in the Merger Agreement (as defined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below)) (“</w:t>
      </w:r>
      <w:r>
        <w:rPr>
          <w:rFonts w:ascii="Arial" w:cs="Arial" w:eastAsia="Arial" w:hAnsi="Arial"/>
          <w:sz w:val="17"/>
          <w:szCs w:val="17"/>
          <w:u w:val="single" w:color="auto"/>
          <w:color w:val="auto"/>
        </w:rPr>
        <w:t>Acquiror</w:t>
      </w:r>
      <w:r>
        <w:rPr>
          <w:rFonts w:ascii="Arial" w:cs="Arial" w:eastAsia="Arial" w:hAnsi="Arial"/>
          <w:sz w:val="17"/>
          <w:szCs w:val="17"/>
          <w:color w:val="auto"/>
        </w:rPr>
        <w:t>”), and Groop Internet Platform, Inc. (d/b/a Talkspace),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Capitalized terms used but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defined herein shall have the respective meanings ascribed to such terms in the Merger Agreement.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 xml:space="preserve">WHEREAS, as of the date hereof, the Sponsors collectively are the holders of record and the “beneficial owners” (within the meaning of Rule 13d-3 under the Exchange Act) of 10,350,000 shares of Acquiror Class B Common Stock and 10,280,000 Acquiror Warrants in the aggregate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WHEREAS, contemporaneously with the execution and delivery of this Sponsor Agreement, Acquiror, Merger Sub I, Merger Sub II and the Company, have entered into an Agreement and Plan of Merger (as amended or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as of the date hereof, pursuant to which, among other transactions, following completion of the Mergers, the Company will become a wholly owned subsidiary of Acquiror, on the terms and conditions set forth therein; and</w:t>
      </w:r>
    </w:p>
    <w:p>
      <w:pPr>
        <w:spacing w:after="0" w:line="187"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WHEREAS, as an inducement to Acquiror and the Company to enter into the Merger Agreement and to consummate the transactions contemplated therein, the parties hereto desire to agree to certain matters as set forth herein.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NOW, THEREFORE, in consideration of the foregoing and the mutual agreements contained herein, and intending to be legally bound hereby, the parties hereto hereby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SPONSOR SUPPORT AGREEMENT; COVENANTS</w:t>
      </w:r>
    </w:p>
    <w:p>
      <w:pPr>
        <w:spacing w:after="0" w:line="211" w:lineRule="exact"/>
        <w:rPr>
          <w:sz w:val="20"/>
          <w:szCs w:val="20"/>
          <w:color w:val="auto"/>
        </w:rPr>
      </w:pPr>
    </w:p>
    <w:p>
      <w:pPr>
        <w:ind w:left="120" w:right="260" w:firstLine="991"/>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Binding Effect of Merger Agreement</w:t>
      </w:r>
      <w:r>
        <w:rPr>
          <w:rFonts w:ascii="Arial" w:cs="Arial" w:eastAsia="Arial" w:hAnsi="Arial"/>
          <w:sz w:val="17"/>
          <w:szCs w:val="17"/>
          <w:color w:val="auto"/>
        </w:rPr>
        <w:t xml:space="preserve">. Each Sponsor hereby acknowledges that it has read the Merger Agreement and this Sponsor Agreement and has had the opportunity to consult with its tax and legal advisors. Each Sponsor shall be bound by and comply with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9.03(b)</w:t>
      </w:r>
      <w:r>
        <w:rPr>
          <w:rFonts w:ascii="Arial" w:cs="Arial" w:eastAsia="Arial" w:hAnsi="Arial"/>
          <w:sz w:val="17"/>
          <w:szCs w:val="17"/>
          <w:color w:val="auto"/>
        </w:rPr>
        <w:t xml:space="preserve"> (</w:t>
      </w:r>
      <w:r>
        <w:rPr>
          <w:rFonts w:ascii="Arial" w:cs="Arial" w:eastAsia="Arial" w:hAnsi="Arial"/>
          <w:sz w:val="17"/>
          <w:szCs w:val="17"/>
          <w:i w:val="1"/>
          <w:iCs w:val="1"/>
          <w:color w:val="auto"/>
        </w:rPr>
        <w:t>Exclusivity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9.05</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of the Merger Agreement (and any relevant definitions contained in any such sections) as if such Sponsor was an original signatory to the Merger Agreement with respect to such provisions.</w:t>
      </w:r>
    </w:p>
    <w:p>
      <w:pPr>
        <w:spacing w:after="0" w:line="171"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Transfer</w:t>
      </w:r>
      <w:r>
        <w:rPr>
          <w:rFonts w:ascii="Arial" w:cs="Arial" w:eastAsia="Arial" w:hAnsi="Arial"/>
          <w:sz w:val="18"/>
          <w:szCs w:val="18"/>
          <w:color w:val="auto"/>
        </w:rPr>
        <w:t>. During the period commencing on the date hereof and ending on the earlier of (a) the Closing and (b) the liquidation of Acquiror, each Sponsor shall not (i) sell, assign, offer to sell, contract or agree to sell, hypothecate, pledge, grant any option to purchase or otherwise dispose of or agree to dispose of, directly or indirectly, file (or participate in the filing of) a registration statement with the SEC (other than the Registration Statement) or establish or increase a put equivalent position or liquidate or decrease a call equivalent position within the meaning of Section 16 of the Exchange Act, with respect to any Acquiror Common Stock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140"/>
          </w:cols>
          <w:pgMar w:left="320" w:top="460" w:right="439" w:bottom="1440" w:gutter="0" w:footer="0" w:header="0"/>
        </w:sectPr>
      </w:pPr>
    </w:p>
    <w:bookmarkStart w:id="623" w:name="page624"/>
    <w:bookmarkEnd w:id="6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Acquiror Warrants owned by such Sponsor, (ii) enter into any swap or other arrangement that transfers to another, in whole or in part, any of the economic consequences of ownership of any shares of Acquiror Common Stock or Acquiror Warrants owned by such Sponsor or (iii) publicly announce any intention to effect any transaction specified in clause (i) or (ii) (the actions specified in clauses (i) to (iii), “</w:t>
      </w:r>
      <w:r>
        <w:rPr>
          <w:rFonts w:ascii="Arial" w:cs="Arial" w:eastAsia="Arial" w:hAnsi="Arial"/>
          <w:sz w:val="17"/>
          <w:szCs w:val="17"/>
          <w:u w:val="single" w:color="auto"/>
          <w:color w:val="auto"/>
        </w:rPr>
        <w:t>Transfer</w:t>
      </w:r>
      <w:r>
        <w:rPr>
          <w:rFonts w:ascii="Arial" w:cs="Arial" w:eastAsia="Arial" w:hAnsi="Arial"/>
          <w:sz w:val="17"/>
          <w:szCs w:val="17"/>
          <w:color w:val="auto"/>
        </w:rPr>
        <w:t>”).</w:t>
      </w:r>
    </w:p>
    <w:p>
      <w:pPr>
        <w:spacing w:after="0" w:line="165"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New Shares</w:t>
      </w:r>
      <w:r>
        <w:rPr>
          <w:rFonts w:ascii="Arial" w:cs="Arial" w:eastAsia="Arial" w:hAnsi="Arial"/>
          <w:sz w:val="17"/>
          <w:szCs w:val="17"/>
          <w:color w:val="auto"/>
        </w:rPr>
        <w:t>. In the event that (a) any Acquiror Common Stock, Acquiror Warrants or other equity securities of Acquiror are issued to a Sponsor after the date of this Sponsor Agreement pursuant to any stock dividend, stock split, recapitalization, reclassification, combination or exchange of Acquiror Common Stock or Acquiror Warrants of, on or affecting the Acquiror Common Stock or Acquiror Warrants owned by such Sponsor or otherwise, (b) a Sponsor purchases or otherwise acquires beneficial ownership of any Acquiror Common Stock, Acquiror Warrants or other equity securities of Acquiror after the date of this Sponsor Agreement, or (c) a Sponsor acquires the right to vote or share in the voting of any Acquiror Common Stock or other equity securities of Acquiror after the date of this Sponsor Agreement (such Acquiror Common Stock, Acquiror Warrants or other equity securities of Acquiror, collectively the “New Securities”), then such New Securities acquired or purchased by such Sponsor shall be subject to the terms of this Sponsor Agreement to the same extent as if they constituted the Acquiror Common Stock or Acquiror Warrants owned by such Sponsor as of the date hereof.</w:t>
      </w:r>
    </w:p>
    <w:p>
      <w:pPr>
        <w:spacing w:after="0" w:line="181"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On the Closing Date, the Sponsor Holdco shall deliver to Acquiror and the Company a duly executed copy of that certain Amended and Restated Registration Rights Agreement, by and among Acquiror, the Company, the Sponsor Holdco and certain of the Company’s stockholders or their respective affiliates, as applicable, in substantially the form attached as Exhibit C to the Merger Agreement.</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Sponsor Agreements</w:t>
      </w:r>
      <w:r>
        <w:rPr>
          <w:rFonts w:ascii="Arial" w:cs="Arial" w:eastAsia="Arial" w:hAnsi="Arial"/>
          <w:sz w:val="18"/>
          <w:szCs w:val="18"/>
          <w:color w:val="auto"/>
        </w:rPr>
        <w:t>.</w:t>
      </w:r>
    </w:p>
    <w:p>
      <w:pPr>
        <w:spacing w:after="0" w:line="225" w:lineRule="exact"/>
        <w:rPr>
          <w:sz w:val="20"/>
          <w:szCs w:val="20"/>
          <w:color w:val="auto"/>
        </w:rPr>
      </w:pPr>
    </w:p>
    <w:p>
      <w:pPr>
        <w:ind w:left="120" w:right="80" w:firstLine="1428"/>
        <w:spacing w:after="0" w:line="257" w:lineRule="auto"/>
        <w:tabs>
          <w:tab w:leader="none" w:pos="1797"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At any duly called meeting of the shareholders of Acquiror or at any adjournment thereof, or in any other circumstance in which the vote, consent or other approval of the shareholders of Acquiror is sought, in each case, as contemplated by the Merger Agreement, each Sponsor shall (i) appear at each such meeting or otherwise cause all of its Acquiror Common Stock to be counted as present thereat for purposes of calculating a quorum and (ii) vote (or cause to be voted), or execute and deliver a written consent (or cause a written consent to be executed and delivered) covering, all of its Acquiror Common Stock:</w:t>
      </w:r>
    </w:p>
    <w:p>
      <w:pPr>
        <w:spacing w:after="0" w:line="79" w:lineRule="exact"/>
        <w:rPr>
          <w:rFonts w:ascii="Arial" w:cs="Arial" w:eastAsia="Arial" w:hAnsi="Arial"/>
          <w:sz w:val="18"/>
          <w:szCs w:val="18"/>
          <w:color w:val="auto"/>
        </w:rPr>
      </w:pPr>
    </w:p>
    <w:p>
      <w:pPr>
        <w:ind w:left="2140" w:hanging="209"/>
        <w:spacing w:after="0"/>
        <w:tabs>
          <w:tab w:leader="none" w:pos="214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in favor of the Transactions;</w:t>
      </w:r>
    </w:p>
    <w:p>
      <w:pPr>
        <w:spacing w:after="0" w:line="117" w:lineRule="exact"/>
        <w:rPr>
          <w:rFonts w:ascii="Arial" w:cs="Arial" w:eastAsia="Arial" w:hAnsi="Arial"/>
          <w:sz w:val="18"/>
          <w:szCs w:val="18"/>
          <w:color w:val="auto"/>
        </w:rPr>
      </w:pPr>
    </w:p>
    <w:p>
      <w:pPr>
        <w:ind w:left="560" w:right="340" w:firstLine="1371"/>
        <w:spacing w:after="0" w:line="277" w:lineRule="auto"/>
        <w:tabs>
          <w:tab w:leader="none" w:pos="22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against any Business Combination Proposal or any proposal relating to a Business Combination Proposal (in each case, other than the Transactions);</w:t>
      </w:r>
    </w:p>
    <w:p>
      <w:pPr>
        <w:spacing w:after="0" w:line="62" w:lineRule="exact"/>
        <w:rPr>
          <w:rFonts w:ascii="Arial" w:cs="Arial" w:eastAsia="Arial" w:hAnsi="Arial"/>
          <w:sz w:val="18"/>
          <w:szCs w:val="18"/>
          <w:color w:val="auto"/>
        </w:rPr>
      </w:pPr>
    </w:p>
    <w:p>
      <w:pPr>
        <w:ind w:left="560" w:right="100" w:firstLine="1371"/>
        <w:spacing w:after="0" w:line="277" w:lineRule="auto"/>
        <w:tabs>
          <w:tab w:leader="none" w:pos="225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against any merger agreement or merger (other than the Merger Agreement and the Mergers), consolidation, combination, sale of substantial assets, reorganization, recapitalization, dissolution, liquidation or winding up of or by Acquiror; and</w:t>
      </w:r>
    </w:p>
    <w:p>
      <w:pPr>
        <w:spacing w:after="0" w:line="62" w:lineRule="exact"/>
        <w:rPr>
          <w:rFonts w:ascii="Arial" w:cs="Arial" w:eastAsia="Arial" w:hAnsi="Arial"/>
          <w:sz w:val="18"/>
          <w:szCs w:val="18"/>
          <w:color w:val="auto"/>
        </w:rPr>
      </w:pPr>
    </w:p>
    <w:p>
      <w:pPr>
        <w:ind w:left="560" w:right="100" w:firstLine="1371"/>
        <w:spacing w:after="0" w:line="257" w:lineRule="auto"/>
        <w:tabs>
          <w:tab w:leader="none" w:pos="2239"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against any proposal, action or agreement that would (A) impede, frustrate, prevent or nullify any provision of this Agreement, the Merger Agreement or any Merger, (B) result in a breach in any respect of any covenant, representation, warranty or any other obligation or agreement of Acquiror, Merger Sub I or the Merger Sub II under the Merger Agreement, (C) result in any of the conditions set forth in Section 10.03 of the Merger Agreement not being fulfilled or (D) change in any manner the dividend policy or capitalization of, including the voting rights of any class of capital stock of, Acquiror.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Sponsor hereby agrees that it shall not commit or agree to take any action inconsistent with the foregoing.</w:t>
      </w:r>
    </w:p>
    <w:p>
      <w:pPr>
        <w:spacing w:after="0" w:line="225" w:lineRule="exact"/>
        <w:rPr>
          <w:sz w:val="20"/>
          <w:szCs w:val="20"/>
          <w:color w:val="auto"/>
        </w:rPr>
      </w:pPr>
    </w:p>
    <w:p>
      <w:pPr>
        <w:ind w:left="120" w:right="500" w:firstLine="1428"/>
        <w:spacing w:after="0" w:line="277" w:lineRule="auto"/>
        <w:tabs>
          <w:tab w:leader="none" w:pos="1807"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Each Sponsor shall comply with, and fully perform all of its obligations, covenants and agreements set forth in, the Insider Letter, including the obligations of the Sponsors pursuant to Section 1 therein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120"/>
          </w:cols>
          <w:pgMar w:left="320" w:top="460" w:right="459" w:bottom="1440" w:gutter="0" w:footer="0" w:header="0"/>
        </w:sectPr>
      </w:pPr>
    </w:p>
    <w:bookmarkStart w:id="624" w:name="page625"/>
    <w:bookmarkEnd w:id="6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not redeem any Acquiror Common Stock owned by such Sponsor in connection with the transactions contemplated by the Merger Agreement.</w:t>
      </w:r>
    </w:p>
    <w:p>
      <w:pPr>
        <w:spacing w:after="0" w:line="237" w:lineRule="exact"/>
        <w:rPr>
          <w:sz w:val="20"/>
          <w:szCs w:val="20"/>
          <w:color w:val="auto"/>
        </w:rPr>
      </w:pPr>
    </w:p>
    <w:p>
      <w:pPr>
        <w:ind w:left="120" w:firstLine="1428"/>
        <w:spacing w:after="0" w:line="259" w:lineRule="auto"/>
        <w:tabs>
          <w:tab w:leader="none" w:pos="1797"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xml:space="preserve">During the period commencing on the date hereof and ending on the earlier of the consummation of the Closing and the termination of the Merger Agreement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thereof, each Sponsor shall not modify or amend any Contract between or among such Sponsor, anyone related by blood, marriage or adoption to such Sponsor or any Affiliate of such Sponsor (other than Acquiror or any of its Subsidiaries), on the one hand, and Acquiror or any of Acquiror’s Subsidiaries, on the other hand.</w:t>
      </w:r>
    </w:p>
    <w:p>
      <w:pPr>
        <w:spacing w:after="0" w:line="187"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Sponsor shall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w:t>
      </w:r>
    </w:p>
    <w:p>
      <w:pPr>
        <w:spacing w:after="0" w:line="184" w:lineRule="exact"/>
        <w:rPr>
          <w:sz w:val="20"/>
          <w:szCs w:val="20"/>
          <w:color w:val="auto"/>
        </w:rPr>
      </w:pPr>
    </w:p>
    <w:p>
      <w:pPr>
        <w:ind w:left="120" w:right="200" w:firstLine="991"/>
        <w:spacing w:after="0" w:line="308"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No Inconsistent Agreement</w:t>
      </w:r>
      <w:r>
        <w:rPr>
          <w:rFonts w:ascii="Arial" w:cs="Arial" w:eastAsia="Arial" w:hAnsi="Arial"/>
          <w:sz w:val="17"/>
          <w:szCs w:val="17"/>
          <w:color w:val="auto"/>
        </w:rPr>
        <w:t>. Each Sponsor hereby represents and covenants that such Sponsor has not entered into, and shall not enter into, any agreement that would restrict, limit or interfere with the performance of such Sponsor’s obligations hereunder.</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Lock-Up.</w:t>
      </w:r>
    </w:p>
    <w:p>
      <w:pPr>
        <w:spacing w:after="0" w:line="225" w:lineRule="exact"/>
        <w:rPr>
          <w:sz w:val="20"/>
          <w:szCs w:val="20"/>
          <w:color w:val="auto"/>
        </w:rPr>
      </w:pPr>
    </w:p>
    <w:p>
      <w:pPr>
        <w:ind w:left="120" w:right="180" w:firstLine="1428"/>
        <w:spacing w:after="0" w:line="277" w:lineRule="auto"/>
        <w:tabs>
          <w:tab w:leader="none" w:pos="1797" w:val="left"/>
        </w:tabs>
        <w:numPr>
          <w:ilvl w:val="1"/>
          <w:numId w:val="5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1.8(b)</w:t>
      </w:r>
      <w:r>
        <w:rPr>
          <w:rFonts w:ascii="Arial" w:cs="Arial" w:eastAsia="Arial" w:hAnsi="Arial"/>
          <w:sz w:val="18"/>
          <w:szCs w:val="18"/>
          <w:color w:val="auto"/>
        </w:rPr>
        <w:t>, each Sponsor hereby agrees that such Sponsor shall not Transfer any Lock-up Shares until the end of the Lock-up Period (the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180" w:firstLine="1428"/>
        <w:spacing w:after="0" w:line="287" w:lineRule="auto"/>
        <w:tabs>
          <w:tab w:leader="none" w:pos="1807" w:val="left"/>
        </w:tabs>
        <w:numPr>
          <w:ilvl w:val="1"/>
          <w:numId w:val="541"/>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Section 1.8(a)</w:t>
      </w:r>
      <w:r>
        <w:rPr>
          <w:rFonts w:ascii="Arial" w:cs="Arial" w:eastAsia="Arial" w:hAnsi="Arial"/>
          <w:sz w:val="16"/>
          <w:szCs w:val="16"/>
          <w:color w:val="auto"/>
        </w:rPr>
        <w:t>, each Sponsor or its Permitted Transferees may Transfer the Lock-up Shares during the Lock-up Period (i) to (A) the Acquiror’s officers or directors, (B) any affiliates or family members of the Acquiror’s officers or directors, or (C) any members or partners of Sponsor Holdco or their affiliates, any affiliates of Sponsor Holdco, or any employees of such affiliates;</w:t>
      </w:r>
    </w:p>
    <w:p>
      <w:pPr>
        <w:spacing w:after="0" w:line="2" w:lineRule="exact"/>
        <w:rPr>
          <w:rFonts w:ascii="Arial" w:cs="Arial" w:eastAsia="Arial" w:hAnsi="Arial"/>
          <w:sz w:val="16"/>
          <w:szCs w:val="16"/>
          <w:color w:val="auto"/>
        </w:rPr>
      </w:pPr>
    </w:p>
    <w:p>
      <w:pPr>
        <w:ind w:left="120" w:hanging="4"/>
        <w:spacing w:after="0" w:line="269" w:lineRule="auto"/>
        <w:tabs>
          <w:tab w:leader="none" w:pos="385"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in the case of an individual, by gift to a member of such individual’s immediate family or to a trust, the beneficiary of which is a member of such individual’s immediate family, an affiliate of such individual or to a charitable organization; (iii) in the case of an individual, by virtue of laws of descent and distribution upon death of such individual; (iv) in the case of an individual, pursuant to a qualified domestic relations order; (v) by private sales or transfers made in connection with the HEC Forward Purchase Agreement; (vi) by virtue of the laws of the State of Delaware or the Sponsor Holdco’s limited liability company agreement upon dissolution of the Sponsor; or (vii) in the event of the Acquiror’s liquidation, merger, capital stock exchange or other similar transaction which results in all of the Acquiror’s stockholders having the right to exchange their shares of common stock of the Acquiror (“</w:t>
      </w:r>
      <w:r>
        <w:rPr>
          <w:rFonts w:ascii="Arial" w:cs="Arial" w:eastAsia="Arial" w:hAnsi="Arial"/>
          <w:sz w:val="17"/>
          <w:szCs w:val="17"/>
          <w:u w:val="single" w:color="auto"/>
          <w:color w:val="auto"/>
        </w:rPr>
        <w:t>Acquiror Common Stock</w:t>
      </w:r>
      <w:r>
        <w:rPr>
          <w:rFonts w:ascii="Arial" w:cs="Arial" w:eastAsia="Arial" w:hAnsi="Arial"/>
          <w:sz w:val="17"/>
          <w:szCs w:val="17"/>
          <w:color w:val="auto"/>
        </w:rPr>
        <w:t>”) for cash, securities or other property subsequent to the Closing Date.</w:t>
      </w:r>
    </w:p>
    <w:p>
      <w:pPr>
        <w:spacing w:after="0" w:line="180" w:lineRule="exact"/>
        <w:rPr>
          <w:rFonts w:ascii="Arial" w:cs="Arial" w:eastAsia="Arial" w:hAnsi="Arial"/>
          <w:sz w:val="17"/>
          <w:szCs w:val="17"/>
          <w:color w:val="auto"/>
        </w:rPr>
      </w:pPr>
    </w:p>
    <w:p>
      <w:pPr>
        <w:ind w:left="120" w:right="600" w:firstLine="1428"/>
        <w:spacing w:after="0" w:line="277" w:lineRule="auto"/>
        <w:tabs>
          <w:tab w:leader="none" w:pos="1797" w:val="left"/>
        </w:tabs>
        <w:numPr>
          <w:ilvl w:val="1"/>
          <w:numId w:val="542"/>
        </w:numPr>
        <w:rPr>
          <w:rFonts w:ascii="Arial" w:cs="Arial" w:eastAsia="Arial" w:hAnsi="Arial"/>
          <w:sz w:val="18"/>
          <w:szCs w:val="18"/>
          <w:color w:val="auto"/>
        </w:rPr>
      </w:pPr>
      <w:r>
        <w:rPr>
          <w:rFonts w:ascii="Arial" w:cs="Arial" w:eastAsia="Arial" w:hAnsi="Arial"/>
          <w:sz w:val="18"/>
          <w:szCs w:val="18"/>
          <w:color w:val="auto"/>
        </w:rPr>
        <w:t xml:space="preserve">The Lock-up in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supersede the lock-up provisions contained in Section 7 of the Insider Letter, which provision in Section 7 of the Insider Letter shall be of no further force or effect.</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09"/>
        <w:spacing w:after="0"/>
        <w:tabs>
          <w:tab w:leader="none" w:pos="2140" w:val="left"/>
        </w:tabs>
        <w:numPr>
          <w:ilvl w:val="2"/>
          <w:numId w:val="54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the period beginning on the Closing Date and ending on the date that is 180 days after the</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102" w:lineRule="exact"/>
        <w:rPr>
          <w:rFonts w:ascii="Arial" w:cs="Arial" w:eastAsia="Arial" w:hAnsi="Arial"/>
          <w:sz w:val="16"/>
          <w:szCs w:val="16"/>
          <w:color w:val="auto"/>
        </w:rPr>
      </w:pPr>
    </w:p>
    <w:p>
      <w:pPr>
        <w:ind w:left="560" w:right="100" w:firstLine="1371"/>
        <w:spacing w:after="0" w:line="296" w:lineRule="auto"/>
        <w:tabs>
          <w:tab w:leader="none" w:pos="2200" w:val="left"/>
        </w:tabs>
        <w:numPr>
          <w:ilvl w:val="2"/>
          <w:numId w:val="54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shares of Acquiror Common Stock and Acquiror Warrants (including the shares of Acquiror Common Stock issuable upon exercise thereof) held by each Sponsor immediately following the Closing (other than shares of Acquiror Common Stock acquired in the public market or pursuant to a transaction exempt from registration under the Securities Act of 1933, as amended, pursuant to a subscription agreement where the issuance of Acquiror Common Stock occurs on or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clarity, shares of Acquiror Common Stock issued in connection with the PIPE Investment shall not constitute Lock-up Shares;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120"/>
          </w:cols>
          <w:pgMar w:left="320" w:top="460" w:right="459" w:bottom="1440" w:gutter="0" w:footer="0" w:header="0"/>
        </w:sectPr>
      </w:pPr>
    </w:p>
    <w:bookmarkStart w:id="625" w:name="page626"/>
    <w:bookmarkEnd w:id="6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firstLine="1371"/>
        <w:spacing w:after="0" w:line="308" w:lineRule="auto"/>
        <w:tabs>
          <w:tab w:leader="none" w:pos="225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xml:space="preserve">” means, prior to the expiration of the Lock-up Period, any person or entity to whom such Sponsor is permitted to transfer such Lock-up Shares prior to the expiration of the Lock-up Period pursuant to </w:t>
      </w:r>
      <w:r>
        <w:rPr>
          <w:rFonts w:ascii="Arial" w:cs="Arial" w:eastAsia="Arial" w:hAnsi="Arial"/>
          <w:sz w:val="17"/>
          <w:szCs w:val="17"/>
          <w:u w:val="single" w:color="auto"/>
          <w:color w:val="auto"/>
        </w:rPr>
        <w:t>Section 1.8(b)</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560" w:right="380" w:firstLine="1371"/>
        <w:spacing w:after="0" w:line="277" w:lineRule="auto"/>
        <w:tabs>
          <w:tab w:leader="none" w:pos="2239"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June 8, 2020, by and among Acquiror, its current executive officers and directors, and Sponsor Holdco, as amended.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Vesting</w:t>
      </w:r>
    </w:p>
    <w:p>
      <w:pPr>
        <w:spacing w:after="0" w:line="225" w:lineRule="exact"/>
        <w:rPr>
          <w:sz w:val="20"/>
          <w:szCs w:val="20"/>
          <w:color w:val="auto"/>
        </w:rPr>
      </w:pPr>
    </w:p>
    <w:p>
      <w:pPr>
        <w:ind w:left="120" w:right="40" w:firstLine="1428"/>
        <w:spacing w:after="0" w:line="259" w:lineRule="auto"/>
        <w:tabs>
          <w:tab w:leader="none" w:pos="179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Each of the Sponsors agrees that, as of immediately prior to (but subject to) the Closing, all of the shares of Acquiror Class B Common Stock and the shares of Acquiror Class A Common Stock and Acquiror Common Stock issuable upon conversion of such shares in connection with the Closing (the “</w:t>
      </w:r>
      <w:r>
        <w:rPr>
          <w:rFonts w:ascii="Arial" w:cs="Arial" w:eastAsia="Arial" w:hAnsi="Arial"/>
          <w:sz w:val="18"/>
          <w:szCs w:val="18"/>
          <w:u w:val="single" w:color="auto"/>
          <w:color w:val="auto"/>
        </w:rPr>
        <w:t>Founder Shares</w:t>
      </w:r>
      <w:r>
        <w:rPr>
          <w:rFonts w:ascii="Arial" w:cs="Arial" w:eastAsia="Arial" w:hAnsi="Arial"/>
          <w:sz w:val="18"/>
          <w:szCs w:val="18"/>
          <w:color w:val="auto"/>
        </w:rPr>
        <w:t xml:space="preserve">”) held by such person as of immediately prior to the Closing shall be unvested and shall be subject to the vesting and forfeiture provisions set forth in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firstLine="1428"/>
        <w:spacing w:after="0" w:line="277" w:lineRule="auto"/>
        <w:tabs>
          <w:tab w:leader="none" w:pos="1807" w:val="left"/>
        </w:tabs>
        <w:numPr>
          <w:ilvl w:val="0"/>
          <w:numId w:val="544"/>
        </w:numPr>
        <w:rPr>
          <w:rFonts w:ascii="Arial" w:cs="Arial" w:eastAsia="Arial" w:hAnsi="Arial"/>
          <w:sz w:val="18"/>
          <w:szCs w:val="18"/>
          <w:color w:val="auto"/>
        </w:rPr>
      </w:pPr>
      <w:r>
        <w:rPr>
          <w:rFonts w:ascii="Arial" w:cs="Arial" w:eastAsia="Arial" w:hAnsi="Arial"/>
          <w:sz w:val="18"/>
          <w:szCs w:val="18"/>
          <w:i w:val="1"/>
          <w:iCs w:val="1"/>
          <w:color w:val="auto"/>
        </w:rPr>
        <w:t>Vesting of Shares at Closing</w:t>
      </w:r>
      <w:r>
        <w:rPr>
          <w:rFonts w:ascii="Arial" w:cs="Arial" w:eastAsia="Arial" w:hAnsi="Arial"/>
          <w:sz w:val="18"/>
          <w:szCs w:val="18"/>
          <w:color w:val="auto"/>
        </w:rPr>
        <w:t>. 70% of the unvested Founder Shares owned by the Sponsors (or their respective Affiliates)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shall vest (and shall not be subject to forfeiture) at the Closing.</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0"/>
          <w:numId w:val="544"/>
        </w:numPr>
        <w:rPr>
          <w:rFonts w:ascii="Arial" w:cs="Arial" w:eastAsia="Arial" w:hAnsi="Arial"/>
          <w:sz w:val="18"/>
          <w:szCs w:val="18"/>
          <w:color w:val="auto"/>
        </w:rPr>
      </w:pPr>
      <w:r>
        <w:rPr>
          <w:rFonts w:ascii="Arial" w:cs="Arial" w:eastAsia="Arial" w:hAnsi="Arial"/>
          <w:sz w:val="18"/>
          <w:szCs w:val="18"/>
          <w:i w:val="1"/>
          <w:iCs w:val="1"/>
          <w:color w:val="auto"/>
        </w:rPr>
        <w:t>Performance Vesting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firstLine="1371"/>
        <w:spacing w:after="0" w:line="259" w:lineRule="auto"/>
        <w:tabs>
          <w:tab w:leader="none" w:pos="215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15% of the unvested Founder Shares owned by the Sponsors (or their respective Affiliates) as of the Closing shall vest (and shall not be subject to forfeiture) upon the occurrence of Triggering Event I (the “$</w:t>
      </w:r>
      <w:r>
        <w:rPr>
          <w:rFonts w:ascii="Arial" w:cs="Arial" w:eastAsia="Arial" w:hAnsi="Arial"/>
          <w:sz w:val="18"/>
          <w:szCs w:val="18"/>
          <w:u w:val="single" w:color="auto"/>
          <w:color w:val="auto"/>
        </w:rPr>
        <w:t>12 Founder Shares</w:t>
      </w:r>
      <w:r>
        <w:rPr>
          <w:rFonts w:ascii="Arial" w:cs="Arial" w:eastAsia="Arial" w:hAnsi="Arial"/>
          <w:sz w:val="18"/>
          <w:szCs w:val="18"/>
          <w:color w:val="auto"/>
        </w:rPr>
        <w:t xml:space="preserve">”). If Triggering Event I does not occur on or prior to the fifth anniversary of the Closing Date, the Founder Shares that were eligible to vest pursuant to this </w:t>
      </w:r>
      <w:r>
        <w:rPr>
          <w:rFonts w:ascii="Arial" w:cs="Arial" w:eastAsia="Arial" w:hAnsi="Arial"/>
          <w:sz w:val="18"/>
          <w:szCs w:val="18"/>
          <w:u w:val="single" w:color="auto"/>
          <w:color w:val="auto"/>
        </w:rPr>
        <w:t>Section 1.9(c)(i)</w:t>
      </w:r>
      <w:r>
        <w:rPr>
          <w:rFonts w:ascii="Arial" w:cs="Arial" w:eastAsia="Arial" w:hAnsi="Arial"/>
          <w:sz w:val="18"/>
          <w:szCs w:val="18"/>
          <w:color w:val="auto"/>
        </w:rPr>
        <w:t xml:space="preserve"> shall not vest, and shall be forfeited as provided in </w:t>
      </w:r>
      <w:r>
        <w:rPr>
          <w:rFonts w:ascii="Arial" w:cs="Arial" w:eastAsia="Arial" w:hAnsi="Arial"/>
          <w:sz w:val="18"/>
          <w:szCs w:val="18"/>
          <w:u w:val="single" w:color="auto"/>
          <w:color w:val="auto"/>
        </w:rPr>
        <w:t>Section 1.9(c)(iii)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560" w:right="40" w:firstLine="1371"/>
        <w:spacing w:after="0" w:line="259" w:lineRule="auto"/>
        <w:tabs>
          <w:tab w:leader="none" w:pos="22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15% of the unvested Founder Shares owned by the Sponsors (or their respective Affiliates) as of the Closing shall vest (and shall not be subject to forfeiture) upon the occurrence of Triggering Event II (the “</w:t>
      </w:r>
      <w:r>
        <w:rPr>
          <w:rFonts w:ascii="Arial" w:cs="Arial" w:eastAsia="Arial" w:hAnsi="Arial"/>
          <w:sz w:val="18"/>
          <w:szCs w:val="18"/>
          <w:u w:val="single" w:color="auto"/>
          <w:color w:val="auto"/>
        </w:rPr>
        <w:t>$15 Founder Shares</w:t>
      </w:r>
      <w:r>
        <w:rPr>
          <w:rFonts w:ascii="Arial" w:cs="Arial" w:eastAsia="Arial" w:hAnsi="Arial"/>
          <w:sz w:val="18"/>
          <w:szCs w:val="18"/>
          <w:color w:val="auto"/>
        </w:rPr>
        <w:t xml:space="preserve">”). If Triggering Event II does not occur on or prior to the fifth anniversary of the Closing Date, the Founder Shares that were eligible to vest pursuant to this </w:t>
      </w:r>
      <w:r>
        <w:rPr>
          <w:rFonts w:ascii="Arial" w:cs="Arial" w:eastAsia="Arial" w:hAnsi="Arial"/>
          <w:sz w:val="18"/>
          <w:szCs w:val="18"/>
          <w:u w:val="single" w:color="auto"/>
          <w:color w:val="auto"/>
        </w:rPr>
        <w:t>Section 1.9(c)(ii)</w:t>
      </w:r>
      <w:r>
        <w:rPr>
          <w:rFonts w:ascii="Arial" w:cs="Arial" w:eastAsia="Arial" w:hAnsi="Arial"/>
          <w:sz w:val="18"/>
          <w:szCs w:val="18"/>
          <w:color w:val="auto"/>
        </w:rPr>
        <w:t xml:space="preserve"> shall not vest, and shall be forfeited as provided in </w:t>
      </w:r>
      <w:r>
        <w:rPr>
          <w:rFonts w:ascii="Arial" w:cs="Arial" w:eastAsia="Arial" w:hAnsi="Arial"/>
          <w:sz w:val="18"/>
          <w:szCs w:val="18"/>
          <w:u w:val="single" w:color="auto"/>
          <w:color w:val="auto"/>
        </w:rPr>
        <w:t>Section 1.9(c)(iii)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720" w:firstLine="1371"/>
        <w:spacing w:after="0" w:line="277" w:lineRule="auto"/>
        <w:tabs>
          <w:tab w:leader="none" w:pos="225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 xml:space="preserve">Any unvested Founder Shares that are forfeited pursuant to </w:t>
      </w:r>
      <w:r>
        <w:rPr>
          <w:rFonts w:ascii="Arial" w:cs="Arial" w:eastAsia="Arial" w:hAnsi="Arial"/>
          <w:sz w:val="18"/>
          <w:szCs w:val="18"/>
          <w:u w:val="single" w:color="auto"/>
          <w:color w:val="auto"/>
        </w:rPr>
        <w:t>Section 1.9(c)(i)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1.9(c)(ii)</w:t>
      </w:r>
      <w:r>
        <w:rPr>
          <w:rFonts w:ascii="Arial" w:cs="Arial" w:eastAsia="Arial" w:hAnsi="Arial"/>
          <w:sz w:val="18"/>
          <w:szCs w:val="18"/>
          <w:color w:val="auto"/>
        </w:rPr>
        <w:t xml:space="preserve"> shall be deemed transferred by the forfeiting holder to the Acquiror and shall be cancelled by Acquiror and cease to exist.</w:t>
      </w:r>
    </w:p>
    <w:p>
      <w:pPr>
        <w:spacing w:after="0" w:line="170" w:lineRule="exact"/>
        <w:rPr>
          <w:rFonts w:ascii="Arial" w:cs="Arial" w:eastAsia="Arial" w:hAnsi="Arial"/>
          <w:sz w:val="18"/>
          <w:szCs w:val="18"/>
          <w:color w:val="auto"/>
        </w:rPr>
      </w:pPr>
    </w:p>
    <w:p>
      <w:pPr>
        <w:ind w:left="120" w:right="40" w:firstLine="1428"/>
        <w:spacing w:after="0" w:line="287" w:lineRule="auto"/>
        <w:tabs>
          <w:tab w:leader="none" w:pos="1807" w:val="left"/>
        </w:tabs>
        <w:numPr>
          <w:ilvl w:val="0"/>
          <w:numId w:val="544"/>
        </w:numPr>
        <w:rPr>
          <w:rFonts w:ascii="Arial" w:cs="Arial" w:eastAsia="Arial" w:hAnsi="Arial"/>
          <w:sz w:val="16"/>
          <w:szCs w:val="16"/>
          <w:color w:val="auto"/>
        </w:rPr>
      </w:pPr>
      <w:r>
        <w:rPr>
          <w:rFonts w:ascii="Arial" w:cs="Arial" w:eastAsia="Arial" w:hAnsi="Arial"/>
          <w:sz w:val="16"/>
          <w:szCs w:val="16"/>
          <w:i w:val="1"/>
          <w:iCs w:val="1"/>
          <w:color w:val="auto"/>
        </w:rPr>
        <w:t>Acquiror Sale</w:t>
      </w:r>
      <w:r>
        <w:rPr>
          <w:rFonts w:ascii="Arial" w:cs="Arial" w:eastAsia="Arial" w:hAnsi="Arial"/>
          <w:sz w:val="16"/>
          <w:szCs w:val="16"/>
          <w:color w:val="auto"/>
        </w:rPr>
        <w:t>. In the event that there is a Company Sale after the Closing but on or prior to the fifth anniversary of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that will result in the holders of Acquiror Common Stock receiving a Company Sale Price equal to or in excess of the applicable price per share attributable to any Triggering Event, then immediately prior to the consummation of the Company Sale any such Triggering Event that has not previously occurred shall be and the related vesting conditions shall also be deemed to have occurred and the holders of such Founder Shares shall be eligible to participate in such Company Sale. For avoidance of doubt, assuming no prior Triggering Events have occurred, in the case of clause (y): (i) if the Company Sale Price for acquisition of the Acquiror Common Stock is greater than or equal to $12.00 per share of Acquiror Common Stock but less than $15.00 per share of Acquiror Common Stock, the $12 Founder Shares shall be deemed to have fully vested (and the $15 Founder Shares shall be deemed forfeited and shall be cancelled by Acquiror); (ii) if the Company Sale Price for acquisition of the Acquiror Common Stock is greater than or equal to $15.00 per share of Acquiror Common Stock, the $12 Founder Shares and the $15 Founder Shares shall be deemed to have 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Sale Price for acquisition of the Acquiror Common Stock is less than $12.00 per share of Acquiror Common Stock, then no Founder Shares shall be deemed to have vested and all such Founder Shares shall be deemed forfeited and shall be cancelled by Acquiror.</w:t>
      </w:r>
    </w:p>
    <w:p>
      <w:pPr>
        <w:spacing w:after="0" w:line="171" w:lineRule="exact"/>
        <w:rPr>
          <w:rFonts w:ascii="Arial" w:cs="Arial" w:eastAsia="Arial" w:hAnsi="Arial"/>
          <w:sz w:val="16"/>
          <w:szCs w:val="16"/>
          <w:color w:val="auto"/>
        </w:rPr>
      </w:pPr>
    </w:p>
    <w:p>
      <w:pPr>
        <w:ind w:left="120" w:right="360" w:firstLine="1428"/>
        <w:spacing w:after="0" w:line="277" w:lineRule="auto"/>
        <w:tabs>
          <w:tab w:leader="none" w:pos="179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Subject to the limitations contemplated herein, the Sponsors shall have all of the rights of a stockholder of the Acquiror with respect to the Founder Shares, including the right to receive dividends and/or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120"/>
          </w:cols>
          <w:pgMar w:left="320" w:top="460" w:right="459" w:bottom="1440" w:gutter="0" w:footer="0" w:header="0"/>
        </w:sectPr>
      </w:pPr>
    </w:p>
    <w:bookmarkStart w:id="626" w:name="page627"/>
    <w:bookmarkEnd w:id="6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distributions made to the holders of Acquiror Common Stock and to voting rights generally granted to holders of Acquiror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unvested Founder Shares shall not entitle the holder thereof to consideration in connection with any sale or other transaction and may not be offered, sold, transferred, redeemed, assigned, pledged, hypothecated, encumbered or otherwise disposed of (whether by operation of law or otherwise) by the Sponsors, as the case may be, or be subject to execution, attachment or similar process, and shall bear a customary legend with respect to such transfer restrictions. Any attempt to so sell, transfer, assign, pledge, hypothecate, encumber or otherwise dispose of such unvested Founder Shares shall be null and void.</w:t>
      </w:r>
    </w:p>
    <w:p>
      <w:pPr>
        <w:spacing w:after="0" w:line="192" w:lineRule="exact"/>
        <w:rPr>
          <w:sz w:val="20"/>
          <w:szCs w:val="20"/>
          <w:color w:val="auto"/>
        </w:rPr>
      </w:pPr>
    </w:p>
    <w:p>
      <w:pPr>
        <w:ind w:left="120" w:right="60" w:firstLine="1428"/>
        <w:spacing w:after="0" w:line="273" w:lineRule="auto"/>
        <w:tabs>
          <w:tab w:leader="none" w:pos="1777" w:val="left"/>
        </w:tabs>
        <w:numPr>
          <w:ilvl w:val="0"/>
          <w:numId w:val="545"/>
        </w:numPr>
        <w:rPr>
          <w:rFonts w:ascii="Arial" w:cs="Arial" w:eastAsia="Arial" w:hAnsi="Arial"/>
          <w:sz w:val="17"/>
          <w:szCs w:val="17"/>
          <w:color w:val="auto"/>
        </w:rPr>
      </w:pPr>
      <w:r>
        <w:rPr>
          <w:rFonts w:ascii="Arial" w:cs="Arial" w:eastAsia="Arial" w:hAnsi="Arial"/>
          <w:sz w:val="17"/>
          <w:szCs w:val="17"/>
          <w:color w:val="auto"/>
        </w:rPr>
        <w:t>If, and as often as, there are any changes in the Acquiror or the Founder Shares by way of stock split, stock dividend, combination or reclassification, or through merger, consolidation, reorganization, recapitalization or business combination, or by any other means, equitable adjustment shall be made to the provisions of this Sponsor Agreement as may be required so that the rights, privileges, duties and obligations hereunder shall continue with respect to Acquiror, Acquiror’s successor or the surviving entity of such transaction and the Founder Warrants, each as so changed. Each of the Sponsors will promptly inform the Company of any elections made by such Sponsor under Section 83(b) of the Internal Revenue Code in connection with the Closing with respect to Founder Shares held by such Sponsor.</w:t>
      </w:r>
    </w:p>
    <w:p>
      <w:pPr>
        <w:spacing w:after="0" w:line="177" w:lineRule="exact"/>
        <w:rPr>
          <w:rFonts w:ascii="Arial" w:cs="Arial" w:eastAsia="Arial" w:hAnsi="Arial"/>
          <w:sz w:val="17"/>
          <w:szCs w:val="17"/>
          <w:color w:val="auto"/>
        </w:rPr>
      </w:pPr>
    </w:p>
    <w:p>
      <w:pPr>
        <w:ind w:left="1800" w:hanging="252"/>
        <w:spacing w:after="0"/>
        <w:tabs>
          <w:tab w:leader="none" w:pos="18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0" w:firstLine="1371"/>
        <w:spacing w:after="0" w:line="269" w:lineRule="auto"/>
        <w:tabs>
          <w:tab w:leader="none" w:pos="2150" w:val="left"/>
        </w:tabs>
        <w:numPr>
          <w:ilvl w:val="1"/>
          <w:numId w:val="5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Sale</w:t>
      </w:r>
      <w:r>
        <w:rPr>
          <w:rFonts w:ascii="Arial" w:cs="Arial" w:eastAsia="Arial" w:hAnsi="Arial"/>
          <w:sz w:val="17"/>
          <w:szCs w:val="17"/>
          <w:color w:val="auto"/>
        </w:rPr>
        <w:t>” means (which, for the avoidance of doubt, shall not include the Transactions): (x) any transaction or series of related transactions that results in any Person or “group” (within the meaning of Section 13(d)(3) of the Exchange Act) acquiring Equity Securities that represent more than 50% of the total voting power of the then outstanding voting securities of Acquiror (or the equity interests of the surviving Person outstanding immediately after such transaction or transactions) or (y) a sale or disposition of all or substantially all of the assets of Acquiror and its Subsidiaries on a consolidated basis, in each case other than a transaction or series of related transactions which results in at least 50% of the combined voting power of the then outstanding voting securities of Acquiror (or any successor to Acquiror) immediately following the closing of such transaction (or series of related transactions) being beneficially owned, directly or indirectly, by individuals and entities (or Affiliates of such individuals and entities) who were the beneficial owners, respectively, of Equity Securities representing more than 50% of the total voting power of the then outstanding voting securities of Acquiror immediately prior to such transaction (or series of related transactions).</w:t>
      </w:r>
    </w:p>
    <w:p>
      <w:pPr>
        <w:spacing w:after="0" w:line="77" w:lineRule="exact"/>
        <w:rPr>
          <w:rFonts w:ascii="Arial" w:cs="Arial" w:eastAsia="Arial" w:hAnsi="Arial"/>
          <w:sz w:val="17"/>
          <w:szCs w:val="17"/>
          <w:color w:val="auto"/>
        </w:rPr>
      </w:pPr>
    </w:p>
    <w:p>
      <w:pPr>
        <w:ind w:left="560" w:firstLine="1371"/>
        <w:spacing w:after="0" w:line="286" w:lineRule="auto"/>
        <w:tabs>
          <w:tab w:leader="none" w:pos="220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Sale Price</w:t>
      </w:r>
      <w:r>
        <w:rPr>
          <w:rFonts w:ascii="Arial" w:cs="Arial" w:eastAsia="Arial" w:hAnsi="Arial"/>
          <w:sz w:val="16"/>
          <w:szCs w:val="16"/>
          <w:color w:val="auto"/>
        </w:rPr>
        <w:t>” means the price per share for Acquiror Common Stock in a Company Sale. If and to the extent the price paid per share includes any escrows, holdbacks, deferred purchase price, earnouts or other contingent consideration, Acquiror’s Board of Directors shall determine the price paid per share of Acquiror Common Stock in such Company Sale in good faith. If and to the extent the price is payable in whole or in part with consideration other than cash, the price for such non-cash consideration shall be determined as follows: (x) with respect to any securities: (A) the average of the closing prices of the sales of the securities on all securities exchanges on which the securities may at the time be listed averaged over a period of 21 days consisting of the day as of which such value is being determined and the 20 consecutive business days prior to such day or (B) if the information in (A) is not practically available, the value of each such security shall be equal to the fair value thereof as of the date of valuation as determined by an independent, nationally recognized investment banking firm to be appointed with the mutual approval of Acquiror, the Company and the HEC Representative on the basis of an orderly sale to a willing, unaffiliated buyer in an arm’s-length transaction, taking into account all factors determinative of value as the investment banking firm determines relevant (and, in the case of clause (A) or (B), reduced by the amount of any transfer Taxes payable in connection with such sale) and (y) with respect to any other non-cash assets, the fair value thereof as of the date of valuation as determined by an independent, nationally recognized investment banking firm to be appointed with the mutual approval of Acquiror and HEC on the basis of an orderly sale to a willing, unaffiliated buyer in an arm’s-length transaction, taking into account all factors determinative of value as the investment banking firm determines relevant (and reduced by the amount of any transfer Taxes payable in connection with such sale).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100"/>
          </w:cols>
          <w:pgMar w:left="320" w:top="460" w:right="479" w:bottom="1440" w:gutter="0" w:footer="0" w:header="0"/>
        </w:sectPr>
      </w:pPr>
    </w:p>
    <w:bookmarkStart w:id="627" w:name="page628"/>
    <w:bookmarkEnd w:id="6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40" w:hanging="309"/>
        <w:spacing w:after="0"/>
        <w:tabs>
          <w:tab w:leader="none" w:pos="22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Period</w:t>
      </w:r>
      <w:r>
        <w:rPr>
          <w:rFonts w:ascii="Arial" w:cs="Arial" w:eastAsia="Arial" w:hAnsi="Arial"/>
          <w:sz w:val="18"/>
          <w:szCs w:val="18"/>
          <w:color w:val="auto"/>
        </w:rPr>
        <w:t>” means the date that is five (5) years following the Closing Date.</w:t>
      </w:r>
    </w:p>
    <w:p>
      <w:pPr>
        <w:spacing w:after="0" w:line="117" w:lineRule="exact"/>
        <w:rPr>
          <w:rFonts w:ascii="Arial" w:cs="Arial" w:eastAsia="Arial" w:hAnsi="Arial"/>
          <w:sz w:val="18"/>
          <w:szCs w:val="18"/>
          <w:color w:val="auto"/>
        </w:rPr>
      </w:pPr>
    </w:p>
    <w:p>
      <w:pPr>
        <w:ind w:left="560" w:right="80" w:firstLine="1371"/>
        <w:spacing w:after="0" w:line="277" w:lineRule="auto"/>
        <w:tabs>
          <w:tab w:leader="none" w:pos="2239"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means the date following the Closing but prior to the expiration of the Earn Out Period, on which the per-share price on Nasdaq (as reported by Bloomberg) of the Acquiror Common Stock is greater than or equal to $12.00.</w:t>
      </w:r>
    </w:p>
    <w:p>
      <w:pPr>
        <w:spacing w:after="0" w:line="62" w:lineRule="exact"/>
        <w:rPr>
          <w:rFonts w:ascii="Arial" w:cs="Arial" w:eastAsia="Arial" w:hAnsi="Arial"/>
          <w:sz w:val="18"/>
          <w:szCs w:val="18"/>
          <w:color w:val="auto"/>
        </w:rPr>
      </w:pPr>
    </w:p>
    <w:p>
      <w:pPr>
        <w:ind w:left="560" w:right="60" w:firstLine="1371"/>
        <w:spacing w:after="0" w:line="277" w:lineRule="auto"/>
        <w:tabs>
          <w:tab w:leader="none" w:pos="219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means the date following the Closing but prior to the expiration of the Earn Out Period, on which the per-share price on Nasdaq (as reported by Bloomberg) of the Acquiror Common Stock is greater than or equal to $15.00.</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Representations and Warranties of the Sponsors</w:t>
      </w:r>
      <w:r>
        <w:rPr>
          <w:rFonts w:ascii="Arial" w:cs="Arial" w:eastAsia="Arial" w:hAnsi="Arial"/>
          <w:sz w:val="18"/>
          <w:szCs w:val="18"/>
          <w:color w:val="auto"/>
        </w:rPr>
        <w:t>. Each Sponsor represents and warrants as of the date hereof to Acquiror and the Company (solely with respect to itself, himself or herself and not with respect to any other Sponsor) as follows:</w:t>
      </w:r>
    </w:p>
    <w:p>
      <w:pPr>
        <w:spacing w:after="0" w:line="170" w:lineRule="exact"/>
        <w:rPr>
          <w:sz w:val="20"/>
          <w:szCs w:val="20"/>
          <w:color w:val="auto"/>
        </w:rPr>
      </w:pPr>
    </w:p>
    <w:p>
      <w:pPr>
        <w:ind w:left="120" w:right="60" w:firstLine="1428"/>
        <w:spacing w:after="0" w:line="287" w:lineRule="auto"/>
        <w:tabs>
          <w:tab w:leader="none" w:pos="1797"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Organization; Due Authorization</w:t>
      </w:r>
      <w:r>
        <w:rPr>
          <w:rFonts w:ascii="Arial" w:cs="Arial" w:eastAsia="Arial" w:hAnsi="Arial"/>
          <w:sz w:val="16"/>
          <w:szCs w:val="16"/>
          <w:color w:val="auto"/>
        </w:rPr>
        <w:t>. If such Sponsor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Sponsor’s corporate, limited liability company or organizational powers and have been duly authorized by all necessary corporate, limited liability company or organizational actions on the part of such Sponsor. If such Sponsor is an individual, such Sponsor has full legal capacity, right and authority to execute and deliver this Sponsor Agreement and to perform his or her obligations hereunder. This Sponsor Agreement has been duly executed and delivered by such Sponsor and, assuming due authorization, execution and delivery by the other parties to this Sponsor Agreement, this Sponsor Agreement constitutes a legally valid and binding obligation of such Sponsor, enforceable against such Sponsor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the applicable Sponsor.</w:t>
      </w:r>
    </w:p>
    <w:p>
      <w:pPr>
        <w:spacing w:after="0" w:line="171" w:lineRule="exact"/>
        <w:rPr>
          <w:rFonts w:ascii="Arial" w:cs="Arial" w:eastAsia="Arial" w:hAnsi="Arial"/>
          <w:sz w:val="16"/>
          <w:szCs w:val="16"/>
          <w:color w:val="auto"/>
        </w:rPr>
      </w:pPr>
    </w:p>
    <w:p>
      <w:pPr>
        <w:ind w:left="120" w:right="20" w:firstLine="1428"/>
        <w:spacing w:after="0" w:line="288" w:lineRule="auto"/>
        <w:tabs>
          <w:tab w:leader="none" w:pos="1807"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Such Sponsor is the record and beneficial owner (as defined in the Securities Act) of, and has good title to, all of such Sponsor’s Acquiror Class B Common Stock and Acquiror Warrants, and there exist no Liens or any other limitation or restriction (including any restriction on the right to vote, sell or otherwise dispose of such Acquiror Class B Common Stock or Acquiror Warrants (other than transfer restrictions under the Securities Act)) affecting any such Acquiror Class B Common Stock or Acquiror Warrants, other than Liens pursuant to (i) this Sponsor Agreement, (ii) the Acquiror Governing Documents, (iii) the Merger Agreement or (iv) any applicable securities Laws. Such Sponsor’s Acquiror Class B Common Stock and Acquiror Warrants are the only equity securities in Acquiror owned of record or beneficially by such Sponsor on the date of this Sponsor Agreement, and none of such Sponsor’s Acquiror Class B Common Stock or Acquiror Warrants are subject to any proxy, voting trust or other agreement or arrangement with respect to the voting of such Acquiror Class B Common Stock or Acquiror Warrants, except as provided hereunder and under the Voting Letter Agreement. Other than the Acquiror Warrants, such Sponsor does not hold or own any rights to acquire (directly or indirectly) any equity securities of Acquiror or any equity securities convertible into, or which can be exchanged for, equity securities of Acquiror.</w:t>
      </w:r>
    </w:p>
    <w:p>
      <w:pPr>
        <w:spacing w:after="0" w:line="168" w:lineRule="exact"/>
        <w:rPr>
          <w:rFonts w:ascii="Arial" w:cs="Arial" w:eastAsia="Arial" w:hAnsi="Arial"/>
          <w:sz w:val="16"/>
          <w:szCs w:val="16"/>
          <w:color w:val="auto"/>
        </w:rPr>
      </w:pPr>
    </w:p>
    <w:p>
      <w:pPr>
        <w:ind w:left="120" w:firstLine="1428"/>
        <w:spacing w:after="0" w:line="311" w:lineRule="auto"/>
        <w:tabs>
          <w:tab w:leader="none" w:pos="1797"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Sponsor Agreement by such Sponsor does not, and the performance by such Sponsor of his, her or its obligations hereunder will not, (i) if such Sponsor is not an individual, conflict with or result in a violation of the organizational documents of such Sponsor or (ii) require any consent or approval that has not been given or other action that has not been taken by any Person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120"/>
          </w:cols>
          <w:pgMar w:left="320" w:top="460" w:right="459" w:bottom="1440" w:gutter="0" w:footer="0" w:header="0"/>
        </w:sectPr>
      </w:pPr>
    </w:p>
    <w:bookmarkStart w:id="628" w:name="page629"/>
    <w:bookmarkEnd w:id="6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(including under any Contract binding upon such Sponsor or such Sponsor’s Acquiror Class B Common Stock or Acquiror Warrants), in each case, to the extent such consent, approval or other action would prevent, enjoin or materially delay the performance by such Sponsor of its, his or her obligations under this Sponsor Agreement.</w:t>
      </w:r>
    </w:p>
    <w:p>
      <w:pPr>
        <w:spacing w:after="0" w:line="184" w:lineRule="exact"/>
        <w:rPr>
          <w:sz w:val="20"/>
          <w:szCs w:val="20"/>
          <w:color w:val="auto"/>
        </w:rPr>
      </w:pPr>
    </w:p>
    <w:p>
      <w:pPr>
        <w:ind w:left="120" w:right="140" w:firstLine="1428"/>
        <w:spacing w:after="0" w:line="311" w:lineRule="auto"/>
        <w:tabs>
          <w:tab w:leader="none" w:pos="1807" w:val="left"/>
        </w:tabs>
        <w:numPr>
          <w:ilvl w:val="0"/>
          <w:numId w:val="548"/>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pending against such Sponsor, or to the knowledge of such Sponsor threatened against such Sponsor, before (or, in the case of threatened Actions, that would be before) any arbitrator or any Governmental Authority, which in any manner challenges or seeks to prevent, enjoin or materially delay the performance by such Sponsor of its, his or her obligations under this Sponsor Agreement.</w:t>
      </w:r>
    </w:p>
    <w:p>
      <w:pPr>
        <w:spacing w:after="0" w:line="148" w:lineRule="exact"/>
        <w:rPr>
          <w:rFonts w:ascii="Arial" w:cs="Arial" w:eastAsia="Arial" w:hAnsi="Arial"/>
          <w:sz w:val="16"/>
          <w:szCs w:val="16"/>
          <w:color w:val="auto"/>
        </w:rPr>
      </w:pPr>
    </w:p>
    <w:p>
      <w:pPr>
        <w:ind w:left="120" w:right="180" w:firstLine="1428"/>
        <w:spacing w:after="0" w:line="286" w:lineRule="auto"/>
        <w:tabs>
          <w:tab w:leader="none" w:pos="1797" w:val="left"/>
        </w:tabs>
        <w:numPr>
          <w:ilvl w:val="0"/>
          <w:numId w:val="548"/>
        </w:numPr>
        <w:rPr>
          <w:rFonts w:ascii="Arial" w:cs="Arial" w:eastAsia="Arial" w:hAnsi="Arial"/>
          <w:sz w:val="17"/>
          <w:szCs w:val="17"/>
          <w:color w:val="auto"/>
        </w:rPr>
      </w:pPr>
      <w:r>
        <w:rPr>
          <w:rFonts w:ascii="Arial" w:cs="Arial" w:eastAsia="Arial" w:hAnsi="Arial"/>
          <w:sz w:val="17"/>
          <w:szCs w:val="17"/>
          <w:u w:val="single" w:color="auto"/>
          <w:color w:val="auto"/>
        </w:rPr>
        <w:t>Brokerage Fees</w:t>
      </w:r>
      <w:r>
        <w:rPr>
          <w:rFonts w:ascii="Arial" w:cs="Arial" w:eastAsia="Arial" w:hAnsi="Arial"/>
          <w:sz w:val="17"/>
          <w:szCs w:val="17"/>
          <w:color w:val="auto"/>
        </w:rPr>
        <w:t>. Except as described on Section 6.07 of the Acquiror Disclosure Letter, no broker, finder, investment banker or other Person is entitled to any brokerage fee, finders’ fee or other commission in connection with the transactions contemplated by the Merger Agreement based upon arrangements made by such Sponsor, for which Acquiror or any of its Affiliates may become liable.</w:t>
      </w:r>
    </w:p>
    <w:p>
      <w:pPr>
        <w:spacing w:after="0" w:line="165" w:lineRule="exact"/>
        <w:rPr>
          <w:rFonts w:ascii="Arial" w:cs="Arial" w:eastAsia="Arial" w:hAnsi="Arial"/>
          <w:sz w:val="17"/>
          <w:szCs w:val="17"/>
          <w:color w:val="auto"/>
        </w:rPr>
      </w:pPr>
    </w:p>
    <w:p>
      <w:pPr>
        <w:ind w:left="120" w:firstLine="1428"/>
        <w:spacing w:after="0" w:line="311" w:lineRule="auto"/>
        <w:tabs>
          <w:tab w:leader="none" w:pos="1777" w:val="left"/>
        </w:tabs>
        <w:numPr>
          <w:ilvl w:val="0"/>
          <w:numId w:val="548"/>
        </w:numPr>
        <w:rPr>
          <w:rFonts w:ascii="Arial" w:cs="Arial" w:eastAsia="Arial" w:hAnsi="Arial"/>
          <w:sz w:val="16"/>
          <w:szCs w:val="16"/>
          <w:color w:val="auto"/>
        </w:rPr>
      </w:pPr>
      <w:r>
        <w:rPr>
          <w:rFonts w:ascii="Arial" w:cs="Arial" w:eastAsia="Arial" w:hAnsi="Arial"/>
          <w:sz w:val="16"/>
          <w:szCs w:val="16"/>
          <w:u w:val="single" w:color="auto"/>
          <w:color w:val="auto"/>
        </w:rPr>
        <w:t>Affiliate Arrangements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neither such Sponsor nor any anyone related by blood, marriage or adoption to such Sponsor or, to the knowledge of such Sponsor, any Person in which such Sponsor has a direct or indirect legal, contractual or beneficial ownership of 5% or greater is party to, or has any rights with respect to or arising from, any Contract with Acquiror or its Subsidiaries.</w:t>
      </w:r>
    </w:p>
    <w:p>
      <w:pPr>
        <w:spacing w:after="0" w:line="148" w:lineRule="exact"/>
        <w:rPr>
          <w:rFonts w:ascii="Arial" w:cs="Arial" w:eastAsia="Arial" w:hAnsi="Arial"/>
          <w:sz w:val="16"/>
          <w:szCs w:val="16"/>
          <w:color w:val="auto"/>
        </w:rPr>
      </w:pPr>
    </w:p>
    <w:p>
      <w:pPr>
        <w:ind w:left="120" w:right="400" w:firstLine="1428"/>
        <w:spacing w:after="0" w:line="277" w:lineRule="auto"/>
        <w:tabs>
          <w:tab w:leader="none" w:pos="1807"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Such Sponsor understands and acknowledges that each of Acquiror and the Company is entering into the Merger Agreement in reliance upon such Sponsor’s execution and delivery of this Sponsor Agreement.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120" w:right="240" w:firstLine="991"/>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Sponsor Agreement and all of its provisions shall terminate and be of no further force or effect upon the earliest of (a) the Closing, (b) the liquidation of Acquiror and (c) the written agreement of the Sponsor, Acquiror,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of this Sponsor Agreement shall not relieve any party hereto from liability arising in respect of any breach of this Sponsor Agreement prior to such termination. Notwithstanding the foregoing,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the termination of this Agreement.</w:t>
      </w:r>
    </w:p>
    <w:p>
      <w:pPr>
        <w:spacing w:after="0" w:line="192"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Sponsor Agreement, and all claims or causes of action (whether in contract or tort) that may be based upon, arise out of or relate to this Sponsor Agreement or the negotiation, execution or performance of this Sponsor Agreement (including any claim or cause of action based upon, arising out of or related to any representation or warranty made in or in connection with this Sponsor Agreement) will be governed by and construed in accordance with the internal Laws of the State of Delaware applicable to agreements executed and performed entirely within such State.</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CONSENT TO JURISDICTION AND SERVICE OF PROCESS; WAIVER OF JURY TRIAL</w:t>
      </w:r>
      <w:r>
        <w:rPr>
          <w:rFonts w:ascii="Arial" w:cs="Arial" w:eastAsia="Arial" w:hAnsi="Arial"/>
          <w:sz w:val="18"/>
          <w:szCs w:val="18"/>
          <w:color w:val="auto"/>
        </w:rPr>
        <w:t>.</w:t>
      </w:r>
    </w:p>
    <w:p>
      <w:pPr>
        <w:spacing w:after="0" w:line="225" w:lineRule="exact"/>
        <w:rPr>
          <w:sz w:val="20"/>
          <w:szCs w:val="20"/>
          <w:color w:val="auto"/>
        </w:rPr>
      </w:pPr>
    </w:p>
    <w:p>
      <w:pPr>
        <w:ind w:left="120" w:right="20" w:firstLine="1428"/>
        <w:spacing w:after="0" w:line="263" w:lineRule="auto"/>
        <w:tabs>
          <w:tab w:leader="none" w:pos="1797"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PARTIES TO THIS SPONSOR AGREEMENT SUBMIT TO THE EXCLUSIVE JURISDICTION OF THE STATE COURTS LOCATED IN WILMINGTON, DELAWARE OR THE COURTS OF THE UNITED STATES LOCATED IN WILMINGTON, DELAWARE IN RESPECT OF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120"/>
          </w:cols>
          <w:pgMar w:left="320" w:top="460" w:right="459" w:bottom="1440" w:gutter="0" w:footer="0" w:header="0"/>
        </w:sectPr>
      </w:pPr>
    </w:p>
    <w:bookmarkStart w:id="629" w:name="page630"/>
    <w:bookmarkEnd w:id="6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INTERPRETATION AND ENFORCEMENT OF THE PROVISIONS OF THIS SPONSOR AGREEMENT AND ANY RELATED AGREEMENT, CERTIFICATE OR OTHER DOCUMENT DELIVERED IN CONNECTION HEREWITH AND BY THIS SPONSOR AGREEMENT WAIVE, AND AGREE NOT TO ASSERT, ANY DEFENSE IN ANY ACTION FOR THE INTERPRETATION OR ENFORCEMENT OF THIS SPONSOR AGREEMENT AND ANY RELATED AGREEMENT, CERTIFICATE OR OTHER DOCUMENT DELIVERED IN CONNECTION HEREWITH, THAT THEY ARE NOT SUBJECT THERETO OR THAT SUCH ACTION MAY NOT BE BROUGHT OR IS NOT MAINTAINABLE IN SUCH COURTS OR THAT THIS SPONSOR AGREEMENT MAY NOT BE ENFORCED IN OR BY SUCH COURTS OR THAT THEIR PROPERTY IS EXEMPT OR IMMUNE FROM EXECUTION, THAT THE ACTION IS BROUGHT IN AN INCONVENIENT FORUM, OR THAT THE VENUE OF THE ACTION IS IMPROPER. SERVICE OF PROCESS WITH RESPECT THERETO MAY BE MADE UPON ANY PARTY TO THIS SPONSOR AGREEMENT BY MAILING A COPY THEREOF BY REGISTERED OR CERTIFIED MAIL, POSTAGE PREPAID, TO SUCH PARTY AT ITS ADDRESS AS PROVIDED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94" w:lineRule="exact"/>
        <w:rPr>
          <w:sz w:val="20"/>
          <w:szCs w:val="20"/>
          <w:color w:val="auto"/>
        </w:rPr>
      </w:pPr>
    </w:p>
    <w:p>
      <w:pPr>
        <w:ind w:left="120" w:right="40" w:firstLine="1428"/>
        <w:spacing w:after="0" w:line="267" w:lineRule="auto"/>
        <w:tabs>
          <w:tab w:leader="none" w:pos="1807" w:val="left"/>
        </w:tabs>
        <w:numPr>
          <w:ilvl w:val="1"/>
          <w:numId w:val="550"/>
        </w:numPr>
        <w:rPr>
          <w:rFonts w:ascii="Arial" w:cs="Arial" w:eastAsia="Arial" w:hAnsi="Arial"/>
          <w:sz w:val="17"/>
          <w:szCs w:val="17"/>
          <w:color w:val="auto"/>
        </w:rPr>
      </w:pP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HERETO HEREBY ACKNOWLEDGES AND AGREES THAT ANY CONTROVERSY WHICH MAY ARISE UNDER THIS SPONSOR AGREEMENT IS LIKELY TO INVOLVE COMPLICATED AND DIFFICULT ISSUES, AND THEREFORE EACH SUCH PARTY HEREBY IRREVOCABLY AND UNCONDITIONALLY WAIVES ANY RIGHT SUCH PARTY MAY HAVE TO A TRIAL BY JURY IN RESPECT OF ANY LITIGATION DIRECTLY OR INDIRECTLY ARISING OUT OF OR RELATING TO THIS SPONSOR AGREEMENT OR THE TRANSACTIONS CONTEMPLATED BY THIS SPONSOR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w:t>
      </w:r>
    </w:p>
    <w:p>
      <w:pPr>
        <w:spacing w:after="0" w:line="2" w:lineRule="exact"/>
        <w:rPr>
          <w:rFonts w:ascii="Arial" w:cs="Arial" w:eastAsia="Arial" w:hAnsi="Arial"/>
          <w:sz w:val="17"/>
          <w:szCs w:val="17"/>
          <w:color w:val="auto"/>
        </w:rPr>
      </w:pPr>
    </w:p>
    <w:p>
      <w:pPr>
        <w:ind w:left="120" w:right="260" w:hanging="4"/>
        <w:spacing w:after="0" w:line="290" w:lineRule="auto"/>
        <w:tabs>
          <w:tab w:leader="none" w:pos="465" w:val="left"/>
        </w:tabs>
        <w:numPr>
          <w:ilvl w:val="0"/>
          <w:numId w:val="551"/>
        </w:numPr>
        <w:rPr>
          <w:rFonts w:ascii="Arial" w:cs="Arial" w:eastAsia="Arial" w:hAnsi="Arial"/>
          <w:sz w:val="17"/>
          <w:szCs w:val="17"/>
          <w:color w:val="auto"/>
        </w:rPr>
      </w:pPr>
      <w:r>
        <w:rPr>
          <w:rFonts w:ascii="Arial" w:cs="Arial" w:eastAsia="Arial" w:hAnsi="Arial"/>
          <w:sz w:val="17"/>
          <w:szCs w:val="17"/>
          <w:color w:val="auto"/>
        </w:rPr>
        <w:t xml:space="preserve">EACH SUCH PARTY MAKES THIS WAIVER VOLUNTARILY, AND (IV) EACH SUCH PARTY HAS BEEN INDUCED TO ENTER INTO THIS SPONSOR AGREEMENT BY, AMONG OTHER THINGS, THE MUTUAL WAIVERS AND CERTIFICATIONS IN THIS </w:t>
      </w:r>
      <w:r>
        <w:rPr>
          <w:rFonts w:ascii="Arial" w:cs="Arial" w:eastAsia="Arial" w:hAnsi="Arial"/>
          <w:sz w:val="17"/>
          <w:szCs w:val="17"/>
          <w:u w:val="single" w:color="auto"/>
          <w:color w:val="auto"/>
        </w:rPr>
        <w:t>SECTION 3.3</w:t>
      </w:r>
      <w:r>
        <w:rPr>
          <w:rFonts w:ascii="Arial" w:cs="Arial" w:eastAsia="Arial" w:hAnsi="Arial"/>
          <w:sz w:val="17"/>
          <w:szCs w:val="17"/>
          <w:color w:val="auto"/>
        </w:rPr>
        <w:t>.</w:t>
      </w:r>
    </w:p>
    <w:p>
      <w:pPr>
        <w:spacing w:after="0" w:line="161"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Assignment</w:t>
      </w:r>
      <w:r>
        <w:rPr>
          <w:rFonts w:ascii="Arial" w:cs="Arial" w:eastAsia="Arial" w:hAnsi="Arial"/>
          <w:sz w:val="17"/>
          <w:szCs w:val="17"/>
          <w:color w:val="auto"/>
        </w:rPr>
        <w:t>.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w:t>
      </w:r>
    </w:p>
    <w:p>
      <w:pPr>
        <w:spacing w:after="0" w:line="165"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seek an injunction or injunctions to prevent breaches of this Sponsor Agreement and to enforce specifically the terms and provisions of this Sponsor Agreement in the chancery court or any other state or federal court within the State of Delaware, this being in addition to any other remedy to which such party is entitled at law or in equity.</w:t>
      </w:r>
    </w:p>
    <w:p>
      <w:pPr>
        <w:spacing w:after="0" w:line="188" w:lineRule="exact"/>
        <w:rPr>
          <w:sz w:val="20"/>
          <w:szCs w:val="20"/>
          <w:color w:val="auto"/>
        </w:rPr>
      </w:pPr>
    </w:p>
    <w:p>
      <w:pPr>
        <w:ind w:left="120" w:right="640" w:firstLine="991"/>
        <w:spacing w:after="0" w:line="34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Amendment</w:t>
      </w:r>
      <w:r>
        <w:rPr>
          <w:rFonts w:ascii="Arial" w:cs="Arial" w:eastAsia="Arial" w:hAnsi="Arial"/>
          <w:sz w:val="16"/>
          <w:szCs w:val="16"/>
          <w:color w:val="auto"/>
        </w:rPr>
        <w:t>. This Sponsor Agreement may not be amended, changed, supplemented, waived or otherwise modified or terminated, except upon the execution and delivery of a written agreement executed by Acquiror, the Company and the Sponsor Holdco.</w:t>
      </w:r>
    </w:p>
    <w:p>
      <w:pPr>
        <w:spacing w:after="0" w:line="124" w:lineRule="exact"/>
        <w:rPr>
          <w:sz w:val="20"/>
          <w:szCs w:val="20"/>
          <w:color w:val="auto"/>
        </w:rPr>
      </w:pPr>
    </w:p>
    <w:p>
      <w:pPr>
        <w:ind w:left="120" w:right="180" w:firstLine="991"/>
        <w:spacing w:after="0" w:line="28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65"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among the parties hereto shall be in writing and shall be deemed to have been duly given (a) when delivered in person, (b) when delivered after posting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140"/>
          </w:cols>
          <w:pgMar w:left="320" w:top="460" w:right="439" w:bottom="1440" w:gutter="0" w:footer="0" w:header="0"/>
        </w:sectPr>
      </w:pPr>
    </w:p>
    <w:bookmarkStart w:id="630" w:name="page631"/>
    <w:bookmarkEnd w:id="6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Acquiror</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Douglas G. Bergeron, Douglas L. Braunstein and Jonathan Dobres</w:t>
      </w:r>
    </w:p>
    <w:p>
      <w:pPr>
        <w:spacing w:after="0" w:line="9" w:lineRule="exact"/>
        <w:rPr>
          <w:sz w:val="20"/>
          <w:szCs w:val="20"/>
          <w:color w:val="auto"/>
        </w:rPr>
      </w:pPr>
    </w:p>
    <w:p>
      <w:pPr>
        <w:ind w:left="1000"/>
        <w:spacing w:after="0"/>
        <w:tabs>
          <w:tab w:leader="none" w:pos="1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Doug.Bergeron@hudsonexecutive.com</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Douglas.Braunstein@hudsonexecutive.com</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Jonathan.Dobres@hudsonexecutive.com</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will not constitute notice):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Scott Golenbock and Iliana Ongun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sgolenbock@milbank.com and iongun@milbank.com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Talkspace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2578 Broadway #607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10025</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Attention:</w:t>
        <w:tab/>
        <w:t>Oren Frank</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oren@talkspace.com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885 Third Ave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Attention:</w:t>
        <w:tab/>
        <w:t>Justin G. Hamill</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justin.hamill@lw.com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a Sponsor</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To such Sponsor’s address set forth in </w:t>
      </w:r>
      <w:r>
        <w:rPr>
          <w:rFonts w:ascii="Arial" w:cs="Arial" w:eastAsia="Arial" w:hAnsi="Arial"/>
          <w:sz w:val="18"/>
          <w:szCs w:val="18"/>
          <w:u w:val="single" w:color="auto"/>
          <w:color w:val="auto"/>
        </w:rPr>
        <w:t>Schedule 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will not constitute notice):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Scott Golenbock and Iliana Ongun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sgolenbock@milbank.com and iongun@milbank.com</w:t>
      </w:r>
    </w:p>
    <w:p>
      <w:pPr>
        <w:spacing w:after="0" w:line="211" w:lineRule="exact"/>
        <w:rPr>
          <w:sz w:val="20"/>
          <w:szCs w:val="20"/>
          <w:color w:val="auto"/>
        </w:rPr>
      </w:pPr>
    </w:p>
    <w:p>
      <w:pPr>
        <w:ind w:left="120" w:right="140" w:firstLine="991"/>
        <w:spacing w:after="0" w:line="342"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Sponsor Agreement may be executed in two or more counterparts (any of which may be delivered by electronic transmission), each of which shall constitute an original, and all of which taken together shall constitute one and the same instrument.</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0780"/>
          </w:cols>
          <w:pgMar w:left="320" w:top="460" w:right="799" w:bottom="1440" w:gutter="0" w:footer="0" w:header="0"/>
        </w:sectPr>
      </w:pPr>
    </w:p>
    <w:bookmarkStart w:id="631" w:name="page632"/>
    <w:bookmarkEnd w:id="6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REMAINDER OF THIS PAGE IS INTENTIONALLY BLANK]</w:t>
      </w:r>
    </w:p>
    <w:p>
      <w:pPr>
        <w:spacing w:after="0" w:line="1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0840"/>
          </w:cols>
          <w:pgMar w:left="320" w:top="460" w:right="739" w:bottom="1440" w:gutter="0" w:footer="0" w:header="0"/>
        </w:sectPr>
      </w:pPr>
    </w:p>
    <w:bookmarkStart w:id="632" w:name="page633"/>
    <w:bookmarkEnd w:id="6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WITNESS WHEREOF, the Sponsors, Acquiror, and the Company have each caused this Sponsor Support Agreement to be duly executed as of the date first written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SPONSORS: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HEC SPONSOR LLC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By:</w:t>
            </w:r>
          </w:p>
        </w:tc>
        <w:tc>
          <w:tcPr>
            <w:tcW w:w="3480" w:type="dxa"/>
            <w:vAlign w:val="bottom"/>
          </w:tcPr>
          <w:p>
            <w:pPr>
              <w:ind w:left="80"/>
              <w:spacing w:after="0"/>
              <w:rPr>
                <w:sz w:val="20"/>
                <w:szCs w:val="20"/>
                <w:color w:val="auto"/>
              </w:rPr>
            </w:pPr>
            <w:r>
              <w:rPr>
                <w:rFonts w:ascii="Arial" w:cs="Arial" w:eastAsia="Arial" w:hAnsi="Arial"/>
                <w:sz w:val="18"/>
                <w:szCs w:val="18"/>
                <w:color w:val="auto"/>
              </w:rPr>
              <w:t>/s/ Douglas L. Braunstein</w:t>
            </w:r>
          </w:p>
        </w:tc>
      </w:tr>
      <w:tr>
        <w:trPr>
          <w:trHeight w:val="195"/>
        </w:trPr>
        <w:tc>
          <w:tcPr>
            <w:tcW w:w="280" w:type="dxa"/>
            <w:vAlign w:val="bottom"/>
          </w:tcPr>
          <w:p>
            <w:pPr>
              <w:spacing w:after="0"/>
              <w:rPr>
                <w:sz w:val="16"/>
                <w:szCs w:val="16"/>
                <w:color w:val="auto"/>
              </w:rPr>
            </w:pPr>
          </w:p>
        </w:tc>
        <w:tc>
          <w:tcPr>
            <w:tcW w:w="6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Title:</w:t>
            </w:r>
          </w:p>
        </w:tc>
        <w:tc>
          <w:tcPr>
            <w:tcW w:w="3480" w:type="dxa"/>
            <w:vAlign w:val="bottom"/>
          </w:tcPr>
          <w:p>
            <w:pPr>
              <w:ind w:left="80"/>
              <w:spacing w:after="0"/>
              <w:rPr>
                <w:sz w:val="20"/>
                <w:szCs w:val="20"/>
                <w:color w:val="auto"/>
              </w:rPr>
            </w:pPr>
            <w:r>
              <w:rPr>
                <w:rFonts w:ascii="Arial" w:cs="Arial" w:eastAsia="Arial" w:hAnsi="Arial"/>
                <w:sz w:val="18"/>
                <w:szCs w:val="18"/>
                <w:color w:val="auto"/>
              </w:rPr>
              <w:t>Managing Member</w:t>
            </w:r>
          </w:p>
        </w:tc>
      </w:tr>
    </w:tbl>
    <w:p>
      <w:pPr>
        <w:spacing w:after="0" w:line="2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Douglas G. Bergeron</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Douglas L. Braunstein</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Dobres</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Robert Greifeld</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Amy Schulman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Amy Schulman</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Thelma Duggin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Thelma Duggin</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Sponsor Support Agreement]</w:t>
      </w:r>
    </w:p>
    <w:p>
      <w:pPr>
        <w:sectPr>
          <w:pgSz w:w="11900" w:h="16838" w:orient="portrait"/>
          <w:cols w:equalWidth="0" w:num="1">
            <w:col w:w="11140"/>
          </w:cols>
          <w:pgMar w:left="320" w:top="460" w:right="439" w:bottom="1440" w:gutter="0" w:footer="0" w:header="0"/>
        </w:sectPr>
      </w:pPr>
    </w:p>
    <w:bookmarkStart w:id="633" w:name="page634"/>
    <w:bookmarkEnd w:id="6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ACQUIROR: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HUDSON EXECUTIVE INVESTMENT CORP.</w:t>
      </w:r>
    </w:p>
    <w:p>
      <w:pPr>
        <w:spacing w:after="0" w:line="225"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3800" w:type="dxa"/>
            <w:vAlign w:val="bottom"/>
            <w:gridSpan w:val="2"/>
          </w:tcPr>
          <w:p>
            <w:pPr>
              <w:ind w:left="2860"/>
              <w:spacing w:after="0"/>
              <w:rPr>
                <w:sz w:val="20"/>
                <w:szCs w:val="20"/>
                <w:color w:val="auto"/>
              </w:rPr>
            </w:pPr>
            <w:r>
              <w:rPr>
                <w:rFonts w:ascii="Arial" w:cs="Arial" w:eastAsia="Arial" w:hAnsi="Arial"/>
                <w:sz w:val="18"/>
                <w:szCs w:val="18"/>
                <w:color w:val="auto"/>
              </w:rPr>
              <w:t>By:</w:t>
            </w:r>
          </w:p>
        </w:tc>
        <w:tc>
          <w:tcPr>
            <w:tcW w:w="3460" w:type="dxa"/>
            <w:vAlign w:val="bottom"/>
          </w:tcPr>
          <w:p>
            <w:pPr>
              <w:ind w:left="120"/>
              <w:spacing w:after="0"/>
              <w:rPr>
                <w:sz w:val="20"/>
                <w:szCs w:val="20"/>
                <w:color w:val="auto"/>
              </w:rPr>
            </w:pPr>
            <w:r>
              <w:rPr>
                <w:rFonts w:ascii="Arial" w:cs="Arial" w:eastAsia="Arial" w:hAnsi="Arial"/>
                <w:sz w:val="18"/>
                <w:szCs w:val="18"/>
                <w:color w:val="auto"/>
              </w:rPr>
              <w:t>/s/ Jonathan Dobres</w:t>
            </w:r>
          </w:p>
        </w:tc>
      </w:tr>
      <w:tr>
        <w:trPr>
          <w:trHeight w:val="209"/>
        </w:trPr>
        <w:tc>
          <w:tcPr>
            <w:tcW w:w="32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Jonathan Dobres</w:t>
            </w:r>
          </w:p>
        </w:tc>
      </w:tr>
      <w:tr>
        <w:trPr>
          <w:trHeight w:val="230"/>
        </w:trPr>
        <w:tc>
          <w:tcPr>
            <w:tcW w:w="3800" w:type="dxa"/>
            <w:vAlign w:val="bottom"/>
            <w:gridSpan w:val="2"/>
          </w:tcPr>
          <w:p>
            <w:pPr>
              <w:ind w:left="3220"/>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w w:val="97"/>
              </w:rPr>
              <w:t>[Signature Page to Sponsor Support Agreement]</w:t>
            </w:r>
          </w:p>
        </w:tc>
        <w:tc>
          <w:tcPr>
            <w:tcW w:w="3460" w:type="dxa"/>
            <w:vAlign w:val="bottom"/>
          </w:tcPr>
          <w:p>
            <w:pPr>
              <w:spacing w:after="0"/>
              <w:rPr>
                <w:sz w:val="24"/>
                <w:szCs w:val="24"/>
                <w:color w:val="auto"/>
              </w:rPr>
            </w:pPr>
          </w:p>
        </w:tc>
      </w:tr>
    </w:tbl>
    <w:p>
      <w:pPr>
        <w:sectPr>
          <w:pgSz w:w="11900" w:h="16838" w:orient="portrait"/>
          <w:cols w:equalWidth="0" w:num="1">
            <w:col w:w="11140"/>
          </w:cols>
          <w:pgMar w:left="320" w:top="460" w:right="439" w:bottom="1440" w:gutter="0" w:footer="0" w:header="0"/>
        </w:sectPr>
      </w:pPr>
    </w:p>
    <w:bookmarkStart w:id="634" w:name="page635"/>
    <w:bookmarkEnd w:id="6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GROOP INTERNET PLATFORM, INC. (D/B/A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TALKSPACE)</w:t>
      </w:r>
    </w:p>
    <w:p>
      <w:pPr>
        <w:spacing w:after="0" w:line="211"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3800" w:type="dxa"/>
            <w:vAlign w:val="bottom"/>
            <w:gridSpan w:val="2"/>
          </w:tcPr>
          <w:p>
            <w:pPr>
              <w:ind w:left="2860"/>
              <w:spacing w:after="0"/>
              <w:rPr>
                <w:sz w:val="20"/>
                <w:szCs w:val="20"/>
                <w:color w:val="auto"/>
              </w:rPr>
            </w:pPr>
            <w:r>
              <w:rPr>
                <w:rFonts w:ascii="Arial" w:cs="Arial" w:eastAsia="Arial" w:hAnsi="Arial"/>
                <w:sz w:val="18"/>
                <w:szCs w:val="18"/>
                <w:color w:val="auto"/>
              </w:rPr>
              <w:t>By:</w:t>
            </w:r>
          </w:p>
        </w:tc>
        <w:tc>
          <w:tcPr>
            <w:tcW w:w="3460" w:type="dxa"/>
            <w:vAlign w:val="bottom"/>
          </w:tcPr>
          <w:p>
            <w:pPr>
              <w:ind w:left="120"/>
              <w:spacing w:after="0"/>
              <w:rPr>
                <w:sz w:val="20"/>
                <w:szCs w:val="20"/>
                <w:color w:val="auto"/>
              </w:rPr>
            </w:pPr>
            <w:r>
              <w:rPr>
                <w:rFonts w:ascii="Arial" w:cs="Arial" w:eastAsia="Arial" w:hAnsi="Arial"/>
                <w:sz w:val="18"/>
                <w:szCs w:val="18"/>
                <w:color w:val="auto"/>
              </w:rPr>
              <w:t>/s/ Oren Frank</w:t>
            </w:r>
          </w:p>
        </w:tc>
      </w:tr>
      <w:tr>
        <w:trPr>
          <w:trHeight w:val="209"/>
        </w:trPr>
        <w:tc>
          <w:tcPr>
            <w:tcW w:w="32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Oren Frank</w:t>
            </w:r>
          </w:p>
        </w:tc>
      </w:tr>
      <w:tr>
        <w:trPr>
          <w:trHeight w:val="230"/>
        </w:trPr>
        <w:tc>
          <w:tcPr>
            <w:tcW w:w="3800" w:type="dxa"/>
            <w:vAlign w:val="bottom"/>
            <w:gridSpan w:val="2"/>
          </w:tcPr>
          <w:p>
            <w:pPr>
              <w:ind w:left="3220"/>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w w:val="97"/>
              </w:rPr>
              <w:t>[Signature Page to Sponsor Support Agreement]</w:t>
            </w:r>
          </w:p>
        </w:tc>
        <w:tc>
          <w:tcPr>
            <w:tcW w:w="3460" w:type="dxa"/>
            <w:vAlign w:val="bottom"/>
          </w:tcPr>
          <w:p>
            <w:pPr>
              <w:spacing w:after="0"/>
              <w:rPr>
                <w:sz w:val="24"/>
                <w:szCs w:val="24"/>
                <w:color w:val="auto"/>
              </w:rPr>
            </w:pPr>
          </w:p>
        </w:tc>
      </w:tr>
    </w:tbl>
    <w:p>
      <w:pPr>
        <w:sectPr>
          <w:pgSz w:w="11900" w:h="16838" w:orient="portrait"/>
          <w:cols w:equalWidth="0" w:num="1">
            <w:col w:w="11140"/>
          </w:cols>
          <w:pgMar w:left="320" w:top="460" w:right="439" w:bottom="1440" w:gutter="0" w:footer="0" w:header="0"/>
        </w:sectPr>
      </w:pPr>
    </w:p>
    <w:bookmarkStart w:id="635" w:name="page636"/>
    <w:bookmarkEnd w:id="6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Sponsor Acquiror Class B Common Stock and Acquiror Warrants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Sponsor</w:t>
            </w: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Acquiror Class B</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Acquiror</w:t>
            </w:r>
          </w:p>
        </w:tc>
        <w:tc>
          <w:tcPr>
            <w:tcW w:w="0" w:type="dxa"/>
            <w:vAlign w:val="bottom"/>
          </w:tcPr>
          <w:p>
            <w:pPr>
              <w:spacing w:after="0"/>
              <w:rPr>
                <w:sz w:val="1"/>
                <w:szCs w:val="1"/>
                <w:color w:val="auto"/>
              </w:rPr>
            </w:pPr>
          </w:p>
        </w:tc>
      </w:tr>
      <w:tr>
        <w:trPr>
          <w:trHeight w:val="158"/>
        </w:trPr>
        <w:tc>
          <w:tcPr>
            <w:tcW w:w="7220" w:type="dxa"/>
            <w:vAlign w:val="bottom"/>
            <w:gridSpan w:val="3"/>
            <w:vMerge w:val="continue"/>
          </w:tcPr>
          <w:p>
            <w:pPr>
              <w:spacing w:after="0"/>
              <w:rPr>
                <w:sz w:val="13"/>
                <w:szCs w:val="13"/>
                <w:color w:val="auto"/>
              </w:rPr>
            </w:pPr>
          </w:p>
        </w:tc>
        <w:tc>
          <w:tcPr>
            <w:tcW w:w="17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 Sponsor LLC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10,300,000</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10,280,000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Douglas L. Braunstein</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 (1)</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323"/>
        </w:trPr>
        <w:tc>
          <w:tcPr>
            <w:tcW w:w="7220" w:type="dxa"/>
            <w:vAlign w:val="bottom"/>
            <w:gridSpan w:val="3"/>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G. Bergeron</w:t>
            </w:r>
          </w:p>
        </w:tc>
        <w:tc>
          <w:tcPr>
            <w:tcW w:w="1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(1)</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Jonathan Dobres</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7220" w:type="dxa"/>
            <w:vAlign w:val="bottom"/>
            <w:gridSpan w:val="3"/>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Amy Schulman</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7220" w:type="dxa"/>
            <w:vAlign w:val="bottom"/>
            <w:gridSpan w:val="3"/>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Thelma Duggin</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311" w:lineRule="auto"/>
        <w:tabs>
          <w:tab w:leader="none" w:pos="54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Messrs. Braunstein and Bergeron are among the members of HEC Sponsor LLC and share voting and investment discretion with respect to the common stock held of record by HEC Sponsor LLC. Each of the Messrs. Braunstein and Bergeron disclaims any beneficial ownership of the securities held by HEC Sponsor LLC other than to the extent of any pecuniary interest he may have therein, directly or indirectly.</w:t>
      </w:r>
    </w:p>
    <w:p>
      <w:pPr>
        <w:spacing w:after="0" w:line="14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[Schedule I to Sponsor Support Agreement]</w:t>
      </w:r>
    </w:p>
    <w:p>
      <w:pPr>
        <w:sectPr>
          <w:pgSz w:w="11900" w:h="16838" w:orient="portrait"/>
          <w:cols w:equalWidth="0" w:num="1">
            <w:col w:w="10820"/>
          </w:cols>
          <w:pgMar w:left="320" w:top="460" w:right="759" w:bottom="1440" w:gutter="0" w:footer="0" w:header="0"/>
        </w:sectPr>
      </w:pPr>
    </w:p>
    <w:bookmarkStart w:id="636" w:name="page637"/>
    <w:bookmarkEnd w:id="6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Affiliate Agreements</w:t>
      </w:r>
    </w:p>
    <w:p>
      <w:pPr>
        <w:spacing w:after="0" w:line="256" w:lineRule="exact"/>
        <w:rPr>
          <w:sz w:val="20"/>
          <w:szCs w:val="20"/>
          <w:color w:val="auto"/>
        </w:rPr>
      </w:pPr>
    </w:p>
    <w:p>
      <w:pPr>
        <w:ind w:left="540" w:hanging="424"/>
        <w:spacing w:after="0"/>
        <w:tabs>
          <w:tab w:leader="none" w:pos="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Letter Agreement, dated June 8, 2020, by and among Acquiror, its current executive officers and directors, and Sponsor Holdco.</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53"/>
        </w:numPr>
        <w:rPr>
          <w:rFonts w:ascii="Arial" w:cs="Arial" w:eastAsia="Arial" w:hAnsi="Arial"/>
          <w:sz w:val="16"/>
          <w:szCs w:val="16"/>
          <w:color w:val="auto"/>
        </w:rPr>
      </w:pPr>
      <w:r>
        <w:rPr>
          <w:rFonts w:ascii="Arial" w:cs="Arial" w:eastAsia="Arial" w:hAnsi="Arial"/>
          <w:sz w:val="16"/>
          <w:szCs w:val="16"/>
          <w:color w:val="auto"/>
        </w:rPr>
        <w:t>Registration Rights Agreement, dated June 8, 2020, by and among the Acquiror, Sponsor Holdco and certain other security holders named therein.</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Administrative Services Agreement, dated June 8, 2020, by and among the Acquiror, Sponsor Holdco and Hudson Executive Capital LP.</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Forward Purchase Agreement, dated June 8, 2020, by and between the Acquiror and HEC Master Fund LP.</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Private Placement Warrants Purchase Agreement, dated June 8, 2020, by and between the Acquiror and Sponsor Holdco.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 II to Sponsor Support Agreement]</w:t>
      </w:r>
    </w:p>
    <w:p>
      <w:pPr>
        <w:sectPr>
          <w:pgSz w:w="11900" w:h="16838" w:orient="portrait"/>
          <w:cols w:equalWidth="0" w:num="1">
            <w:col w:w="11100"/>
          </w:cols>
          <w:pgMar w:left="320" w:top="460" w:right="479" w:bottom="1440" w:gutter="0" w:footer="0" w:header="0"/>
        </w:sectPr>
      </w:pPr>
    </w:p>
    <w:bookmarkStart w:id="637" w:name="page638"/>
    <w:bookmarkEnd w:id="6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220345</wp:posOffset>
            </wp:positionV>
            <wp:extent cx="5323205" cy="72009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323205" cy="7200900"/>
                    </a:xfrm>
                    <a:prstGeom prst="rect">
                      <a:avLst/>
                    </a:prstGeom>
                    <a:noFill/>
                  </pic:spPr>
                </pic:pic>
              </a:graphicData>
            </a:graphic>
          </wp:anchor>
        </w:drawing>
      </w:r>
    </w:p>
    <w:p>
      <w:pPr>
        <w:sectPr>
          <w:pgSz w:w="11900" w:h="16838" w:orient="portrait"/>
          <w:cols w:equalWidth="0" w:num="1">
            <w:col w:w="10139"/>
          </w:cols>
          <w:pgMar w:left="320" w:top="460" w:right="1440" w:bottom="1440" w:gutter="0" w:footer="0" w:header="0"/>
        </w:sectPr>
      </w:pPr>
    </w:p>
    <w:bookmarkStart w:id="638" w:name="page639"/>
    <w:bookmarkEnd w:id="6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220345</wp:posOffset>
            </wp:positionV>
            <wp:extent cx="5323205" cy="72009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323205" cy="7200900"/>
                    </a:xfrm>
                    <a:prstGeom prst="rect">
                      <a:avLst/>
                    </a:prstGeom>
                    <a:noFill/>
                  </pic:spPr>
                </pic:pic>
              </a:graphicData>
            </a:graphic>
          </wp:anchor>
        </w:drawing>
      </w:r>
    </w:p>
    <w:sectPr>
      <w:pgSz w:w="11900" w:h="16838" w:orient="portrait"/>
      <w:cols w:equalWidth="0" w:num="1">
        <w:col w:w="10139"/>
      </w:cols>
      <w:pgMar w:left="32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53CD2"/>
    <w:multiLevelType w:val="hybridMultilevel"/>
    <w:lvl w:ilvl="0">
      <w:lvlJc w:val="left"/>
      <w:lvlText w:val="☐"/>
      <w:numFmt w:val="bullet"/>
      <w:start w:val="1"/>
    </w:lvl>
  </w:abstractNum>
  <w:abstractNum w:abstractNumId="1">
    <w:nsid w:val="683CAAD3"/>
    <w:multiLevelType w:val="hybridMultilevel"/>
    <w:lvl w:ilvl="0">
      <w:lvlJc w:val="left"/>
      <w:lvlText w:val="☒"/>
      <w:numFmt w:val="bullet"/>
      <w:start w:val="1"/>
    </w:lvl>
  </w:abstractNum>
  <w:abstractNum w:abstractNumId="2">
    <w:nsid w:val="313C7C99"/>
    <w:multiLevelType w:val="hybridMultilevel"/>
    <w:lvl w:ilvl="0">
      <w:lvlJc w:val="left"/>
      <w:lvlText w:val="☐"/>
      <w:numFmt w:val="bullet"/>
      <w:start w:val="1"/>
    </w:lvl>
  </w:abstractNum>
  <w:abstractNum w:abstractNumId="3">
    <w:nsid w:val="519EB94C"/>
    <w:multiLevelType w:val="hybridMultilevel"/>
    <w:lvl w:ilvl="0">
      <w:lvlJc w:val="left"/>
      <w:lvlText w:val="☒"/>
      <w:numFmt w:val="bullet"/>
      <w:start w:val="1"/>
    </w:lvl>
  </w:abstractNum>
  <w:abstractNum w:abstractNumId="4">
    <w:nsid w:val="39DF2579"/>
    <w:multiLevelType w:val="hybridMultilevel"/>
    <w:lvl w:ilvl="0">
      <w:lvlJc w:val="left"/>
      <w:lvlText w:val="☐"/>
      <w:numFmt w:val="bullet"/>
      <w:start w:val="1"/>
    </w:lvl>
    <w:lvl w:ilvl="1">
      <w:lvlJc w:val="left"/>
      <w:lvlText w:val="(%2)"/>
      <w:numFmt w:val="decimal"/>
      <w:start w:val="1"/>
    </w:lvl>
  </w:abstractNum>
  <w:abstractNum w:abstractNumId="5">
    <w:nsid w:val="126E008B"/>
    <w:multiLevelType w:val="hybridMultilevel"/>
    <w:lvl w:ilvl="0">
      <w:lvlJc w:val="left"/>
      <w:lvlText w:val="(%1)"/>
      <w:numFmt w:val="lowerRoman"/>
      <w:start w:val="2"/>
    </w:lvl>
  </w:abstractNum>
  <w:abstractNum w:abstractNumId="6">
    <w:nsid w:val="34DFBC00"/>
    <w:multiLevelType w:val="hybridMultilevel"/>
    <w:lvl w:ilvl="0">
      <w:lvlJc w:val="left"/>
      <w:lvlText w:val="(%1)"/>
      <w:numFmt w:val="decimal"/>
      <w:start w:val="1"/>
    </w:lvl>
  </w:abstractNum>
  <w:abstractNum w:abstractNumId="7">
    <w:nsid w:val="1F9EC322"/>
    <w:multiLevelType w:val="hybridMultilevel"/>
    <w:lvl w:ilvl="0">
      <w:lvlJc w:val="left"/>
      <w:lvlText w:val="(%1)"/>
      <w:numFmt w:val="decimal"/>
      <w:start w:val="1"/>
    </w:lvl>
  </w:abstractNum>
  <w:abstractNum w:abstractNumId="8">
    <w:nsid w:val="3410ED56"/>
    <w:multiLevelType w:val="hybridMultilevel"/>
    <w:lvl w:ilvl="0">
      <w:lvlJc w:val="left"/>
      <w:lvlText w:val="(%1)"/>
      <w:numFmt w:val="decimal"/>
      <w:start w:val="8"/>
    </w:lvl>
  </w:abstractNum>
  <w:abstractNum w:abstractNumId="9">
    <w:nsid w:val="23C049A"/>
    <w:multiLevelType w:val="hybridMultilevel"/>
    <w:lvl w:ilvl="0">
      <w:lvlJc w:val="left"/>
      <w:lvlText w:val="(%1)"/>
      <w:numFmt w:val="upperLetter"/>
      <w:start w:val="2"/>
    </w:lvl>
  </w:abstractNum>
  <w:abstractNum w:abstractNumId="10">
    <w:nsid w:val="5BDA35D4"/>
    <w:multiLevelType w:val="hybridMultilevel"/>
    <w:lvl w:ilvl="0">
      <w:lvlJc w:val="left"/>
      <w:lvlText w:val="(%1)"/>
      <w:numFmt w:val="lowerRoman"/>
      <w:start w:val="1"/>
    </w:lvl>
  </w:abstractNum>
  <w:abstractNum w:abstractNumId="11">
    <w:nsid w:val="496FB218"/>
    <w:multiLevelType w:val="hybridMultilevel"/>
    <w:lvl w:ilvl="0">
      <w:lvlJc w:val="left"/>
      <w:lvlText w:val="(%1)"/>
      <w:numFmt w:val="lowerRoman"/>
      <w:start w:val="2"/>
    </w:lvl>
  </w:abstractNum>
  <w:abstractNum w:abstractNumId="12">
    <w:nsid w:val="680EA5D1"/>
    <w:multiLevelType w:val="hybridMultilevel"/>
    <w:lvl w:ilvl="0">
      <w:lvlJc w:val="left"/>
      <w:lvlText w:val="•"/>
      <w:numFmt w:val="bullet"/>
      <w:start w:val="1"/>
    </w:lvl>
  </w:abstractNum>
  <w:abstractNum w:abstractNumId="13">
    <w:nsid w:val="4A9554FE"/>
    <w:multiLevelType w:val="hybridMultilevel"/>
    <w:lvl w:ilvl="0">
      <w:lvlJc w:val="left"/>
      <w:lvlText w:val="•"/>
      <w:numFmt w:val="bullet"/>
      <w:start w:val="1"/>
    </w:lvl>
    <w:lvl w:ilvl="1">
      <w:lvlJc w:val="left"/>
      <w:lvlText w:val="•"/>
      <w:numFmt w:val="bullet"/>
      <w:start w:val="1"/>
    </w:lvl>
  </w:abstractNum>
  <w:abstractNum w:abstractNumId="14">
    <w:nsid w:val="392EDBE4"/>
    <w:multiLevelType w:val="hybridMultilevel"/>
    <w:lvl w:ilvl="0">
      <w:lvlJc w:val="left"/>
      <w:lvlText w:val="•"/>
      <w:numFmt w:val="bullet"/>
      <w:start w:val="1"/>
    </w:lvl>
  </w:abstractNum>
  <w:abstractNum w:abstractNumId="15">
    <w:nsid w:val="3D1A2DD9"/>
    <w:multiLevelType w:val="hybridMultilevel"/>
    <w:lvl w:ilvl="0">
      <w:lvlJc w:val="left"/>
      <w:lvlText w:val="%1."/>
      <w:numFmt w:val="upperLetter"/>
      <w:start w:val="17"/>
    </w:lvl>
    <w:lvl w:ilvl="1">
      <w:lvlJc w:val="left"/>
      <w:lvlText w:val="%2"/>
      <w:numFmt w:val="decimal"/>
      <w:start w:val="1"/>
    </w:lvl>
  </w:abstractNum>
  <w:abstractNum w:abstractNumId="16">
    <w:nsid w:val="7F618FCD"/>
    <w:multiLevelType w:val="hybridMultilevel"/>
    <w:lvl w:ilvl="0">
      <w:lvlJc w:val="left"/>
      <w:lvlText w:val="%1."/>
      <w:numFmt w:val="upperLetter"/>
      <w:start w:val="1"/>
    </w:lvl>
    <w:lvl w:ilvl="1">
      <w:lvlJc w:val="left"/>
      <w:lvlText w:val="%2"/>
      <w:numFmt w:val="decimal"/>
      <w:start w:val="1"/>
    </w:lvl>
  </w:abstractNum>
  <w:abstractNum w:abstractNumId="17">
    <w:nsid w:val="7843E45"/>
    <w:multiLevelType w:val="hybridMultilevel"/>
    <w:lvl w:ilvl="0">
      <w:lvlJc w:val="left"/>
      <w:lvlText w:val="%1."/>
      <w:numFmt w:val="upperLetter"/>
      <w:start w:val="17"/>
    </w:lvl>
    <w:lvl w:ilvl="1">
      <w:lvlJc w:val="left"/>
      <w:lvlText w:val="%2"/>
      <w:numFmt w:val="decimal"/>
      <w:start w:val="1"/>
    </w:lvl>
  </w:abstractNum>
  <w:abstractNum w:abstractNumId="18">
    <w:nsid w:val="9815DA3"/>
    <w:multiLevelType w:val="hybridMultilevel"/>
    <w:lvl w:ilvl="0">
      <w:lvlJc w:val="left"/>
      <w:lvlText w:val="%1."/>
      <w:numFmt w:val="upperLetter"/>
      <w:start w:val="1"/>
    </w:lvl>
    <w:lvl w:ilvl="1">
      <w:lvlJc w:val="left"/>
      <w:lvlText w:val="%2"/>
      <w:numFmt w:val="decimal"/>
      <w:start w:val="1"/>
    </w:lvl>
  </w:abstractNum>
  <w:abstractNum w:abstractNumId="19">
    <w:nsid w:val="5204A191"/>
    <w:multiLevelType w:val="hybridMultilevel"/>
    <w:lvl w:ilvl="0">
      <w:lvlJc w:val="left"/>
      <w:lvlText w:val="%1."/>
      <w:numFmt w:val="upperLetter"/>
      <w:start w:val="17"/>
    </w:lvl>
    <w:lvl w:ilvl="1">
      <w:lvlJc w:val="left"/>
      <w:lvlText w:val="%2"/>
      <w:numFmt w:val="decimal"/>
      <w:start w:val="1"/>
    </w:lvl>
  </w:abstractNum>
  <w:abstractNum w:abstractNumId="20">
    <w:nsid w:val="4C73A9C6"/>
    <w:multiLevelType w:val="hybridMultilevel"/>
    <w:lvl w:ilvl="0">
      <w:lvlJc w:val="left"/>
      <w:lvlText w:val="%1."/>
      <w:numFmt w:val="upperLetter"/>
      <w:start w:val="1"/>
    </w:lvl>
    <w:lvl w:ilvl="1">
      <w:lvlJc w:val="left"/>
      <w:lvlText w:val="%2."/>
      <w:numFmt w:val="decimal"/>
      <w:start w:val="1"/>
    </w:lvl>
  </w:abstractNum>
  <w:abstractNum w:abstractNumId="21">
    <w:nsid w:val="1C7E3C01"/>
    <w:multiLevelType w:val="hybridMultilevel"/>
    <w:lvl w:ilvl="0">
      <w:lvlJc w:val="left"/>
      <w:lvlText w:val="%1."/>
      <w:numFmt w:val="decimal"/>
      <w:start w:val="5"/>
    </w:lvl>
  </w:abstractNum>
  <w:abstractNum w:abstractNumId="22">
    <w:nsid w:val="1C2201FF"/>
    <w:multiLevelType w:val="hybridMultilevel"/>
    <w:lvl w:ilvl="0">
      <w:lvlJc w:val="left"/>
      <w:lvlText w:val="%1."/>
      <w:numFmt w:val="upperLetter"/>
      <w:start w:val="17"/>
    </w:lvl>
  </w:abstractNum>
  <w:abstractNum w:abstractNumId="23">
    <w:nsid w:val="50ABCEC9"/>
    <w:multiLevelType w:val="hybridMultilevel"/>
    <w:lvl w:ilvl="0">
      <w:lvlJc w:val="left"/>
      <w:lvlText w:val="%1."/>
      <w:numFmt w:val="upperLetter"/>
      <w:start w:val="1"/>
    </w:lvl>
  </w:abstractNum>
  <w:abstractNum w:abstractNumId="24">
    <w:nsid w:val="7635AA2A"/>
    <w:multiLevelType w:val="hybridMultilevel"/>
    <w:lvl w:ilvl="0">
      <w:lvlJc w:val="left"/>
      <w:lvlText w:val="%1."/>
      <w:numFmt w:val="upperLetter"/>
      <w:start w:val="17"/>
    </w:lvl>
  </w:abstractNum>
  <w:abstractNum w:abstractNumId="25">
    <w:nsid w:val="5E74C4D9"/>
    <w:multiLevelType w:val="hybridMultilevel"/>
    <w:lvl w:ilvl="0">
      <w:lvlJc w:val="left"/>
      <w:lvlText w:val="%1."/>
      <w:numFmt w:val="upperLetter"/>
      <w:start w:val="1"/>
    </w:lvl>
  </w:abstractNum>
  <w:abstractNum w:abstractNumId="26">
    <w:nsid w:val="3B3EBE15"/>
    <w:multiLevelType w:val="hybridMultilevel"/>
    <w:lvl w:ilvl="0">
      <w:lvlJc w:val="left"/>
      <w:lvlText w:val="%1."/>
      <w:numFmt w:val="upperLetter"/>
      <w:start w:val="17"/>
    </w:lvl>
  </w:abstractNum>
  <w:abstractNum w:abstractNumId="27">
    <w:nsid w:val="3822CB01"/>
    <w:multiLevelType w:val="hybridMultilevel"/>
    <w:lvl w:ilvl="0">
      <w:lvlJc w:val="left"/>
      <w:lvlText w:val="%1."/>
      <w:numFmt w:val="upperLetter"/>
      <w:start w:val="1"/>
    </w:lvl>
  </w:abstractNum>
  <w:abstractNum w:abstractNumId="28">
    <w:nsid w:val="6CE00443"/>
    <w:multiLevelType w:val="hybridMultilevel"/>
    <w:lvl w:ilvl="0">
      <w:lvlJc w:val="left"/>
      <w:lvlText w:val="%1."/>
      <w:numFmt w:val="upperLetter"/>
      <w:start w:val="17"/>
    </w:lvl>
  </w:abstractNum>
  <w:abstractNum w:abstractNumId="29">
    <w:nsid w:val="79F0D62F"/>
    <w:multiLevelType w:val="hybridMultilevel"/>
    <w:lvl w:ilvl="0">
      <w:lvlJc w:val="left"/>
      <w:lvlText w:val="%1."/>
      <w:numFmt w:val="upperLetter"/>
      <w:start w:val="1"/>
    </w:lvl>
  </w:abstractNum>
  <w:abstractNum w:abstractNumId="30">
    <w:nsid w:val="7975E8EE"/>
    <w:multiLevelType w:val="hybridMultilevel"/>
    <w:lvl w:ilvl="0">
      <w:lvlJc w:val="left"/>
      <w:lvlText w:val="%1."/>
      <w:numFmt w:val="upperLetter"/>
      <w:start w:val="17"/>
    </w:lvl>
  </w:abstractNum>
  <w:abstractNum w:abstractNumId="31">
    <w:nsid w:val="73154115"/>
    <w:multiLevelType w:val="hybridMultilevel"/>
    <w:lvl w:ilvl="0">
      <w:lvlJc w:val="left"/>
      <w:lvlText w:val="%1."/>
      <w:numFmt w:val="upperLetter"/>
      <w:start w:val="1"/>
    </w:lvl>
  </w:abstractNum>
  <w:abstractNum w:abstractNumId="32">
    <w:nsid w:val="622D8102"/>
    <w:multiLevelType w:val="hybridMultilevel"/>
    <w:lvl w:ilvl="0">
      <w:lvlJc w:val="left"/>
      <w:lvlText w:val="%1."/>
      <w:numFmt w:val="upperLetter"/>
      <w:start w:val="17"/>
    </w:lvl>
  </w:abstractNum>
  <w:abstractNum w:abstractNumId="33">
    <w:nsid w:val="2AB26587"/>
    <w:multiLevelType w:val="hybridMultilevel"/>
    <w:lvl w:ilvl="0">
      <w:lvlJc w:val="left"/>
      <w:lvlText w:val="%1."/>
      <w:numFmt w:val="upperLetter"/>
      <w:start w:val="1"/>
    </w:lvl>
  </w:abstractNum>
  <w:abstractNum w:abstractNumId="34">
    <w:nsid w:val="44B3FA61"/>
    <w:multiLevelType w:val="hybridMultilevel"/>
    <w:lvl w:ilvl="0">
      <w:lvlJc w:val="left"/>
      <w:lvlText w:val="%1."/>
      <w:numFmt w:val="upperLetter"/>
      <w:start w:val="17"/>
    </w:lvl>
  </w:abstractNum>
  <w:abstractNum w:abstractNumId="35">
    <w:nsid w:val="1C0CA67C"/>
    <w:multiLevelType w:val="hybridMultilevel"/>
    <w:lvl w:ilvl="0">
      <w:lvlJc w:val="left"/>
      <w:lvlText w:val="%1."/>
      <w:numFmt w:val="upperLetter"/>
      <w:start w:val="17"/>
    </w:lvl>
  </w:abstractNum>
  <w:abstractNum w:abstractNumId="36">
    <w:nsid w:val="3D206613"/>
    <w:multiLevelType w:val="hybridMultilevel"/>
    <w:lvl w:ilvl="0">
      <w:lvlJc w:val="left"/>
      <w:lvlText w:val="%1."/>
      <w:numFmt w:val="upperLetter"/>
      <w:start w:val="1"/>
    </w:lvl>
  </w:abstractNum>
  <w:abstractNum w:abstractNumId="37">
    <w:nsid w:val="7993B662"/>
    <w:multiLevelType w:val="hybridMultilevel"/>
    <w:lvl w:ilvl="0">
      <w:lvlJc w:val="left"/>
      <w:lvlText w:val="%1."/>
      <w:numFmt w:val="upperLetter"/>
      <w:start w:val="17"/>
    </w:lvl>
  </w:abstractNum>
  <w:abstractNum w:abstractNumId="38">
    <w:nsid w:val="3BAB699E"/>
    <w:multiLevelType w:val="hybridMultilevel"/>
    <w:lvl w:ilvl="0">
      <w:lvlJc w:val="left"/>
      <w:lvlText w:val="%1."/>
      <w:numFmt w:val="upperLetter"/>
      <w:start w:val="1"/>
    </w:lvl>
  </w:abstractNum>
  <w:abstractNum w:abstractNumId="39">
    <w:nsid w:val="71315369"/>
    <w:multiLevelType w:val="hybridMultilevel"/>
    <w:lvl w:ilvl="0">
      <w:lvlJc w:val="left"/>
      <w:lvlText w:val="%1."/>
      <w:numFmt w:val="upperLetter"/>
      <w:start w:val="17"/>
    </w:lvl>
  </w:abstractNum>
  <w:abstractNum w:abstractNumId="40">
    <w:nsid w:val="7BCFBAFC"/>
    <w:multiLevelType w:val="hybridMultilevel"/>
    <w:lvl w:ilvl="0">
      <w:lvlJc w:val="left"/>
      <w:lvlText w:val="%1."/>
      <w:numFmt w:val="upperLetter"/>
      <w:start w:val="1"/>
    </w:lvl>
  </w:abstractNum>
  <w:abstractNum w:abstractNumId="41">
    <w:nsid w:val="17859F72"/>
    <w:multiLevelType w:val="hybridMultilevel"/>
    <w:lvl w:ilvl="0">
      <w:lvlJc w:val="left"/>
      <w:lvlText w:val="%1."/>
      <w:numFmt w:val="upperLetter"/>
      <w:start w:val="17"/>
    </w:lvl>
  </w:abstractNum>
  <w:abstractNum w:abstractNumId="42">
    <w:nsid w:val="3AA10581"/>
    <w:multiLevelType w:val="hybridMultilevel"/>
    <w:lvl w:ilvl="0">
      <w:lvlJc w:val="left"/>
      <w:lvlText w:val="%1."/>
      <w:numFmt w:val="upperLetter"/>
      <w:start w:val="1"/>
    </w:lvl>
  </w:abstractNum>
  <w:abstractNum w:abstractNumId="43">
    <w:nsid w:val="63DE60CD"/>
    <w:multiLevelType w:val="hybridMultilevel"/>
    <w:lvl w:ilvl="0">
      <w:lvlJc w:val="left"/>
      <w:lvlText w:val="%1."/>
      <w:numFmt w:val="upperLetter"/>
      <w:start w:val="17"/>
    </w:lvl>
  </w:abstractNum>
  <w:abstractNum w:abstractNumId="44">
    <w:nsid w:val="621AF471"/>
    <w:multiLevelType w:val="hybridMultilevel"/>
    <w:lvl w:ilvl="0">
      <w:lvlJc w:val="left"/>
      <w:lvlText w:val="%1."/>
      <w:numFmt w:val="upperLetter"/>
      <w:start w:val="1"/>
    </w:lvl>
  </w:abstractNum>
  <w:abstractNum w:abstractNumId="45">
    <w:nsid w:val="73CFE165"/>
    <w:multiLevelType w:val="hybridMultilevel"/>
    <w:lvl w:ilvl="0">
      <w:lvlJc w:val="left"/>
      <w:lvlText w:val="%1."/>
      <w:numFmt w:val="upperLetter"/>
      <w:start w:val="17"/>
    </w:lvl>
  </w:abstractNum>
  <w:abstractNum w:abstractNumId="46">
    <w:nsid w:val="20F88EA6"/>
    <w:multiLevelType w:val="hybridMultilevel"/>
    <w:lvl w:ilvl="0">
      <w:lvlJc w:val="left"/>
      <w:lvlText w:val="%1."/>
      <w:numFmt w:val="upperLetter"/>
      <w:start w:val="1"/>
    </w:lvl>
  </w:abstractNum>
  <w:abstractNum w:abstractNumId="47">
    <w:nsid w:val="617C843E"/>
    <w:multiLevelType w:val="hybridMultilevel"/>
    <w:lvl w:ilvl="0">
      <w:lvlJc w:val="left"/>
      <w:lvlText w:val="%1."/>
      <w:numFmt w:val="upperLetter"/>
      <w:start w:val="17"/>
    </w:lvl>
  </w:abstractNum>
  <w:abstractNum w:abstractNumId="48">
    <w:nsid w:val="7B541FAB"/>
    <w:multiLevelType w:val="hybridMultilevel"/>
    <w:lvl w:ilvl="0">
      <w:lvlJc w:val="left"/>
      <w:lvlText w:val="%1."/>
      <w:numFmt w:val="upperLetter"/>
      <w:start w:val="1"/>
    </w:lvl>
  </w:abstractNum>
  <w:abstractNum w:abstractNumId="49">
    <w:nsid w:val="2A79EC49"/>
    <w:multiLevelType w:val="hybridMultilevel"/>
    <w:lvl w:ilvl="0">
      <w:lvlJc w:val="left"/>
      <w:lvlText w:val="%1."/>
      <w:numFmt w:val="upperLetter"/>
      <w:start w:val="17"/>
    </w:lvl>
  </w:abstractNum>
  <w:abstractNum w:abstractNumId="50">
    <w:nsid w:val="338125CF"/>
    <w:multiLevelType w:val="hybridMultilevel"/>
    <w:lvl w:ilvl="0">
      <w:lvlJc w:val="left"/>
      <w:lvlText w:val="%1."/>
      <w:numFmt w:val="upperLetter"/>
      <w:start w:val="1"/>
    </w:lvl>
  </w:abstractNum>
  <w:abstractNum w:abstractNumId="51">
    <w:nsid w:val="47C7C971"/>
    <w:multiLevelType w:val="hybridMultilevel"/>
    <w:lvl w:ilvl="0">
      <w:lvlJc w:val="left"/>
      <w:lvlText w:val="%1."/>
      <w:numFmt w:val="upperLetter"/>
      <w:start w:val="17"/>
    </w:lvl>
  </w:abstractNum>
  <w:abstractNum w:abstractNumId="52">
    <w:nsid w:val="46F8284B"/>
    <w:multiLevelType w:val="hybridMultilevel"/>
    <w:lvl w:ilvl="0">
      <w:lvlJc w:val="left"/>
      <w:lvlText w:val="%1."/>
      <w:numFmt w:val="upperLetter"/>
      <w:start w:val="1"/>
    </w:lvl>
  </w:abstractNum>
  <w:abstractNum w:abstractNumId="53">
    <w:nsid w:val="4FA327CE"/>
    <w:multiLevelType w:val="hybridMultilevel"/>
    <w:lvl w:ilvl="0">
      <w:lvlJc w:val="left"/>
      <w:lvlText w:val="%1."/>
      <w:numFmt w:val="upperLetter"/>
      <w:start w:val="17"/>
    </w:lvl>
  </w:abstractNum>
  <w:abstractNum w:abstractNumId="54">
    <w:nsid w:val="1873983A"/>
    <w:multiLevelType w:val="hybridMultilevel"/>
    <w:lvl w:ilvl="0">
      <w:lvlJc w:val="left"/>
      <w:lvlText w:val="%1."/>
      <w:numFmt w:val="upperLetter"/>
      <w:start w:val="1"/>
    </w:lvl>
  </w:abstractNum>
  <w:abstractNum w:abstractNumId="55">
    <w:nsid w:val="3D2DD275"/>
    <w:multiLevelType w:val="hybridMultilevel"/>
    <w:lvl w:ilvl="0">
      <w:lvlJc w:val="left"/>
      <w:lvlText w:val="%1."/>
      <w:numFmt w:val="upperLetter"/>
      <w:start w:val="17"/>
    </w:lvl>
  </w:abstractNum>
  <w:abstractNum w:abstractNumId="56">
    <w:nsid w:val="2E17ECA7"/>
    <w:multiLevelType w:val="hybridMultilevel"/>
    <w:lvl w:ilvl="0">
      <w:lvlJc w:val="left"/>
      <w:lvlText w:val="%1."/>
      <w:numFmt w:val="upperLetter"/>
      <w:start w:val="1"/>
    </w:lvl>
  </w:abstractNum>
  <w:abstractNum w:abstractNumId="57">
    <w:nsid w:val="53B2564F"/>
    <w:multiLevelType w:val="hybridMultilevel"/>
    <w:lvl w:ilvl="0">
      <w:lvlJc w:val="left"/>
      <w:lvlText w:val="%1."/>
      <w:numFmt w:val="upperLetter"/>
      <w:start w:val="17"/>
    </w:lvl>
  </w:abstractNum>
  <w:abstractNum w:abstractNumId="58">
    <w:nsid w:val="75509D76"/>
    <w:multiLevelType w:val="hybridMultilevel"/>
    <w:lvl w:ilvl="0">
      <w:lvlJc w:val="left"/>
      <w:lvlText w:val="%1."/>
      <w:numFmt w:val="upperLetter"/>
      <w:start w:val="1"/>
    </w:lvl>
  </w:abstractNum>
  <w:abstractNum w:abstractNumId="59">
    <w:nsid w:val="1AF7F0EA"/>
    <w:multiLevelType w:val="hybridMultilevel"/>
    <w:lvl w:ilvl="0">
      <w:lvlJc w:val="left"/>
      <w:lvlText w:val="%1."/>
      <w:numFmt w:val="upperLetter"/>
      <w:start w:val="17"/>
    </w:lvl>
  </w:abstractNum>
  <w:abstractNum w:abstractNumId="60">
    <w:nsid w:val="4DA32C7E"/>
    <w:multiLevelType w:val="hybridMultilevel"/>
    <w:lvl w:ilvl="0">
      <w:lvlJc w:val="left"/>
      <w:lvlText w:val="%1."/>
      <w:numFmt w:val="upperLetter"/>
      <w:start w:val="1"/>
    </w:lvl>
  </w:abstractNum>
  <w:abstractNum w:abstractNumId="61">
    <w:nsid w:val="6EC68664"/>
    <w:multiLevelType w:val="hybridMultilevel"/>
    <w:lvl w:ilvl="0">
      <w:lvlJc w:val="left"/>
      <w:lvlText w:val="%1."/>
      <w:numFmt w:val="upperLetter"/>
      <w:start w:val="17"/>
    </w:lvl>
  </w:abstractNum>
  <w:abstractNum w:abstractNumId="62">
    <w:nsid w:val="E0D31FF"/>
    <w:multiLevelType w:val="hybridMultilevel"/>
    <w:lvl w:ilvl="0">
      <w:lvlJc w:val="left"/>
      <w:lvlText w:val="%1."/>
      <w:numFmt w:val="upperLetter"/>
      <w:start w:val="1"/>
    </w:lvl>
  </w:abstractNum>
  <w:abstractNum w:abstractNumId="63">
    <w:nsid w:val="2FD0AD81"/>
    <w:multiLevelType w:val="hybridMultilevel"/>
    <w:lvl w:ilvl="0">
      <w:lvlJc w:val="left"/>
      <w:lvlText w:val="%1."/>
      <w:numFmt w:val="upperLetter"/>
      <w:start w:val="17"/>
    </w:lvl>
  </w:abstractNum>
  <w:abstractNum w:abstractNumId="64">
    <w:nsid w:val="1978EBEB"/>
    <w:multiLevelType w:val="hybridMultilevel"/>
    <w:lvl w:ilvl="0">
      <w:lvlJc w:val="left"/>
      <w:lvlText w:val="%1."/>
      <w:numFmt w:val="upperLetter"/>
      <w:start w:val="1"/>
    </w:lvl>
  </w:abstractNum>
  <w:abstractNum w:abstractNumId="65">
    <w:nsid w:val="52C12C61"/>
    <w:multiLevelType w:val="hybridMultilevel"/>
    <w:lvl w:ilvl="0">
      <w:lvlJc w:val="left"/>
      <w:lvlText w:val="%1."/>
      <w:numFmt w:val="upperLetter"/>
      <w:start w:val="17"/>
    </w:lvl>
  </w:abstractNum>
  <w:abstractNum w:abstractNumId="66">
    <w:nsid w:val="4BDD53FD"/>
    <w:multiLevelType w:val="hybridMultilevel"/>
    <w:lvl w:ilvl="0">
      <w:lvlJc w:val="left"/>
      <w:lvlText w:val="%1."/>
      <w:numFmt w:val="upperLetter"/>
      <w:start w:val="1"/>
    </w:lvl>
  </w:abstractNum>
  <w:abstractNum w:abstractNumId="67">
    <w:nsid w:val="569951FE"/>
    <w:multiLevelType w:val="hybridMultilevel"/>
    <w:lvl w:ilvl="0">
      <w:lvlJc w:val="left"/>
      <w:lvlText w:val="%1."/>
      <w:numFmt w:val="upperLetter"/>
      <w:start w:val="17"/>
    </w:lvl>
  </w:abstractNum>
  <w:abstractNum w:abstractNumId="68">
    <w:nsid w:val="4C54E2C3"/>
    <w:multiLevelType w:val="hybridMultilevel"/>
    <w:lvl w:ilvl="0">
      <w:lvlJc w:val="left"/>
      <w:lvlText w:val="%1."/>
      <w:numFmt w:val="upperLetter"/>
      <w:start w:val="1"/>
    </w:lvl>
  </w:abstractNum>
  <w:abstractNum w:abstractNumId="69">
    <w:nsid w:val="788BD9B"/>
    <w:multiLevelType w:val="hybridMultilevel"/>
    <w:lvl w:ilvl="0">
      <w:lvlJc w:val="left"/>
      <w:lvlText w:val="%1."/>
      <w:numFmt w:val="upperLetter"/>
      <w:start w:val="17"/>
    </w:lvl>
  </w:abstractNum>
  <w:abstractNum w:abstractNumId="70">
    <w:nsid w:val="47CAA567"/>
    <w:multiLevelType w:val="hybridMultilevel"/>
    <w:lvl w:ilvl="0">
      <w:lvlJc w:val="left"/>
      <w:lvlText w:val="%1."/>
      <w:numFmt w:val="upperLetter"/>
      <w:start w:val="1"/>
    </w:lvl>
  </w:abstractNum>
  <w:abstractNum w:abstractNumId="71">
    <w:nsid w:val="48249DBF"/>
    <w:multiLevelType w:val="hybridMultilevel"/>
    <w:lvl w:ilvl="0">
      <w:lvlJc w:val="left"/>
      <w:lvlText w:val="%1."/>
      <w:numFmt w:val="upperLetter"/>
      <w:start w:val="17"/>
    </w:lvl>
  </w:abstractNum>
  <w:abstractNum w:abstractNumId="72">
    <w:nsid w:val="1F0E5D0D"/>
    <w:multiLevelType w:val="hybridMultilevel"/>
    <w:lvl w:ilvl="0">
      <w:lvlJc w:val="left"/>
      <w:lvlText w:val="%1."/>
      <w:numFmt w:val="upperLetter"/>
      <w:start w:val="1"/>
    </w:lvl>
  </w:abstractNum>
  <w:abstractNum w:abstractNumId="73">
    <w:nsid w:val="26BAAE9"/>
    <w:multiLevelType w:val="hybridMultilevel"/>
    <w:lvl w:ilvl="0">
      <w:lvlJc w:val="left"/>
      <w:lvlText w:val="%1."/>
      <w:numFmt w:val="upperLetter"/>
      <w:start w:val="17"/>
    </w:lvl>
  </w:abstractNum>
  <w:abstractNum w:abstractNumId="74">
    <w:nsid w:val="2C02FE8C"/>
    <w:multiLevelType w:val="hybridMultilevel"/>
    <w:lvl w:ilvl="0">
      <w:lvlJc w:val="left"/>
      <w:lvlText w:val="%1."/>
      <w:numFmt w:val="upperLetter"/>
      <w:start w:val="1"/>
    </w:lvl>
  </w:abstractNum>
  <w:abstractNum w:abstractNumId="75">
    <w:nsid w:val="129517E"/>
    <w:multiLevelType w:val="hybridMultilevel"/>
    <w:lvl w:ilvl="0">
      <w:lvlJc w:val="left"/>
      <w:lvlText w:val="%1."/>
      <w:numFmt w:val="upperLetter"/>
      <w:start w:val="17"/>
    </w:lvl>
  </w:abstractNum>
  <w:abstractNum w:abstractNumId="76">
    <w:nsid w:val="763B8C4E"/>
    <w:multiLevelType w:val="hybridMultilevel"/>
    <w:lvl w:ilvl="0">
      <w:lvlJc w:val="left"/>
      <w:lvlText w:val="%1."/>
      <w:numFmt w:val="upperLetter"/>
      <w:start w:val="1"/>
    </w:lvl>
  </w:abstractNum>
  <w:abstractNum w:abstractNumId="77">
    <w:nsid w:val="4CFB8D32"/>
    <w:multiLevelType w:val="hybridMultilevel"/>
    <w:lvl w:ilvl="0">
      <w:lvlJc w:val="left"/>
      <w:lvlText w:val="%1."/>
      <w:numFmt w:val="upperLetter"/>
      <w:start w:val="17"/>
    </w:lvl>
  </w:abstractNum>
  <w:abstractNum w:abstractNumId="78">
    <w:nsid w:val="62A5D5BD"/>
    <w:multiLevelType w:val="hybridMultilevel"/>
    <w:lvl w:ilvl="0">
      <w:lvlJc w:val="left"/>
      <w:lvlText w:val="%1."/>
      <w:numFmt w:val="upperLetter"/>
      <w:start w:val="1"/>
    </w:lvl>
  </w:abstractNum>
  <w:abstractNum w:abstractNumId="79">
    <w:nsid w:val="718FABF9"/>
    <w:multiLevelType w:val="hybridMultilevel"/>
    <w:lvl w:ilvl="0">
      <w:lvlJc w:val="left"/>
      <w:lvlText w:val="%1."/>
      <w:numFmt w:val="upperLetter"/>
      <w:start w:val="17"/>
    </w:lvl>
  </w:abstractNum>
  <w:abstractNum w:abstractNumId="80">
    <w:nsid w:val="7775797C"/>
    <w:multiLevelType w:val="hybridMultilevel"/>
    <w:lvl w:ilvl="0">
      <w:lvlJc w:val="left"/>
      <w:lvlText w:val="%1."/>
      <w:numFmt w:val="upperLetter"/>
      <w:start w:val="1"/>
    </w:lvl>
  </w:abstractNum>
  <w:abstractNum w:abstractNumId="81">
    <w:nsid w:val="1626FB8C"/>
    <w:multiLevelType w:val="hybridMultilevel"/>
    <w:lvl w:ilvl="0">
      <w:lvlJc w:val="left"/>
      <w:lvlText w:val="%1."/>
      <w:numFmt w:val="upperLetter"/>
      <w:start w:val="17"/>
    </w:lvl>
  </w:abstractNum>
  <w:abstractNum w:abstractNumId="82">
    <w:nsid w:val="3957756A"/>
    <w:multiLevelType w:val="hybridMultilevel"/>
    <w:lvl w:ilvl="0">
      <w:lvlJc w:val="left"/>
      <w:lvlText w:val="%1."/>
      <w:numFmt w:val="upperLetter"/>
      <w:start w:val="1"/>
    </w:lvl>
  </w:abstractNum>
  <w:abstractNum w:abstractNumId="83">
    <w:nsid w:val="3E6DA1C7"/>
    <w:multiLevelType w:val="hybridMultilevel"/>
    <w:lvl w:ilvl="0">
      <w:lvlJc w:val="left"/>
      <w:lvlText w:val="%1."/>
      <w:numFmt w:val="upperLetter"/>
      <w:start w:val="17"/>
    </w:lvl>
  </w:abstractNum>
  <w:abstractNum w:abstractNumId="84">
    <w:nsid w:val="65CA235B"/>
    <w:multiLevelType w:val="hybridMultilevel"/>
    <w:lvl w:ilvl="0">
      <w:lvlJc w:val="left"/>
      <w:lvlText w:val="%1."/>
      <w:numFmt w:val="upperLetter"/>
      <w:start w:val="1"/>
    </w:lvl>
  </w:abstractNum>
  <w:abstractNum w:abstractNumId="85">
    <w:nsid w:val="51CB0DA4"/>
    <w:multiLevelType w:val="hybridMultilevel"/>
    <w:lvl w:ilvl="0">
      <w:lvlJc w:val="left"/>
      <w:lvlText w:val="%1."/>
      <w:numFmt w:val="upperLetter"/>
      <w:start w:val="17"/>
    </w:lvl>
  </w:abstractNum>
  <w:abstractNum w:abstractNumId="86">
    <w:nsid w:val="7B9B743C"/>
    <w:multiLevelType w:val="hybridMultilevel"/>
    <w:lvl w:ilvl="0">
      <w:lvlJc w:val="left"/>
      <w:lvlText w:val="%1."/>
      <w:numFmt w:val="upperLetter"/>
      <w:start w:val="1"/>
    </w:lvl>
  </w:abstractNum>
  <w:abstractNum w:abstractNumId="87">
    <w:nsid w:val="13E21002"/>
    <w:multiLevelType w:val="hybridMultilevel"/>
    <w:lvl w:ilvl="0">
      <w:lvlJc w:val="left"/>
      <w:lvlText w:val="(%1)"/>
      <w:numFmt w:val="decimal"/>
      <w:start w:val="212"/>
    </w:lvl>
  </w:abstractNum>
  <w:abstractNum w:abstractNumId="88">
    <w:nsid w:val="257D63F4"/>
    <w:multiLevelType w:val="hybridMultilevel"/>
    <w:lvl w:ilvl="0">
      <w:lvlJc w:val="left"/>
      <w:lvlText w:val="(%1)"/>
      <w:numFmt w:val="lowerRoman"/>
      <w:start w:val="2"/>
    </w:lvl>
  </w:abstractNum>
  <w:abstractNum w:abstractNumId="89">
    <w:nsid w:val="70EC11B2"/>
    <w:multiLevelType w:val="hybridMultilevel"/>
    <w:lvl w:ilvl="0">
      <w:lvlJc w:val="left"/>
      <w:lvlText w:val="%1."/>
      <w:numFmt w:val="decimal"/>
      <w:start w:val="1"/>
    </w:lvl>
  </w:abstractNum>
  <w:abstractNum w:abstractNumId="90">
    <w:nsid w:val="2EDA00ED"/>
    <w:multiLevelType w:val="hybridMultilevel"/>
    <w:lvl w:ilvl="0">
      <w:lvlJc w:val="left"/>
      <w:lvlText w:val="•"/>
      <w:numFmt w:val="bullet"/>
      <w:start w:val="1"/>
    </w:lvl>
  </w:abstractNum>
  <w:abstractNum w:abstractNumId="91">
    <w:nsid w:val="73209072"/>
    <w:multiLevelType w:val="hybridMultilevel"/>
    <w:lvl w:ilvl="0">
      <w:lvlJc w:val="left"/>
      <w:lvlText w:val="•"/>
      <w:numFmt w:val="bullet"/>
      <w:start w:val="1"/>
    </w:lvl>
  </w:abstractNum>
  <w:abstractNum w:abstractNumId="92">
    <w:nsid w:val="5FB29816"/>
    <w:multiLevelType w:val="hybridMultilevel"/>
    <w:lvl w:ilvl="0">
      <w:lvlJc w:val="left"/>
      <w:lvlText w:val="•"/>
      <w:numFmt w:val="bullet"/>
      <w:start w:val="1"/>
    </w:lvl>
  </w:abstractNum>
  <w:abstractNum w:abstractNumId="93">
    <w:nsid w:val="3CE732EC"/>
    <w:multiLevelType w:val="hybridMultilevel"/>
    <w:lvl w:ilvl="0">
      <w:lvlJc w:val="left"/>
      <w:lvlText w:val="•"/>
      <w:numFmt w:val="bullet"/>
      <w:start w:val="1"/>
    </w:lvl>
  </w:abstractNum>
  <w:abstractNum w:abstractNumId="94">
    <w:nsid w:val="22F13DF3"/>
    <w:multiLevelType w:val="hybridMultilevel"/>
    <w:lvl w:ilvl="0">
      <w:lvlJc w:val="left"/>
      <w:lvlText w:val="•"/>
      <w:numFmt w:val="bullet"/>
      <w:start w:val="1"/>
    </w:lvl>
  </w:abstractNum>
  <w:abstractNum w:abstractNumId="95">
    <w:nsid w:val="792B8401"/>
    <w:multiLevelType w:val="hybridMultilevel"/>
    <w:lvl w:ilvl="0">
      <w:lvlJc w:val="left"/>
      <w:lvlText w:val="•"/>
      <w:numFmt w:val="bullet"/>
      <w:start w:val="1"/>
    </w:lvl>
  </w:abstractNum>
  <w:abstractNum w:abstractNumId="96">
    <w:nsid w:val="FA85F4D"/>
    <w:multiLevelType w:val="hybridMultilevel"/>
    <w:lvl w:ilvl="0">
      <w:lvlJc w:val="left"/>
      <w:lvlText w:val="•"/>
      <w:numFmt w:val="bullet"/>
      <w:start w:val="1"/>
    </w:lvl>
  </w:abstractNum>
  <w:abstractNum w:abstractNumId="97">
    <w:nsid w:val="6ECE91F0"/>
    <w:multiLevelType w:val="hybridMultilevel"/>
    <w:lvl w:ilvl="0">
      <w:lvlJc w:val="left"/>
      <w:lvlText w:val="•"/>
      <w:numFmt w:val="bullet"/>
      <w:start w:val="1"/>
    </w:lvl>
  </w:abstractNum>
  <w:abstractNum w:abstractNumId="98">
    <w:nsid w:val="4FC4D600"/>
    <w:multiLevelType w:val="hybridMultilevel"/>
    <w:lvl w:ilvl="0">
      <w:lvlJc w:val="left"/>
      <w:lvlText w:val="•"/>
      <w:numFmt w:val="bullet"/>
      <w:start w:val="1"/>
    </w:lvl>
  </w:abstractNum>
  <w:abstractNum w:abstractNumId="99">
    <w:nsid w:val="5BFD4210"/>
    <w:multiLevelType w:val="hybridMultilevel"/>
    <w:lvl w:ilvl="0">
      <w:lvlJc w:val="left"/>
      <w:lvlText w:val="•"/>
      <w:numFmt w:val="bullet"/>
      <w:start w:val="1"/>
    </w:lvl>
  </w:abstractNum>
  <w:abstractNum w:abstractNumId="100">
    <w:nsid w:val="76574F8B"/>
    <w:multiLevelType w:val="hybridMultilevel"/>
    <w:lvl w:ilvl="0">
      <w:lvlJc w:val="left"/>
      <w:lvlText w:val="•"/>
      <w:numFmt w:val="bullet"/>
      <w:start w:val="1"/>
    </w:lvl>
  </w:abstractNum>
  <w:abstractNum w:abstractNumId="101">
    <w:nsid w:val="178F7B67"/>
    <w:multiLevelType w:val="hybridMultilevel"/>
    <w:lvl w:ilvl="0">
      <w:lvlJc w:val="left"/>
      <w:lvlText w:val="(%1)"/>
      <w:numFmt w:val="decimal"/>
      <w:start w:val="1"/>
    </w:lvl>
  </w:abstractNum>
  <w:abstractNum w:abstractNumId="102">
    <w:nsid w:val="2421DFCF"/>
    <w:multiLevelType w:val="hybridMultilevel"/>
    <w:lvl w:ilvl="0">
      <w:lvlJc w:val="left"/>
      <w:lvlText w:val="•"/>
      <w:numFmt w:val="bullet"/>
      <w:start w:val="1"/>
    </w:lvl>
    <w:lvl w:ilvl="1">
      <w:lvlJc w:val="left"/>
      <w:lvlText w:val="•"/>
      <w:numFmt w:val="bullet"/>
      <w:start w:val="1"/>
    </w:lvl>
  </w:abstractNum>
  <w:abstractNum w:abstractNumId="103">
    <w:nsid w:val="1565AC99"/>
    <w:multiLevelType w:val="hybridMultilevel"/>
    <w:lvl w:ilvl="0">
      <w:lvlJc w:val="left"/>
      <w:lvlText w:val="•"/>
      <w:numFmt w:val="bullet"/>
      <w:start w:val="1"/>
    </w:lvl>
  </w:abstractNum>
  <w:abstractNum w:abstractNumId="104">
    <w:nsid w:val="19FB2650"/>
    <w:multiLevelType w:val="hybridMultilevel"/>
    <w:lvl w:ilvl="0">
      <w:lvlJc w:val="left"/>
      <w:lvlText w:val="•"/>
      <w:numFmt w:val="bullet"/>
      <w:start w:val="1"/>
    </w:lvl>
  </w:abstractNum>
  <w:abstractNum w:abstractNumId="105">
    <w:nsid w:val="5024DE5B"/>
    <w:multiLevelType w:val="hybridMultilevel"/>
    <w:lvl w:ilvl="0">
      <w:lvlJc w:val="left"/>
      <w:lvlText w:val="•"/>
      <w:numFmt w:val="bullet"/>
      <w:start w:val="1"/>
    </w:lvl>
  </w:abstractNum>
  <w:abstractNum w:abstractNumId="106">
    <w:nsid w:val="168EFE17"/>
    <w:multiLevelType w:val="hybridMultilevel"/>
    <w:lvl w:ilvl="0">
      <w:lvlJc w:val="left"/>
      <w:lvlText w:val="•"/>
      <w:numFmt w:val="bullet"/>
      <w:start w:val="1"/>
    </w:lvl>
  </w:abstractNum>
  <w:abstractNum w:abstractNumId="107">
    <w:nsid w:val="1036B29F"/>
    <w:multiLevelType w:val="hybridMultilevel"/>
    <w:lvl w:ilvl="0">
      <w:lvlJc w:val="left"/>
      <w:lvlText w:val="•"/>
      <w:numFmt w:val="bullet"/>
      <w:start w:val="1"/>
    </w:lvl>
  </w:abstractNum>
  <w:abstractNum w:abstractNumId="108">
    <w:nsid w:val="1D206B8E"/>
    <w:multiLevelType w:val="hybridMultilevel"/>
    <w:lvl w:ilvl="0">
      <w:lvlJc w:val="left"/>
      <w:lvlText w:val="•"/>
      <w:numFmt w:val="bullet"/>
      <w:start w:val="1"/>
    </w:lvl>
  </w:abstractNum>
  <w:abstractNum w:abstractNumId="109">
    <w:nsid w:val="7934D3D4"/>
    <w:multiLevelType w:val="hybridMultilevel"/>
    <w:lvl w:ilvl="0">
      <w:lvlJc w:val="left"/>
      <w:lvlText w:val="•"/>
      <w:numFmt w:val="bullet"/>
      <w:start w:val="1"/>
    </w:lvl>
  </w:abstractNum>
  <w:abstractNum w:abstractNumId="110">
    <w:nsid w:val="1C65E98"/>
    <w:multiLevelType w:val="hybridMultilevel"/>
    <w:lvl w:ilvl="0">
      <w:lvlJc w:val="left"/>
      <w:lvlText w:val="•"/>
      <w:numFmt w:val="bullet"/>
      <w:start w:val="1"/>
    </w:lvl>
  </w:abstractNum>
  <w:abstractNum w:abstractNumId="111">
    <w:nsid w:val="1495E50A"/>
    <w:multiLevelType w:val="hybridMultilevel"/>
    <w:lvl w:ilvl="0">
      <w:lvlJc w:val="left"/>
      <w:lvlText w:val="•"/>
      <w:numFmt w:val="bullet"/>
      <w:start w:val="1"/>
    </w:lvl>
  </w:abstractNum>
  <w:abstractNum w:abstractNumId="112">
    <w:nsid w:val="F5BCF61"/>
    <w:multiLevelType w:val="hybridMultilevel"/>
    <w:lvl w:ilvl="0">
      <w:lvlJc w:val="left"/>
      <w:lvlText w:val="•"/>
      <w:numFmt w:val="bullet"/>
      <w:start w:val="1"/>
    </w:lvl>
  </w:abstractNum>
  <w:abstractNum w:abstractNumId="113">
    <w:nsid w:val="3B1DD403"/>
    <w:multiLevelType w:val="hybridMultilevel"/>
    <w:lvl w:ilvl="0">
      <w:lvlJc w:val="left"/>
      <w:lvlText w:val="•"/>
      <w:numFmt w:val="bullet"/>
      <w:start w:val="1"/>
    </w:lvl>
  </w:abstractNum>
  <w:abstractNum w:abstractNumId="114">
    <w:nsid w:val="530386D1"/>
    <w:multiLevelType w:val="hybridMultilevel"/>
    <w:lvl w:ilvl="0">
      <w:lvlJc w:val="left"/>
      <w:lvlText w:val="•"/>
      <w:numFmt w:val="bullet"/>
      <w:start w:val="1"/>
    </w:lvl>
  </w:abstractNum>
  <w:abstractNum w:abstractNumId="115">
    <w:nsid w:val="7525F2BC"/>
    <w:multiLevelType w:val="hybridMultilevel"/>
    <w:lvl w:ilvl="0">
      <w:lvlJc w:val="left"/>
      <w:lvlText w:val="•"/>
      <w:numFmt w:val="bullet"/>
      <w:start w:val="1"/>
    </w:lvl>
  </w:abstractNum>
  <w:abstractNum w:abstractNumId="116">
    <w:nsid w:val="CE8E1A7"/>
    <w:multiLevelType w:val="hybridMultilevel"/>
    <w:lvl w:ilvl="0">
      <w:lvlJc w:val="left"/>
      <w:lvlText w:val="•"/>
      <w:numFmt w:val="bullet"/>
      <w:start w:val="1"/>
    </w:lvl>
  </w:abstractNum>
  <w:abstractNum w:abstractNumId="117">
    <w:nsid w:val="4E9EFB0D"/>
    <w:multiLevelType w:val="hybridMultilevel"/>
    <w:lvl w:ilvl="0">
      <w:lvlJc w:val="left"/>
      <w:lvlText w:val="•"/>
      <w:numFmt w:val="bullet"/>
      <w:start w:val="1"/>
    </w:lvl>
  </w:abstractNum>
  <w:abstractNum w:abstractNumId="118">
    <w:nsid w:val="90802BE"/>
    <w:multiLevelType w:val="hybridMultilevel"/>
    <w:lvl w:ilvl="0">
      <w:lvlJc w:val="left"/>
      <w:lvlText w:val="•"/>
      <w:numFmt w:val="bullet"/>
      <w:start w:val="1"/>
    </w:lvl>
  </w:abstractNum>
  <w:abstractNum w:abstractNumId="119">
    <w:nsid w:val="3266459B"/>
    <w:multiLevelType w:val="hybridMultilevel"/>
    <w:lvl w:ilvl="0">
      <w:lvlJc w:val="left"/>
      <w:lvlText w:val="•"/>
      <w:numFmt w:val="bullet"/>
      <w:start w:val="1"/>
    </w:lvl>
  </w:abstractNum>
  <w:abstractNum w:abstractNumId="120">
    <w:nsid w:val="3F8B0CBF"/>
    <w:multiLevelType w:val="hybridMultilevel"/>
    <w:lvl w:ilvl="0">
      <w:lvlJc w:val="left"/>
      <w:lvlText w:val="•"/>
      <w:numFmt w:val="bullet"/>
      <w:start w:val="1"/>
    </w:lvl>
  </w:abstractNum>
  <w:abstractNum w:abstractNumId="121">
    <w:nsid w:val="37E203AB"/>
    <w:multiLevelType w:val="hybridMultilevel"/>
    <w:lvl w:ilvl="0">
      <w:lvlJc w:val="left"/>
      <w:lvlText w:val="•"/>
      <w:numFmt w:val="bullet"/>
      <w:start w:val="1"/>
    </w:lvl>
  </w:abstractNum>
  <w:abstractNum w:abstractNumId="122">
    <w:nsid w:val="2586D60E"/>
    <w:multiLevelType w:val="hybridMultilevel"/>
    <w:lvl w:ilvl="0">
      <w:lvlJc w:val="left"/>
      <w:lvlText w:val="•"/>
      <w:numFmt w:val="bullet"/>
      <w:start w:val="1"/>
    </w:lvl>
  </w:abstractNum>
  <w:abstractNum w:abstractNumId="123">
    <w:nsid w:val="1F3DA4D5"/>
    <w:multiLevelType w:val="hybridMultilevel"/>
    <w:lvl w:ilvl="0">
      <w:lvlJc w:val="left"/>
      <w:lvlText w:val="•"/>
      <w:numFmt w:val="bullet"/>
      <w:start w:val="1"/>
    </w:lvl>
  </w:abstractNum>
  <w:abstractNum w:abstractNumId="124">
    <w:nsid w:val="74C93698"/>
    <w:multiLevelType w:val="hybridMultilevel"/>
    <w:lvl w:ilvl="0">
      <w:lvlJc w:val="left"/>
      <w:lvlText w:val="•"/>
      <w:numFmt w:val="bullet"/>
      <w:start w:val="1"/>
    </w:lvl>
  </w:abstractNum>
  <w:abstractNum w:abstractNumId="125">
    <w:nsid w:val="48781401"/>
    <w:multiLevelType w:val="hybridMultilevel"/>
    <w:lvl w:ilvl="0">
      <w:lvlJc w:val="left"/>
      <w:lvlText w:val="•"/>
      <w:numFmt w:val="bullet"/>
      <w:start w:val="1"/>
    </w:lvl>
  </w:abstractNum>
  <w:abstractNum w:abstractNumId="126">
    <w:nsid w:val="186928D6"/>
    <w:multiLevelType w:val="hybridMultilevel"/>
    <w:lvl w:ilvl="0">
      <w:lvlJc w:val="left"/>
      <w:lvlText w:val="•"/>
      <w:numFmt w:val="bullet"/>
      <w:start w:val="1"/>
    </w:lvl>
  </w:abstractNum>
  <w:abstractNum w:abstractNumId="127">
    <w:nsid w:val="47195E5"/>
    <w:multiLevelType w:val="hybridMultilevel"/>
    <w:lvl w:ilvl="0">
      <w:lvlJc w:val="left"/>
      <w:lvlText w:val="•"/>
      <w:numFmt w:val="bullet"/>
      <w:start w:val="1"/>
    </w:lvl>
  </w:abstractNum>
  <w:abstractNum w:abstractNumId="128">
    <w:nsid w:val="3746A5F2"/>
    <w:multiLevelType w:val="hybridMultilevel"/>
    <w:lvl w:ilvl="0">
      <w:lvlJc w:val="left"/>
      <w:lvlText w:val="•"/>
      <w:numFmt w:val="bullet"/>
      <w:start w:val="1"/>
    </w:lvl>
  </w:abstractNum>
  <w:abstractNum w:abstractNumId="129">
    <w:nsid w:val="682DFED6"/>
    <w:multiLevelType w:val="hybridMultilevel"/>
    <w:lvl w:ilvl="0">
      <w:lvlJc w:val="left"/>
      <w:lvlText w:val="•"/>
      <w:numFmt w:val="bullet"/>
      <w:start w:val="1"/>
    </w:lvl>
  </w:abstractNum>
  <w:abstractNum w:abstractNumId="130">
    <w:nsid w:val="606ED7F6"/>
    <w:multiLevelType w:val="hybridMultilevel"/>
    <w:lvl w:ilvl="0">
      <w:lvlJc w:val="left"/>
      <w:lvlText w:val="•"/>
      <w:numFmt w:val="bullet"/>
      <w:start w:val="1"/>
    </w:lvl>
  </w:abstractNum>
  <w:abstractNum w:abstractNumId="131">
    <w:nsid w:val="2D9DF57D"/>
    <w:multiLevelType w:val="hybridMultilevel"/>
    <w:lvl w:ilvl="0">
      <w:lvlJc w:val="left"/>
      <w:lvlText w:val="•"/>
      <w:numFmt w:val="bullet"/>
      <w:start w:val="1"/>
    </w:lvl>
  </w:abstractNum>
  <w:abstractNum w:abstractNumId="132">
    <w:nsid w:val="7FBD7A3E"/>
    <w:multiLevelType w:val="hybridMultilevel"/>
    <w:lvl w:ilvl="0">
      <w:lvlJc w:val="left"/>
      <w:lvlText w:val="•"/>
      <w:numFmt w:val="bullet"/>
      <w:start w:val="1"/>
    </w:lvl>
  </w:abstractNum>
  <w:abstractNum w:abstractNumId="133">
    <w:nsid w:val="490B7C5"/>
    <w:multiLevelType w:val="hybridMultilevel"/>
    <w:lvl w:ilvl="0">
      <w:lvlJc w:val="left"/>
      <w:lvlText w:val="•"/>
      <w:numFmt w:val="bullet"/>
      <w:start w:val="1"/>
    </w:lvl>
  </w:abstractNum>
  <w:abstractNum w:abstractNumId="134">
    <w:nsid w:val="4303A216"/>
    <w:multiLevelType w:val="hybridMultilevel"/>
    <w:lvl w:ilvl="0">
      <w:lvlJc w:val="left"/>
      <w:lvlText w:val="(%1)"/>
      <w:numFmt w:val="lowerLetter"/>
      <w:start w:val="1"/>
    </w:lvl>
  </w:abstractNum>
  <w:abstractNum w:abstractNumId="135">
    <w:nsid w:val="19B8A08E"/>
    <w:multiLevelType w:val="hybridMultilevel"/>
    <w:lvl w:ilvl="0">
      <w:lvlJc w:val="left"/>
      <w:lvlText w:val="(%1)"/>
      <w:numFmt w:val="lowerLetter"/>
      <w:start w:val="9"/>
    </w:lvl>
  </w:abstractNum>
  <w:abstractNum w:abstractNumId="136">
    <w:nsid w:val="54B59621"/>
    <w:multiLevelType w:val="hybridMultilevel"/>
    <w:lvl w:ilvl="0">
      <w:lvlJc w:val="left"/>
      <w:lvlText w:val="•"/>
      <w:numFmt w:val="bullet"/>
      <w:start w:val="1"/>
    </w:lvl>
  </w:abstractNum>
  <w:abstractNum w:abstractNumId="137">
    <w:nsid w:val="5992A02E"/>
    <w:multiLevelType w:val="hybridMultilevel"/>
    <w:lvl w:ilvl="0">
      <w:lvlJc w:val="left"/>
      <w:lvlText w:val="•"/>
      <w:numFmt w:val="bullet"/>
      <w:start w:val="1"/>
    </w:lvl>
    <w:lvl w:ilvl="1">
      <w:lvlJc w:val="left"/>
      <w:lvlText w:val="(%2)"/>
      <w:numFmt w:val="lowerLetter"/>
      <w:start w:val="1"/>
    </w:lvl>
  </w:abstractNum>
  <w:abstractNum w:abstractNumId="138">
    <w:nsid w:val="29EF532D"/>
    <w:multiLevelType w:val="hybridMultilevel"/>
    <w:lvl w:ilvl="0">
      <w:lvlJc w:val="left"/>
      <w:lvlText w:val="•"/>
      <w:numFmt w:val="bullet"/>
      <w:start w:val="1"/>
    </w:lvl>
    <w:lvl w:ilvl="1">
      <w:lvlJc w:val="left"/>
      <w:lvlText w:val="(%2)"/>
      <w:numFmt w:val="lowerRoman"/>
      <w:start w:val="3"/>
    </w:lvl>
  </w:abstractNum>
  <w:abstractNum w:abstractNumId="139">
    <w:nsid w:val="71D601AF"/>
    <w:multiLevelType w:val="hybridMultilevel"/>
    <w:lvl w:ilvl="0">
      <w:lvlJc w:val="left"/>
      <w:lvlText w:val="•"/>
      <w:numFmt w:val="bullet"/>
      <w:start w:val="1"/>
    </w:lvl>
    <w:lvl w:ilvl="1">
      <w:lvlJc w:val="left"/>
      <w:lvlText w:val="(%2)"/>
      <w:numFmt w:val="lowerRoman"/>
      <w:start w:val="1"/>
    </w:lvl>
  </w:abstractNum>
  <w:abstractNum w:abstractNumId="140">
    <w:nsid w:val="52C77402"/>
    <w:multiLevelType w:val="hybridMultilevel"/>
    <w:lvl w:ilvl="0">
      <w:lvlJc w:val="left"/>
      <w:lvlText w:val="•"/>
      <w:numFmt w:val="bullet"/>
      <w:start w:val="1"/>
    </w:lvl>
  </w:abstractNum>
  <w:abstractNum w:abstractNumId="141">
    <w:nsid w:val="2BB5B1C6"/>
    <w:multiLevelType w:val="hybridMultilevel"/>
    <w:lvl w:ilvl="0">
      <w:lvlJc w:val="left"/>
      <w:lvlText w:val="•"/>
      <w:numFmt w:val="bullet"/>
      <w:start w:val="1"/>
    </w:lvl>
  </w:abstractNum>
  <w:abstractNum w:abstractNumId="142">
    <w:nsid w:val="66BE6B9"/>
    <w:multiLevelType w:val="hybridMultilevel"/>
    <w:lvl w:ilvl="0">
      <w:lvlJc w:val="left"/>
      <w:lvlText w:val="•"/>
      <w:numFmt w:val="bullet"/>
      <w:start w:val="1"/>
    </w:lvl>
  </w:abstractNum>
  <w:abstractNum w:abstractNumId="143">
    <w:nsid w:val="62234363"/>
    <w:multiLevelType w:val="hybridMultilevel"/>
    <w:lvl w:ilvl="0">
      <w:lvlJc w:val="left"/>
      <w:lvlText w:val="•"/>
      <w:numFmt w:val="bullet"/>
      <w:start w:val="1"/>
    </w:lvl>
  </w:abstractNum>
  <w:abstractNum w:abstractNumId="144">
    <w:nsid w:val="66D385C9"/>
    <w:multiLevelType w:val="hybridMultilevel"/>
    <w:lvl w:ilvl="0">
      <w:lvlJc w:val="left"/>
      <w:lvlText w:val="•"/>
      <w:numFmt w:val="bullet"/>
      <w:start w:val="1"/>
    </w:lvl>
  </w:abstractNum>
  <w:abstractNum w:abstractNumId="145">
    <w:nsid w:val="596F6D8A"/>
    <w:multiLevelType w:val="hybridMultilevel"/>
    <w:lvl w:ilvl="0">
      <w:lvlJc w:val="left"/>
      <w:lvlText w:val="•"/>
      <w:numFmt w:val="bullet"/>
      <w:start w:val="1"/>
    </w:lvl>
  </w:abstractNum>
  <w:abstractNum w:abstractNumId="146">
    <w:nsid w:val="5749361F"/>
    <w:multiLevelType w:val="hybridMultilevel"/>
    <w:lvl w:ilvl="0">
      <w:lvlJc w:val="left"/>
      <w:lvlText w:val="•"/>
      <w:numFmt w:val="bullet"/>
      <w:start w:val="1"/>
    </w:lvl>
  </w:abstractNum>
  <w:abstractNum w:abstractNumId="147">
    <w:nsid w:val="73BC6770"/>
    <w:multiLevelType w:val="hybridMultilevel"/>
    <w:lvl w:ilvl="0">
      <w:lvlJc w:val="left"/>
      <w:lvlText w:val="•"/>
      <w:numFmt w:val="bullet"/>
      <w:start w:val="1"/>
    </w:lvl>
  </w:abstractNum>
  <w:abstractNum w:abstractNumId="148">
    <w:nsid w:val="280E6897"/>
    <w:multiLevelType w:val="hybridMultilevel"/>
    <w:lvl w:ilvl="0">
      <w:lvlJc w:val="left"/>
      <w:lvlText w:val="•"/>
      <w:numFmt w:val="bullet"/>
      <w:start w:val="1"/>
    </w:lvl>
  </w:abstractNum>
  <w:abstractNum w:abstractNumId="149">
    <w:nsid w:val="605138DE"/>
    <w:multiLevelType w:val="hybridMultilevel"/>
    <w:lvl w:ilvl="0">
      <w:lvlJc w:val="left"/>
      <w:lvlText w:val="•"/>
      <w:numFmt w:val="bullet"/>
      <w:start w:val="1"/>
    </w:lvl>
  </w:abstractNum>
  <w:abstractNum w:abstractNumId="150">
    <w:nsid w:val="2622AD0C"/>
    <w:multiLevelType w:val="hybridMultilevel"/>
    <w:lvl w:ilvl="0">
      <w:lvlJc w:val="left"/>
      <w:lvlText w:val="•"/>
      <w:numFmt w:val="bullet"/>
      <w:start w:val="1"/>
    </w:lvl>
  </w:abstractNum>
  <w:abstractNum w:abstractNumId="151">
    <w:nsid w:val="67997556"/>
    <w:multiLevelType w:val="hybridMultilevel"/>
    <w:lvl w:ilvl="0">
      <w:lvlJc w:val="left"/>
      <w:lvlText w:val="•"/>
      <w:numFmt w:val="bullet"/>
      <w:start w:val="1"/>
    </w:lvl>
  </w:abstractNum>
  <w:abstractNum w:abstractNumId="152">
    <w:nsid w:val="18333C89"/>
    <w:multiLevelType w:val="hybridMultilevel"/>
    <w:lvl w:ilvl="0">
      <w:lvlJc w:val="left"/>
      <w:lvlText w:val="•"/>
      <w:numFmt w:val="bullet"/>
      <w:start w:val="1"/>
    </w:lvl>
  </w:abstractNum>
  <w:abstractNum w:abstractNumId="153">
    <w:nsid w:val="4BA9831A"/>
    <w:multiLevelType w:val="hybridMultilevel"/>
    <w:lvl w:ilvl="0">
      <w:lvlJc w:val="left"/>
      <w:lvlText w:val="•"/>
      <w:numFmt w:val="bullet"/>
      <w:start w:val="1"/>
    </w:lvl>
  </w:abstractNum>
  <w:abstractNum w:abstractNumId="154">
    <w:nsid w:val="6D71A2B"/>
    <w:multiLevelType w:val="hybridMultilevel"/>
    <w:lvl w:ilvl="0">
      <w:lvlJc w:val="left"/>
      <w:lvlText w:val="•"/>
      <w:numFmt w:val="bullet"/>
      <w:start w:val="1"/>
    </w:lvl>
  </w:abstractNum>
  <w:abstractNum w:abstractNumId="155">
    <w:nsid w:val="CFC7321"/>
    <w:multiLevelType w:val="hybridMultilevel"/>
    <w:lvl w:ilvl="0">
      <w:lvlJc w:val="left"/>
      <w:lvlText w:val="(%1)"/>
      <w:numFmt w:val="lowerRoman"/>
      <w:start w:val="2"/>
    </w:lvl>
  </w:abstractNum>
  <w:abstractNum w:abstractNumId="156">
    <w:nsid w:val="1421971B"/>
    <w:multiLevelType w:val="hybridMultilevel"/>
    <w:lvl w:ilvl="0">
      <w:lvlJc w:val="left"/>
      <w:lvlText w:val="(%1)"/>
      <w:numFmt w:val="lowerLetter"/>
      <w:start w:val="4"/>
    </w:lvl>
  </w:abstractNum>
  <w:abstractNum w:abstractNumId="157">
    <w:nsid w:val="1F404301"/>
    <w:multiLevelType w:val="hybridMultilevel"/>
    <w:lvl w:ilvl="0">
      <w:lvlJc w:val="left"/>
      <w:lvlText w:val="(%1)"/>
      <w:numFmt w:val="lowerLetter"/>
      <w:start w:val="6"/>
    </w:lvl>
  </w:abstractNum>
  <w:abstractNum w:abstractNumId="158">
    <w:nsid w:val="116E0907"/>
    <w:multiLevelType w:val="hybridMultilevel"/>
    <w:lvl w:ilvl="0">
      <w:lvlJc w:val="left"/>
      <w:lvlText w:val="(%1)"/>
      <w:numFmt w:val="lowerRoman"/>
      <w:start w:val="4"/>
    </w:lvl>
  </w:abstractNum>
  <w:abstractNum w:abstractNumId="159">
    <w:nsid w:val="4B683D0D"/>
    <w:multiLevelType w:val="hybridMultilevel"/>
    <w:lvl w:ilvl="0">
      <w:lvlJc w:val="left"/>
      <w:lvlText w:val="(%1)"/>
      <w:numFmt w:val="lowerRoman"/>
      <w:start w:val="1"/>
    </w:lvl>
  </w:abstractNum>
  <w:abstractNum w:abstractNumId="160">
    <w:nsid w:val="76E41D8"/>
    <w:multiLevelType w:val="hybridMultilevel"/>
    <w:lvl w:ilvl="0">
      <w:lvlJc w:val="left"/>
      <w:lvlText w:val="(%1)"/>
      <w:numFmt w:val="lowerRoman"/>
      <w:start w:val="3"/>
    </w:lvl>
  </w:abstractNum>
  <w:abstractNum w:abstractNumId="161">
    <w:nsid w:val="71DCE0FD"/>
    <w:multiLevelType w:val="hybridMultilevel"/>
    <w:lvl w:ilvl="0">
      <w:lvlJc w:val="left"/>
      <w:lvlText w:val="•"/>
      <w:numFmt w:val="bullet"/>
      <w:start w:val="1"/>
    </w:lvl>
  </w:abstractNum>
  <w:abstractNum w:abstractNumId="162">
    <w:nsid w:val="7906328B"/>
    <w:multiLevelType w:val="hybridMultilevel"/>
    <w:lvl w:ilvl="0">
      <w:lvlJc w:val="left"/>
      <w:lvlText w:val="•"/>
      <w:numFmt w:val="bullet"/>
      <w:start w:val="1"/>
    </w:lvl>
  </w:abstractNum>
  <w:abstractNum w:abstractNumId="163">
    <w:nsid w:val="72BBC16"/>
    <w:multiLevelType w:val="hybridMultilevel"/>
    <w:lvl w:ilvl="0">
      <w:lvlJc w:val="left"/>
      <w:lvlText w:val="•"/>
      <w:numFmt w:val="bullet"/>
      <w:start w:val="1"/>
    </w:lvl>
  </w:abstractNum>
  <w:abstractNum w:abstractNumId="164">
    <w:nsid w:val="766D98C2"/>
    <w:multiLevelType w:val="hybridMultilevel"/>
    <w:lvl w:ilvl="0">
      <w:lvlJc w:val="left"/>
      <w:lvlText w:val="•"/>
      <w:numFmt w:val="bullet"/>
      <w:start w:val="1"/>
    </w:lvl>
  </w:abstractNum>
  <w:abstractNum w:abstractNumId="165">
    <w:nsid w:val="3C09D4A1"/>
    <w:multiLevelType w:val="hybridMultilevel"/>
    <w:lvl w:ilvl="0">
      <w:lvlJc w:val="left"/>
      <w:lvlText w:val="(%1)"/>
      <w:numFmt w:val="decimal"/>
      <w:start w:val="1"/>
    </w:lvl>
  </w:abstractNum>
  <w:abstractNum w:abstractNumId="166">
    <w:nsid w:val="20E45CA4"/>
    <w:multiLevelType w:val="hybridMultilevel"/>
    <w:lvl w:ilvl="0">
      <w:lvlJc w:val="left"/>
      <w:lvlText w:val="(%1)"/>
      <w:numFmt w:val="decimal"/>
      <w:start w:val="1"/>
    </w:lvl>
  </w:abstractNum>
  <w:abstractNum w:abstractNumId="167">
    <w:nsid w:val="4B232EE3"/>
    <w:multiLevelType w:val="hybridMultilevel"/>
    <w:lvl w:ilvl="0">
      <w:lvlJc w:val="left"/>
      <w:lvlText w:val="(%1)"/>
      <w:numFmt w:val="decimal"/>
      <w:start w:val="1"/>
    </w:lvl>
  </w:abstractNum>
  <w:abstractNum w:abstractNumId="168">
    <w:nsid w:val="159C74CF"/>
    <w:multiLevelType w:val="hybridMultilevel"/>
    <w:lvl w:ilvl="0">
      <w:lvlJc w:val="left"/>
      <w:lvlText w:val="•"/>
      <w:numFmt w:val="bullet"/>
      <w:start w:val="1"/>
    </w:lvl>
  </w:abstractNum>
  <w:abstractNum w:abstractNumId="169">
    <w:nsid w:val="4AD3AFD2"/>
    <w:multiLevelType w:val="hybridMultilevel"/>
    <w:lvl w:ilvl="0">
      <w:lvlJc w:val="left"/>
      <w:lvlText w:val="•"/>
      <w:numFmt w:val="bullet"/>
      <w:start w:val="1"/>
    </w:lvl>
  </w:abstractNum>
  <w:abstractNum w:abstractNumId="170">
    <w:nsid w:val="3CF93092"/>
    <w:multiLevelType w:val="hybridMultilevel"/>
    <w:lvl w:ilvl="0">
      <w:lvlJc w:val="left"/>
      <w:lvlText w:val="(%1)"/>
      <w:numFmt w:val="lowerRoman"/>
      <w:start w:val="5"/>
    </w:lvl>
  </w:abstractNum>
  <w:abstractNum w:abstractNumId="171">
    <w:nsid w:val="6863E8D2"/>
    <w:multiLevelType w:val="hybridMultilevel"/>
    <w:lvl w:ilvl="0">
      <w:lvlJc w:val="left"/>
      <w:lvlText w:val="•"/>
      <w:numFmt w:val="bullet"/>
      <w:start w:val="1"/>
    </w:lvl>
  </w:abstractNum>
  <w:abstractNum w:abstractNumId="172">
    <w:nsid w:val="76896198"/>
    <w:multiLevelType w:val="hybridMultilevel"/>
    <w:lvl w:ilvl="0">
      <w:lvlJc w:val="left"/>
      <w:lvlText w:val="•"/>
      <w:numFmt w:val="bullet"/>
      <w:start w:val="1"/>
    </w:lvl>
  </w:abstractNum>
  <w:abstractNum w:abstractNumId="173">
    <w:nsid w:val="4365174B"/>
    <w:multiLevelType w:val="hybridMultilevel"/>
    <w:lvl w:ilvl="0">
      <w:lvlJc w:val="left"/>
      <w:lvlText w:val="•"/>
      <w:numFmt w:val="bullet"/>
      <w:start w:val="1"/>
    </w:lvl>
  </w:abstractNum>
  <w:abstractNum w:abstractNumId="174">
    <w:nsid w:val="4A872C35"/>
    <w:multiLevelType w:val="hybridMultilevel"/>
    <w:lvl w:ilvl="0">
      <w:lvlJc w:val="left"/>
      <w:lvlText w:val="•"/>
      <w:numFmt w:val="bullet"/>
      <w:start w:val="1"/>
    </w:lvl>
  </w:abstractNum>
  <w:abstractNum w:abstractNumId="175">
    <w:nsid w:val="5D5CE761"/>
    <w:multiLevelType w:val="hybridMultilevel"/>
    <w:lvl w:ilvl="0">
      <w:lvlJc w:val="left"/>
      <w:lvlText w:val="•"/>
      <w:numFmt w:val="bullet"/>
      <w:start w:val="1"/>
    </w:lvl>
  </w:abstractNum>
  <w:abstractNum w:abstractNumId="176">
    <w:nsid w:val="1CD484D5"/>
    <w:multiLevelType w:val="hybridMultilevel"/>
    <w:lvl w:ilvl="0">
      <w:lvlJc w:val="left"/>
      <w:lvlText w:val="•"/>
      <w:numFmt w:val="bullet"/>
      <w:start w:val="1"/>
    </w:lvl>
  </w:abstractNum>
  <w:abstractNum w:abstractNumId="177">
    <w:nsid w:val="21D06255"/>
    <w:multiLevelType w:val="hybridMultilevel"/>
    <w:lvl w:ilvl="0">
      <w:lvlJc w:val="left"/>
      <w:lvlText w:val="•"/>
      <w:numFmt w:val="bullet"/>
      <w:start w:val="1"/>
    </w:lvl>
  </w:abstractNum>
  <w:abstractNum w:abstractNumId="178">
    <w:nsid w:val="51194ED1"/>
    <w:multiLevelType w:val="hybridMultilevel"/>
    <w:lvl w:ilvl="0">
      <w:lvlJc w:val="left"/>
      <w:lvlText w:val="•"/>
      <w:numFmt w:val="bullet"/>
      <w:start w:val="1"/>
    </w:lvl>
  </w:abstractNum>
  <w:abstractNum w:abstractNumId="179">
    <w:nsid w:val="44E2ED6C"/>
    <w:multiLevelType w:val="hybridMultilevel"/>
    <w:lvl w:ilvl="0">
      <w:lvlJc w:val="left"/>
      <w:lvlText w:val="(%1)"/>
      <w:numFmt w:val="lowerRoman"/>
      <w:start w:val="1"/>
    </w:lvl>
  </w:abstractNum>
  <w:abstractNum w:abstractNumId="180">
    <w:nsid w:val="2219B33"/>
    <w:multiLevelType w:val="hybridMultilevel"/>
    <w:lvl w:ilvl="0">
      <w:lvlJc w:val="left"/>
      <w:lvlText w:val="(%1)"/>
      <w:numFmt w:val="lowerRoman"/>
      <w:start w:val="2"/>
    </w:lvl>
  </w:abstractNum>
  <w:abstractNum w:abstractNumId="181">
    <w:nsid w:val="773BFBDD"/>
    <w:multiLevelType w:val="hybridMultilevel"/>
    <w:lvl w:ilvl="0">
      <w:lvlJc w:val="left"/>
      <w:lvlText w:val="•"/>
      <w:numFmt w:val="bullet"/>
      <w:start w:val="1"/>
    </w:lvl>
  </w:abstractNum>
  <w:abstractNum w:abstractNumId="182">
    <w:nsid w:val="2C7C62C2"/>
    <w:multiLevelType w:val="hybridMultilevel"/>
    <w:lvl w:ilvl="0">
      <w:lvlJc w:val="left"/>
      <w:lvlText w:val="•"/>
      <w:numFmt w:val="bullet"/>
      <w:start w:val="1"/>
    </w:lvl>
  </w:abstractNum>
  <w:abstractNum w:abstractNumId="183">
    <w:nsid w:val="1A54D7BC"/>
    <w:multiLevelType w:val="hybridMultilevel"/>
    <w:lvl w:ilvl="0">
      <w:lvlJc w:val="left"/>
      <w:lvlText w:val="•"/>
      <w:numFmt w:val="bullet"/>
      <w:start w:val="1"/>
    </w:lvl>
  </w:abstractNum>
  <w:abstractNum w:abstractNumId="184">
    <w:nsid w:val="42E57EF7"/>
    <w:multiLevelType w:val="hybridMultilevel"/>
    <w:lvl w:ilvl="0">
      <w:lvlJc w:val="left"/>
      <w:lvlText w:val="•"/>
      <w:numFmt w:val="bullet"/>
      <w:start w:val="1"/>
    </w:lvl>
  </w:abstractNum>
  <w:abstractNum w:abstractNumId="185">
    <w:nsid w:val="33537CED"/>
    <w:multiLevelType w:val="hybridMultilevel"/>
    <w:lvl w:ilvl="0">
      <w:lvlJc w:val="left"/>
      <w:lvlText w:val="•"/>
      <w:numFmt w:val="bullet"/>
      <w:start w:val="1"/>
    </w:lvl>
  </w:abstractNum>
  <w:abstractNum w:abstractNumId="186">
    <w:nsid w:val="27514ADE"/>
    <w:multiLevelType w:val="hybridMultilevel"/>
    <w:lvl w:ilvl="0">
      <w:lvlJc w:val="left"/>
      <w:lvlText w:val="•"/>
      <w:numFmt w:val="bullet"/>
      <w:start w:val="1"/>
    </w:lvl>
  </w:abstractNum>
  <w:abstractNum w:abstractNumId="187">
    <w:nsid w:val="57071613"/>
    <w:multiLevelType w:val="hybridMultilevel"/>
    <w:lvl w:ilvl="0">
      <w:lvlJc w:val="left"/>
      <w:lvlText w:val="•"/>
      <w:numFmt w:val="bullet"/>
      <w:start w:val="1"/>
    </w:lvl>
  </w:abstractNum>
  <w:abstractNum w:abstractNumId="188">
    <w:nsid w:val="5293BFEF"/>
    <w:multiLevelType w:val="hybridMultilevel"/>
    <w:lvl w:ilvl="0">
      <w:lvlJc w:val="left"/>
      <w:lvlText w:val="•"/>
      <w:numFmt w:val="bullet"/>
      <w:start w:val="1"/>
    </w:lvl>
  </w:abstractNum>
  <w:abstractNum w:abstractNumId="189">
    <w:nsid w:val="38BF53E5"/>
    <w:multiLevelType w:val="hybridMultilevel"/>
    <w:lvl w:ilvl="0">
      <w:lvlJc w:val="left"/>
      <w:lvlText w:val="•"/>
      <w:numFmt w:val="bullet"/>
      <w:start w:val="1"/>
    </w:lvl>
  </w:abstractNum>
  <w:abstractNum w:abstractNumId="190">
    <w:nsid w:val="226F5320"/>
    <w:multiLevelType w:val="hybridMultilevel"/>
    <w:lvl w:ilvl="0">
      <w:lvlJc w:val="left"/>
      <w:lvlText w:val="•"/>
      <w:numFmt w:val="bullet"/>
      <w:start w:val="1"/>
    </w:lvl>
  </w:abstractNum>
  <w:abstractNum w:abstractNumId="191">
    <w:nsid w:val="5A0201C7"/>
    <w:multiLevelType w:val="hybridMultilevel"/>
    <w:lvl w:ilvl="0">
      <w:lvlJc w:val="left"/>
      <w:lvlText w:val="•"/>
      <w:numFmt w:val="bullet"/>
      <w:start w:val="1"/>
    </w:lvl>
  </w:abstractNum>
  <w:abstractNum w:abstractNumId="192">
    <w:nsid w:val="2A9C34E2"/>
    <w:multiLevelType w:val="hybridMultilevel"/>
    <w:lvl w:ilvl="0">
      <w:lvlJc w:val="left"/>
      <w:lvlText w:val="•"/>
      <w:numFmt w:val="bullet"/>
      <w:start w:val="1"/>
    </w:lvl>
  </w:abstractNum>
  <w:abstractNum w:abstractNumId="193">
    <w:nsid w:val="1B7585AB"/>
    <w:multiLevelType w:val="hybridMultilevel"/>
    <w:lvl w:ilvl="0">
      <w:lvlJc w:val="left"/>
      <w:lvlText w:val="•"/>
      <w:numFmt w:val="bullet"/>
      <w:start w:val="1"/>
    </w:lvl>
  </w:abstractNum>
  <w:abstractNum w:abstractNumId="194">
    <w:nsid w:val="612DBDDD"/>
    <w:multiLevelType w:val="hybridMultilevel"/>
    <w:lvl w:ilvl="0">
      <w:lvlJc w:val="left"/>
      <w:lvlText w:val="•"/>
      <w:numFmt w:val="bullet"/>
      <w:start w:val="1"/>
    </w:lvl>
  </w:abstractNum>
  <w:abstractNum w:abstractNumId="195">
    <w:nsid w:val="2109CDA4"/>
    <w:multiLevelType w:val="hybridMultilevel"/>
    <w:lvl w:ilvl="0">
      <w:lvlJc w:val="left"/>
      <w:lvlText w:val="(%1)"/>
      <w:numFmt w:val="lowerRoman"/>
      <w:start w:val="1"/>
    </w:lvl>
  </w:abstractNum>
  <w:abstractNum w:abstractNumId="196">
    <w:nsid w:val="577F5A4D"/>
    <w:multiLevelType w:val="hybridMultilevel"/>
    <w:lvl w:ilvl="0">
      <w:lvlJc w:val="left"/>
      <w:lvlText w:val="(%1)"/>
      <w:numFmt w:val="lowerLetter"/>
      <w:start w:val="1"/>
    </w:lvl>
  </w:abstractNum>
  <w:abstractNum w:abstractNumId="197">
    <w:nsid w:val="2121A81"/>
    <w:multiLevelType w:val="hybridMultilevel"/>
    <w:lvl w:ilvl="0">
      <w:lvlJc w:val="left"/>
      <w:lvlText w:val="(%1)"/>
      <w:numFmt w:val="lowerLetter"/>
      <w:start w:val="2"/>
    </w:lvl>
    <w:lvl w:ilvl="1">
      <w:lvlJc w:val="left"/>
      <w:lvlText w:val="(%2)"/>
      <w:numFmt w:val="lowerLetter"/>
      <w:start w:val="1"/>
    </w:lvl>
  </w:abstractNum>
  <w:abstractNum w:abstractNumId="198">
    <w:nsid w:val="6C2CFC88"/>
    <w:multiLevelType w:val="hybridMultilevel"/>
    <w:lvl w:ilvl="0">
      <w:lvlJc w:val="left"/>
      <w:lvlText w:val="•"/>
      <w:numFmt w:val="bullet"/>
      <w:start w:val="1"/>
    </w:lvl>
  </w:abstractNum>
  <w:abstractNum w:abstractNumId="199">
    <w:nsid w:val="6D1BCF1C"/>
    <w:multiLevelType w:val="hybridMultilevel"/>
    <w:lvl w:ilvl="0">
      <w:lvlJc w:val="left"/>
      <w:lvlText w:val="•"/>
      <w:numFmt w:val="bullet"/>
      <w:start w:val="1"/>
    </w:lvl>
  </w:abstractNum>
  <w:abstractNum w:abstractNumId="200">
    <w:nsid w:val="4CE5CA53"/>
    <w:multiLevelType w:val="hybridMultilevel"/>
    <w:lvl w:ilvl="0">
      <w:lvlJc w:val="left"/>
      <w:lvlText w:val="(%1)"/>
      <w:numFmt w:val="decimal"/>
      <w:start w:val="1"/>
    </w:lvl>
  </w:abstractNum>
  <w:abstractNum w:abstractNumId="201">
    <w:nsid w:val="29262D1A"/>
    <w:multiLevelType w:val="hybridMultilevel"/>
    <w:lvl w:ilvl="0">
      <w:lvlJc w:val="left"/>
      <w:lvlText w:val="•"/>
      <w:numFmt w:val="bullet"/>
      <w:start w:val="1"/>
    </w:lvl>
  </w:abstractNum>
  <w:abstractNum w:abstractNumId="202">
    <w:nsid w:val="557FB7EE"/>
    <w:multiLevelType w:val="hybridMultilevel"/>
    <w:lvl w:ilvl="0">
      <w:lvlJc w:val="left"/>
      <w:lvlText w:val="•"/>
      <w:numFmt w:val="bullet"/>
      <w:start w:val="1"/>
    </w:lvl>
  </w:abstractNum>
  <w:abstractNum w:abstractNumId="203">
    <w:nsid w:val="436F2BEB"/>
    <w:multiLevelType w:val="hybridMultilevel"/>
    <w:lvl w:ilvl="0">
      <w:lvlJc w:val="left"/>
      <w:lvlText w:val="(%1)"/>
      <w:numFmt w:val="decimal"/>
      <w:start w:val="2"/>
    </w:lvl>
  </w:abstractNum>
  <w:abstractNum w:abstractNumId="204">
    <w:nsid w:val="6C8B4466"/>
    <w:multiLevelType w:val="hybridMultilevel"/>
    <w:lvl w:ilvl="0">
      <w:lvlJc w:val="left"/>
      <w:lvlText w:val="(%1)"/>
      <w:numFmt w:val="decimal"/>
      <w:start w:val="4"/>
    </w:lvl>
  </w:abstractNum>
  <w:abstractNum w:abstractNumId="205">
    <w:nsid w:val="2006E424"/>
    <w:multiLevelType w:val="hybridMultilevel"/>
    <w:lvl w:ilvl="0">
      <w:lvlJc w:val="left"/>
      <w:lvlText w:val="•"/>
      <w:numFmt w:val="bullet"/>
      <w:start w:val="1"/>
    </w:lvl>
    <w:lvl w:ilvl="1">
      <w:lvlJc w:val="left"/>
      <w:lvlText w:val="-"/>
      <w:numFmt w:val="bullet"/>
      <w:start w:val="1"/>
    </w:lvl>
  </w:abstractNum>
  <w:abstractNum w:abstractNumId="206">
    <w:nsid w:val="20CC134C"/>
    <w:multiLevelType w:val="hybridMultilevel"/>
    <w:lvl w:ilvl="0">
      <w:lvlJc w:val="left"/>
      <w:lvlText w:val="•"/>
      <w:numFmt w:val="bullet"/>
      <w:start w:val="1"/>
    </w:lvl>
  </w:abstractNum>
  <w:abstractNum w:abstractNumId="207">
    <w:nsid w:val="95FC93B"/>
    <w:multiLevelType w:val="hybridMultilevel"/>
    <w:lvl w:ilvl="0">
      <w:lvlJc w:val="left"/>
      <w:lvlText w:val="(%1)"/>
      <w:numFmt w:val="decimal"/>
      <w:start w:val="1"/>
    </w:lvl>
  </w:abstractNum>
  <w:abstractNum w:abstractNumId="208">
    <w:nsid w:val="41D74679"/>
    <w:multiLevelType w:val="hybridMultilevel"/>
    <w:lvl w:ilvl="0">
      <w:lvlJc w:val="left"/>
      <w:lvlText w:val="•"/>
      <w:numFmt w:val="bullet"/>
      <w:start w:val="1"/>
    </w:lvl>
  </w:abstractNum>
  <w:abstractNum w:abstractNumId="209">
    <w:nsid w:val="71E5621E"/>
    <w:multiLevelType w:val="hybridMultilevel"/>
    <w:lvl w:ilvl="0">
      <w:lvlJc w:val="left"/>
      <w:lvlText w:val="•"/>
      <w:numFmt w:val="bullet"/>
      <w:start w:val="1"/>
    </w:lvl>
  </w:abstractNum>
  <w:abstractNum w:abstractNumId="210">
    <w:nsid w:val="4E42B6A8"/>
    <w:multiLevelType w:val="hybridMultilevel"/>
    <w:lvl w:ilvl="0">
      <w:lvlJc w:val="left"/>
      <w:lvlText w:val="•"/>
      <w:numFmt w:val="bullet"/>
      <w:start w:val="1"/>
    </w:lvl>
  </w:abstractNum>
  <w:abstractNum w:abstractNumId="211">
    <w:nsid w:val="43F8E1AC"/>
    <w:multiLevelType w:val="hybridMultilevel"/>
    <w:lvl w:ilvl="0">
      <w:lvlJc w:val="left"/>
      <w:lvlText w:val="•"/>
      <w:numFmt w:val="bullet"/>
      <w:start w:val="1"/>
    </w:lvl>
  </w:abstractNum>
  <w:abstractNum w:abstractNumId="212">
    <w:nsid w:val="69215DFB"/>
    <w:multiLevelType w:val="hybridMultilevel"/>
    <w:lvl w:ilvl="0">
      <w:lvlJc w:val="left"/>
      <w:lvlText w:val="(%1)"/>
      <w:numFmt w:val="decimal"/>
      <w:start w:val="1"/>
    </w:lvl>
  </w:abstractNum>
  <w:abstractNum w:abstractNumId="213">
    <w:nsid w:val="7ABF196A"/>
    <w:multiLevelType w:val="hybridMultilevel"/>
    <w:lvl w:ilvl="0">
      <w:lvlJc w:val="left"/>
      <w:lvlText w:val="•"/>
      <w:numFmt w:val="bullet"/>
      <w:start w:val="1"/>
    </w:lvl>
  </w:abstractNum>
  <w:abstractNum w:abstractNumId="214">
    <w:nsid w:val="5E4DB968"/>
    <w:multiLevelType w:val="hybridMultilevel"/>
    <w:lvl w:ilvl="0">
      <w:lvlJc w:val="left"/>
      <w:lvlText w:val="(%1)"/>
      <w:numFmt w:val="decimal"/>
      <w:start w:val="1"/>
    </w:lvl>
  </w:abstractNum>
  <w:abstractNum w:abstractNumId="215">
    <w:nsid w:val="2C06DCF3"/>
    <w:multiLevelType w:val="hybridMultilevel"/>
    <w:lvl w:ilvl="0">
      <w:lvlJc w:val="left"/>
      <w:lvlText w:val="(%1)"/>
      <w:numFmt w:val="decimal"/>
      <w:start w:val="1"/>
    </w:lvl>
  </w:abstractNum>
  <w:abstractNum w:abstractNumId="216">
    <w:nsid w:val="2E129658"/>
    <w:multiLevelType w:val="hybridMultilevel"/>
    <w:lvl w:ilvl="0">
      <w:lvlJc w:val="left"/>
      <w:lvlText w:val="•"/>
      <w:numFmt w:val="bullet"/>
      <w:start w:val="1"/>
    </w:lvl>
    <w:lvl w:ilvl="1">
      <w:lvlJc w:val="left"/>
      <w:lvlText w:val="•"/>
      <w:numFmt w:val="bullet"/>
      <w:start w:val="1"/>
    </w:lvl>
  </w:abstractNum>
  <w:abstractNum w:abstractNumId="217">
    <w:nsid w:val="59F0446"/>
    <w:multiLevelType w:val="hybridMultilevel"/>
    <w:lvl w:ilvl="0">
      <w:lvlJc w:val="left"/>
      <w:lvlText w:val="•"/>
      <w:numFmt w:val="bullet"/>
      <w:start w:val="1"/>
    </w:lvl>
  </w:abstractNum>
  <w:abstractNum w:abstractNumId="218">
    <w:nsid w:val="30DF306"/>
    <w:multiLevelType w:val="hybridMultilevel"/>
    <w:lvl w:ilvl="0">
      <w:lvlJc w:val="left"/>
      <w:lvlText w:val="•"/>
      <w:numFmt w:val="bullet"/>
      <w:start w:val="1"/>
    </w:lvl>
  </w:abstractNum>
  <w:abstractNum w:abstractNumId="219">
    <w:nsid w:val="A65647"/>
    <w:multiLevelType w:val="hybridMultilevel"/>
    <w:lvl w:ilvl="0">
      <w:lvlJc w:val="left"/>
      <w:lvlText w:val="•"/>
      <w:numFmt w:val="bullet"/>
      <w:start w:val="1"/>
    </w:lvl>
  </w:abstractNum>
  <w:abstractNum w:abstractNumId="220">
    <w:nsid w:val="3E5E582B"/>
    <w:multiLevelType w:val="hybridMultilevel"/>
    <w:lvl w:ilvl="0">
      <w:lvlJc w:val="left"/>
      <w:lvlText w:val="•"/>
      <w:numFmt w:val="bullet"/>
      <w:start w:val="1"/>
    </w:lvl>
  </w:abstractNum>
  <w:abstractNum w:abstractNumId="221">
    <w:nsid w:val="257D4626"/>
    <w:multiLevelType w:val="hybridMultilevel"/>
    <w:lvl w:ilvl="0">
      <w:lvlJc w:val="left"/>
      <w:lvlText w:val="(%1)"/>
      <w:numFmt w:val="decimal"/>
      <w:start w:val="1"/>
    </w:lvl>
  </w:abstractNum>
  <w:abstractNum w:abstractNumId="222">
    <w:nsid w:val="5AA8580E"/>
    <w:multiLevelType w:val="hybridMultilevel"/>
    <w:lvl w:ilvl="0">
      <w:lvlJc w:val="left"/>
      <w:lvlText w:val="(%1)"/>
      <w:numFmt w:val="decimal"/>
      <w:start w:val="1"/>
    </w:lvl>
  </w:abstractNum>
  <w:abstractNum w:abstractNumId="223">
    <w:nsid w:val="68FA8D0D"/>
    <w:multiLevelType w:val="hybridMultilevel"/>
    <w:lvl w:ilvl="0">
      <w:lvlJc w:val="left"/>
      <w:lvlText w:val="•"/>
      <w:numFmt w:val="bullet"/>
      <w:start w:val="1"/>
    </w:lvl>
  </w:abstractNum>
  <w:abstractNum w:abstractNumId="224">
    <w:nsid w:val="40F2CBD2"/>
    <w:multiLevelType w:val="hybridMultilevel"/>
    <w:lvl w:ilvl="0">
      <w:lvlJc w:val="left"/>
      <w:lvlText w:val="•"/>
      <w:numFmt w:val="bullet"/>
      <w:start w:val="1"/>
    </w:lvl>
  </w:abstractNum>
  <w:abstractNum w:abstractNumId="225">
    <w:nsid w:val="3BD615EB"/>
    <w:multiLevelType w:val="hybridMultilevel"/>
    <w:lvl w:ilvl="0">
      <w:lvlJc w:val="left"/>
      <w:lvlText w:val="•"/>
      <w:numFmt w:val="bullet"/>
      <w:start w:val="1"/>
    </w:lvl>
  </w:abstractNum>
  <w:abstractNum w:abstractNumId="226">
    <w:nsid w:val="A045AB2"/>
    <w:multiLevelType w:val="hybridMultilevel"/>
    <w:lvl w:ilvl="0">
      <w:lvlJc w:val="left"/>
      <w:lvlText w:val="•"/>
      <w:numFmt w:val="bullet"/>
      <w:start w:val="1"/>
    </w:lvl>
  </w:abstractNum>
  <w:abstractNum w:abstractNumId="227">
    <w:nsid w:val="1872261F"/>
    <w:multiLevelType w:val="hybridMultilevel"/>
    <w:lvl w:ilvl="0">
      <w:lvlJc w:val="left"/>
      <w:lvlText w:val="(%1)"/>
      <w:numFmt w:val="decimal"/>
      <w:start w:val="1"/>
    </w:lvl>
  </w:abstractNum>
  <w:abstractNum w:abstractNumId="228">
    <w:nsid w:val="3DE8306C"/>
    <w:multiLevelType w:val="hybridMultilevel"/>
    <w:lvl w:ilvl="0">
      <w:lvlJc w:val="left"/>
      <w:lvlText w:val="(%1)"/>
      <w:numFmt w:val="upperLetter"/>
      <w:start w:val="1"/>
    </w:lvl>
  </w:abstractNum>
  <w:abstractNum w:abstractNumId="229">
    <w:nsid w:val="7631573A"/>
    <w:multiLevelType w:val="hybridMultilevel"/>
    <w:lvl w:ilvl="0">
      <w:lvlJc w:val="left"/>
      <w:lvlText w:val="(%1)"/>
      <w:numFmt w:val="lowerLetter"/>
      <w:start w:val="1"/>
    </w:lvl>
  </w:abstractNum>
  <w:abstractNum w:abstractNumId="230">
    <w:nsid w:val="58DF53B"/>
    <w:multiLevelType w:val="hybridMultilevel"/>
    <w:lvl w:ilvl="0">
      <w:lvlJc w:val="left"/>
      <w:lvlText w:val="(%1)"/>
      <w:numFmt w:val="lowerLetter"/>
      <w:start w:val="4"/>
    </w:lvl>
  </w:abstractNum>
  <w:abstractNum w:abstractNumId="231">
    <w:nsid w:val="ACDFAC0"/>
    <w:multiLevelType w:val="hybridMultilevel"/>
    <w:lvl w:ilvl="0">
      <w:lvlJc w:val="left"/>
      <w:lvlText w:val="(%1)"/>
      <w:numFmt w:val="lowerLetter"/>
      <w:start w:val="8"/>
    </w:lvl>
  </w:abstractNum>
  <w:abstractNum w:abstractNumId="232">
    <w:nsid w:val="1F578454"/>
    <w:multiLevelType w:val="hybridMultilevel"/>
    <w:lvl w:ilvl="0">
      <w:lvlJc w:val="left"/>
      <w:lvlText w:val="%1."/>
      <w:numFmt w:val="decimal"/>
      <w:start w:val="7"/>
    </w:lvl>
  </w:abstractNum>
  <w:abstractNum w:abstractNumId="233">
    <w:nsid w:val="5B0DAD2A"/>
    <w:multiLevelType w:val="hybridMultilevel"/>
    <w:lvl w:ilvl="0">
      <w:lvlJc w:val="left"/>
      <w:lvlText w:val="(%1)"/>
      <w:numFmt w:val="upperLetter"/>
      <w:start w:val="1"/>
    </w:lvl>
  </w:abstractNum>
  <w:abstractNum w:abstractNumId="234">
    <w:nsid w:val="4E3D26AB"/>
    <w:multiLevelType w:val="hybridMultilevel"/>
    <w:lvl w:ilvl="0">
      <w:lvlJc w:val="left"/>
      <w:lvlText w:val="(%1)"/>
      <w:numFmt w:val="lowerLetter"/>
      <w:start w:val="1"/>
    </w:lvl>
  </w:abstractNum>
  <w:abstractNum w:abstractNumId="235">
    <w:nsid w:val="BE2C8BA"/>
    <w:multiLevelType w:val="hybridMultilevel"/>
    <w:lvl w:ilvl="0">
      <w:lvlJc w:val="left"/>
      <w:lvlText w:val="•"/>
      <w:numFmt w:val="bullet"/>
      <w:start w:val="1"/>
    </w:lvl>
  </w:abstractNum>
  <w:abstractNum w:abstractNumId="236">
    <w:nsid w:val="7B14914E"/>
    <w:multiLevelType w:val="hybridMultilevel"/>
    <w:lvl w:ilvl="0">
      <w:lvlJc w:val="left"/>
      <w:lvlText w:val="(%1)"/>
      <w:numFmt w:val="lowerRoman"/>
      <w:start w:val="1"/>
    </w:lvl>
  </w:abstractNum>
  <w:abstractNum w:abstractNumId="237">
    <w:nsid w:val="6F0939F8"/>
    <w:multiLevelType w:val="hybridMultilevel"/>
    <w:lvl w:ilvl="0">
      <w:lvlJc w:val="left"/>
      <w:lvlText w:val="•"/>
      <w:numFmt w:val="bullet"/>
      <w:start w:val="1"/>
    </w:lvl>
  </w:abstractNum>
  <w:abstractNum w:abstractNumId="238">
    <w:nsid w:val="154291F6"/>
    <w:multiLevelType w:val="hybridMultilevel"/>
    <w:lvl w:ilvl="0">
      <w:lvlJc w:val="left"/>
      <w:lvlText w:val="(%1)"/>
      <w:numFmt w:val="lowerLetter"/>
      <w:start w:val="2"/>
    </w:lvl>
  </w:abstractNum>
  <w:abstractNum w:abstractNumId="239">
    <w:nsid w:val="3CEBD7C7"/>
    <w:multiLevelType w:val="hybridMultilevel"/>
    <w:lvl w:ilvl="0">
      <w:lvlJc w:val="left"/>
      <w:lvlText w:val="(%1)"/>
      <w:numFmt w:val="decimal"/>
      <w:start w:val="1"/>
    </w:lvl>
  </w:abstractNum>
  <w:abstractNum w:abstractNumId="240">
    <w:nsid w:val="60EE9C16"/>
    <w:multiLevelType w:val="hybridMultilevel"/>
    <w:lvl w:ilvl="0">
      <w:lvlJc w:val="left"/>
      <w:lvlText w:val="•"/>
      <w:numFmt w:val="bullet"/>
      <w:start w:val="1"/>
    </w:lvl>
  </w:abstractNum>
  <w:abstractNum w:abstractNumId="241">
    <w:nsid w:val="6385489E"/>
    <w:multiLevelType w:val="hybridMultilevel"/>
    <w:lvl w:ilvl="0">
      <w:lvlJc w:val="left"/>
      <w:lvlText w:val="•"/>
      <w:numFmt w:val="bullet"/>
      <w:start w:val="1"/>
    </w:lvl>
  </w:abstractNum>
  <w:abstractNum w:abstractNumId="242">
    <w:nsid w:val="E4B973"/>
    <w:multiLevelType w:val="hybridMultilevel"/>
    <w:lvl w:ilvl="0">
      <w:lvlJc w:val="left"/>
      <w:lvlText w:val="*"/>
      <w:numFmt w:val="bullet"/>
      <w:start w:val="1"/>
    </w:lvl>
  </w:abstractNum>
  <w:abstractNum w:abstractNumId="243">
    <w:nsid w:val="4A0FFA11"/>
    <w:multiLevelType w:val="hybridMultilevel"/>
    <w:lvl w:ilvl="0">
      <w:lvlJc w:val="left"/>
      <w:lvlText w:val="(%1)"/>
      <w:numFmt w:val="decimal"/>
      <w:start w:val="1"/>
    </w:lvl>
  </w:abstractNum>
  <w:abstractNum w:abstractNumId="244">
    <w:nsid w:val="5E446208"/>
    <w:multiLevelType w:val="hybridMultilevel"/>
    <w:lvl w:ilvl="0">
      <w:lvlJc w:val="left"/>
      <w:lvlText w:val="(%1)"/>
      <w:numFmt w:val="decimal"/>
      <w:start w:val="3"/>
    </w:lvl>
  </w:abstractNum>
  <w:abstractNum w:abstractNumId="245">
    <w:nsid w:val="5F3272DB"/>
    <w:multiLevelType w:val="hybridMultilevel"/>
    <w:lvl w:ilvl="0">
      <w:lvlJc w:val="left"/>
      <w:lvlText w:val="(%1)"/>
      <w:numFmt w:val="decimal"/>
      <w:start w:val="9"/>
    </w:lvl>
  </w:abstractNum>
  <w:abstractNum w:abstractNumId="246">
    <w:nsid w:val="7616D704"/>
    <w:multiLevelType w:val="hybridMultilevel"/>
    <w:lvl w:ilvl="0">
      <w:lvlJc w:val="left"/>
      <w:lvlText w:val="(%1)"/>
      <w:numFmt w:val="decimal"/>
      <w:start w:val="1"/>
    </w:lvl>
  </w:abstractNum>
  <w:abstractNum w:abstractNumId="247">
    <w:nsid w:val="C56F860"/>
    <w:multiLevelType w:val="hybridMultilevel"/>
    <w:lvl w:ilvl="0">
      <w:lvlJc w:val="left"/>
      <w:lvlText w:val="•"/>
      <w:numFmt w:val="bullet"/>
      <w:start w:val="1"/>
    </w:lvl>
  </w:abstractNum>
  <w:abstractNum w:abstractNumId="248">
    <w:nsid w:val="64D17722"/>
    <w:multiLevelType w:val="hybridMultilevel"/>
    <w:lvl w:ilvl="0">
      <w:lvlJc w:val="left"/>
      <w:lvlText w:val="•"/>
      <w:numFmt w:val="bullet"/>
      <w:start w:val="1"/>
    </w:lvl>
  </w:abstractNum>
  <w:abstractNum w:abstractNumId="249">
    <w:nsid w:val="7924CA0A"/>
    <w:multiLevelType w:val="hybridMultilevel"/>
    <w:lvl w:ilvl="0">
      <w:lvlJc w:val="left"/>
      <w:lvlText w:val="•"/>
      <w:numFmt w:val="bullet"/>
      <w:start w:val="1"/>
    </w:lvl>
  </w:abstractNum>
  <w:abstractNum w:abstractNumId="250">
    <w:nsid w:val="CFD4EA7"/>
    <w:multiLevelType w:val="hybridMultilevel"/>
    <w:lvl w:ilvl="0">
      <w:lvlJc w:val="left"/>
      <w:lvlText w:val="(%1)"/>
      <w:numFmt w:val="lowerRoman"/>
      <w:start w:val="2"/>
    </w:lvl>
  </w:abstractNum>
  <w:abstractNum w:abstractNumId="251">
    <w:nsid w:val="232FCF4D"/>
    <w:multiLevelType w:val="hybridMultilevel"/>
    <w:lvl w:ilvl="0">
      <w:lvlJc w:val="left"/>
      <w:lvlText w:val="(%1)"/>
      <w:numFmt w:val="upperLetter"/>
      <w:start w:val="1"/>
    </w:lvl>
  </w:abstractNum>
  <w:abstractNum w:abstractNumId="252">
    <w:nsid w:val="1EA21031"/>
    <w:multiLevelType w:val="hybridMultilevel"/>
    <w:lvl w:ilvl="0">
      <w:lvlJc w:val="left"/>
      <w:lvlText w:val="(%1)"/>
      <w:numFmt w:val="lowerRoman"/>
      <w:start w:val="1"/>
    </w:lvl>
  </w:abstractNum>
  <w:abstractNum w:abstractNumId="253">
    <w:nsid w:val="67A5A6B5"/>
    <w:multiLevelType w:val="hybridMultilevel"/>
    <w:lvl w:ilvl="0">
      <w:lvlJc w:val="left"/>
      <w:lvlText w:val="(%1)"/>
      <w:numFmt w:val="lowerLetter"/>
      <w:start w:val="1"/>
    </w:lvl>
    <w:lvl w:ilvl="1">
      <w:lvlJc w:val="left"/>
      <w:lvlText w:val="(%2)"/>
      <w:numFmt w:val="lowerLetter"/>
      <w:start w:val="1"/>
    </w:lvl>
  </w:abstractNum>
  <w:abstractNum w:abstractNumId="254">
    <w:nsid w:val="C2A5C5B"/>
    <w:multiLevelType w:val="hybridMultilevel"/>
    <w:lvl w:ilvl="0">
      <w:lvlJc w:val="left"/>
      <w:lvlText w:val="•"/>
      <w:numFmt w:val="bullet"/>
      <w:start w:val="1"/>
    </w:lvl>
  </w:abstractNum>
  <w:abstractNum w:abstractNumId="255">
    <w:nsid w:val="5F94DC03"/>
    <w:multiLevelType w:val="hybridMultilevel"/>
    <w:lvl w:ilvl="0">
      <w:lvlJc w:val="left"/>
      <w:lvlText w:val="(%1)"/>
      <w:numFmt w:val="decimal"/>
      <w:start w:val="1"/>
    </w:lvl>
  </w:abstractNum>
  <w:abstractNum w:abstractNumId="256">
    <w:nsid w:val="237BBCA0"/>
    <w:multiLevelType w:val="hybridMultilevel"/>
    <w:lvl w:ilvl="0">
      <w:lvlJc w:val="left"/>
      <w:lvlText w:val="(%1)"/>
      <w:numFmt w:val="lowerRoman"/>
      <w:start w:val="2"/>
    </w:lvl>
  </w:abstractNum>
  <w:abstractNum w:abstractNumId="257">
    <w:nsid w:val="162EB70D"/>
    <w:multiLevelType w:val="hybridMultilevel"/>
    <w:lvl w:ilvl="0">
      <w:lvlJc w:val="left"/>
      <w:lvlText w:val="(%1)"/>
      <w:numFmt w:val="upperLetter"/>
      <w:start w:val="1"/>
    </w:lvl>
  </w:abstractNum>
  <w:abstractNum w:abstractNumId="258">
    <w:nsid w:val="78070222"/>
    <w:multiLevelType w:val="hybridMultilevel"/>
    <w:lvl w:ilvl="0">
      <w:lvlJc w:val="left"/>
      <w:lvlText w:val="(%1)"/>
      <w:numFmt w:val="lowerRoman"/>
      <w:start w:val="1"/>
    </w:lvl>
  </w:abstractNum>
  <w:abstractNum w:abstractNumId="259">
    <w:nsid w:val="6163ED0D"/>
    <w:multiLevelType w:val="hybridMultilevel"/>
    <w:lvl w:ilvl="0">
      <w:lvlJc w:val="left"/>
      <w:lvlText w:val="(%1)"/>
      <w:numFmt w:val="lowerLetter"/>
      <w:start w:val="1"/>
    </w:lvl>
  </w:abstractNum>
  <w:abstractNum w:abstractNumId="260">
    <w:nsid w:val="C600E47"/>
    <w:multiLevelType w:val="hybridMultilevel"/>
    <w:lvl w:ilvl="0">
      <w:lvlJc w:val="left"/>
      <w:lvlText w:val="(%1)"/>
      <w:numFmt w:val="lowerRoman"/>
      <w:start w:val="1"/>
    </w:lvl>
  </w:abstractNum>
  <w:abstractNum w:abstractNumId="261">
    <w:nsid w:val="7D94F75D"/>
    <w:multiLevelType w:val="hybridMultilevel"/>
    <w:lvl w:ilvl="0">
      <w:lvlJc w:val="left"/>
      <w:lvlText w:val="•"/>
      <w:numFmt w:val="bullet"/>
      <w:start w:val="1"/>
    </w:lvl>
  </w:abstractNum>
  <w:abstractNum w:abstractNumId="262">
    <w:nsid w:val="6C31E7CD"/>
    <w:multiLevelType w:val="hybridMultilevel"/>
    <w:lvl w:ilvl="0">
      <w:lvlJc w:val="left"/>
      <w:lvlText w:val="%1."/>
      <w:numFmt w:val="lowerLetter"/>
      <w:start w:val="1"/>
    </w:lvl>
  </w:abstractNum>
  <w:abstractNum w:abstractNumId="263">
    <w:nsid w:val="2BB7929B"/>
    <w:multiLevelType w:val="hybridMultilevel"/>
    <w:lvl w:ilvl="0">
      <w:lvlJc w:val="left"/>
      <w:lvlText w:val="%1."/>
      <w:numFmt w:val="lowerLetter"/>
      <w:start w:val="1"/>
    </w:lvl>
  </w:abstractNum>
  <w:abstractNum w:abstractNumId="264">
    <w:nsid w:val="58A2A487"/>
    <w:multiLevelType w:val="hybridMultilevel"/>
    <w:lvl w:ilvl="0">
      <w:lvlJc w:val="left"/>
      <w:lvlText w:val="%1."/>
      <w:numFmt w:val="lowerLetter"/>
      <w:start w:val="2"/>
    </w:lvl>
  </w:abstractNum>
  <w:abstractNum w:abstractNumId="265">
    <w:nsid w:val="3A6F0E78"/>
    <w:multiLevelType w:val="hybridMultilevel"/>
    <w:lvl w:ilvl="0">
      <w:lvlJc w:val="left"/>
      <w:lvlText w:val="%1."/>
      <w:numFmt w:val="lowerLetter"/>
      <w:start w:val="3"/>
    </w:lvl>
  </w:abstractNum>
  <w:abstractNum w:abstractNumId="266">
    <w:nsid w:val="379A5B56"/>
    <w:multiLevelType w:val="hybridMultilevel"/>
    <w:lvl w:ilvl="0">
      <w:lvlJc w:val="left"/>
      <w:lvlText w:val="%1."/>
      <w:numFmt w:val="lowerLetter"/>
      <w:start w:val="4"/>
    </w:lvl>
  </w:abstractNum>
  <w:abstractNum w:abstractNumId="267">
    <w:nsid w:val="53B735D5"/>
    <w:multiLevelType w:val="hybridMultilevel"/>
    <w:lvl w:ilvl="0">
      <w:lvlJc w:val="left"/>
      <w:lvlText w:val="%1."/>
      <w:numFmt w:val="lowerLetter"/>
      <w:start w:val="5"/>
    </w:lvl>
  </w:abstractNum>
  <w:abstractNum w:abstractNumId="268">
    <w:nsid w:val="29784870"/>
    <w:multiLevelType w:val="hybridMultilevel"/>
    <w:lvl w:ilvl="0">
      <w:lvlJc w:val="left"/>
      <w:lvlText w:val="%1."/>
      <w:numFmt w:val="lowerLetter"/>
      <w:start w:val="6"/>
    </w:lvl>
  </w:abstractNum>
  <w:abstractNum w:abstractNumId="269">
    <w:nsid w:val="4CDCED4C"/>
    <w:multiLevelType w:val="hybridMultilevel"/>
    <w:lvl w:ilvl="0">
      <w:lvlJc w:val="left"/>
      <w:lvlText w:val="%1."/>
      <w:numFmt w:val="lowerLetter"/>
      <w:start w:val="7"/>
    </w:lvl>
  </w:abstractNum>
  <w:abstractNum w:abstractNumId="270">
    <w:nsid w:val="10A30D9C"/>
    <w:multiLevelType w:val="hybridMultilevel"/>
    <w:lvl w:ilvl="0">
      <w:lvlJc w:val="left"/>
      <w:lvlText w:val="%1."/>
      <w:numFmt w:val="lowerLetter"/>
      <w:start w:val="8"/>
    </w:lvl>
  </w:abstractNum>
  <w:abstractNum w:abstractNumId="271">
    <w:nsid w:val="A66E486"/>
    <w:multiLevelType w:val="hybridMultilevel"/>
    <w:lvl w:ilvl="0">
      <w:lvlJc w:val="left"/>
      <w:lvlText w:val="%1."/>
      <w:numFmt w:val="decimal"/>
      <w:start w:val="1"/>
    </w:lvl>
  </w:abstractNum>
  <w:abstractNum w:abstractNumId="272">
    <w:nsid w:val="306235EA"/>
    <w:multiLevelType w:val="hybridMultilevel"/>
    <w:lvl w:ilvl="0">
      <w:lvlJc w:val="left"/>
      <w:lvlText w:val="%1."/>
      <w:numFmt w:val="lowerRoman"/>
      <w:start w:val="1"/>
    </w:lvl>
  </w:abstractNum>
  <w:abstractNum w:abstractNumId="273">
    <w:nsid w:val="1187C70F"/>
    <w:multiLevelType w:val="hybridMultilevel"/>
    <w:lvl w:ilvl="0">
      <w:lvlJc w:val="left"/>
      <w:lvlText w:val="%1."/>
      <w:numFmt w:val="lowerLetter"/>
      <w:start w:val="10"/>
    </w:lvl>
  </w:abstractNum>
  <w:abstractNum w:abstractNumId="274">
    <w:nsid w:val="5476DE98"/>
    <w:multiLevelType w:val="hybridMultilevel"/>
    <w:lvl w:ilvl="0">
      <w:lvlJc w:val="left"/>
      <w:lvlText w:val="%1."/>
      <w:numFmt w:val="lowerLetter"/>
      <w:start w:val="11"/>
    </w:lvl>
  </w:abstractNum>
  <w:abstractNum w:abstractNumId="275">
    <w:nsid w:val="EA697F2"/>
    <w:multiLevelType w:val="hybridMultilevel"/>
    <w:lvl w:ilvl="0">
      <w:lvlJc w:val="left"/>
      <w:lvlText w:val="%1."/>
      <w:numFmt w:val="lowerLetter"/>
      <w:start w:val="12"/>
    </w:lvl>
  </w:abstractNum>
  <w:abstractNum w:abstractNumId="276">
    <w:nsid w:val="70BA39EB"/>
    <w:multiLevelType w:val="hybridMultilevel"/>
    <w:lvl w:ilvl="0">
      <w:lvlJc w:val="left"/>
      <w:lvlText w:val="%1."/>
      <w:numFmt w:val="lowerLetter"/>
      <w:start w:val="13"/>
    </w:lvl>
  </w:abstractNum>
  <w:abstractNum w:abstractNumId="277">
    <w:nsid w:val="4A8DB59C"/>
    <w:multiLevelType w:val="hybridMultilevel"/>
    <w:lvl w:ilvl="0">
      <w:lvlJc w:val="left"/>
      <w:lvlText w:val="%1."/>
      <w:numFmt w:val="lowerLetter"/>
      <w:start w:val="14"/>
    </w:lvl>
  </w:abstractNum>
  <w:abstractNum w:abstractNumId="278">
    <w:nsid w:val="1AFD9053"/>
    <w:multiLevelType w:val="hybridMultilevel"/>
    <w:lvl w:ilvl="0">
      <w:lvlJc w:val="left"/>
      <w:lvlText w:val="%1."/>
      <w:numFmt w:val="lowerLetter"/>
      <w:start w:val="15"/>
    </w:lvl>
  </w:abstractNum>
  <w:abstractNum w:abstractNumId="279">
    <w:nsid w:val="558BB10D"/>
    <w:multiLevelType w:val="hybridMultilevel"/>
    <w:lvl w:ilvl="0">
      <w:lvlJc w:val="left"/>
      <w:lvlText w:val="%1."/>
      <w:numFmt w:val="lowerLetter"/>
      <w:start w:val="16"/>
    </w:lvl>
  </w:abstractNum>
  <w:abstractNum w:abstractNumId="280">
    <w:nsid w:val="43B27FA7"/>
    <w:multiLevelType w:val="hybridMultilevel"/>
    <w:lvl w:ilvl="0">
      <w:lvlJc w:val="left"/>
      <w:lvlText w:val="%1."/>
      <w:numFmt w:val="lowerLetter"/>
      <w:start w:val="17"/>
    </w:lvl>
  </w:abstractNum>
  <w:abstractNum w:abstractNumId="281">
    <w:nsid w:val="27FADEFA"/>
    <w:multiLevelType w:val="hybridMultilevel"/>
    <w:lvl w:ilvl="0">
      <w:lvlJc w:val="left"/>
      <w:lvlText w:val="%1."/>
      <w:numFmt w:val="lowerLetter"/>
      <w:start w:val="18"/>
    </w:lvl>
  </w:abstractNum>
  <w:abstractNum w:abstractNumId="282">
    <w:nsid w:val="78BB805A"/>
    <w:multiLevelType w:val="hybridMultilevel"/>
    <w:lvl w:ilvl="0">
      <w:lvlJc w:val="left"/>
      <w:lvlText w:val="%1."/>
      <w:numFmt w:val="lowerLetter"/>
      <w:start w:val="19"/>
    </w:lvl>
  </w:abstractNum>
  <w:abstractNum w:abstractNumId="283">
    <w:nsid w:val="62548FD8"/>
    <w:multiLevelType w:val="hybridMultilevel"/>
    <w:lvl w:ilvl="0">
      <w:lvlJc w:val="left"/>
      <w:lvlText w:val="%1."/>
      <w:numFmt w:val="lowerLetter"/>
      <w:start w:val="20"/>
    </w:lvl>
  </w:abstractNum>
  <w:abstractNum w:abstractNumId="284">
    <w:nsid w:val="FA085B0"/>
    <w:multiLevelType w:val="hybridMultilevel"/>
    <w:lvl w:ilvl="0">
      <w:lvlJc w:val="left"/>
      <w:lvlText w:val="%1."/>
      <w:numFmt w:val="lowerLetter"/>
      <w:start w:val="21"/>
    </w:lvl>
  </w:abstractNum>
  <w:abstractNum w:abstractNumId="285">
    <w:nsid w:val="4E5DCB5"/>
    <w:multiLevelType w:val="hybridMultilevel"/>
    <w:lvl w:ilvl="0">
      <w:lvlJc w:val="left"/>
      <w:lvlText w:val="%1."/>
      <w:numFmt w:val="lowerLetter"/>
      <w:start w:val="1"/>
    </w:lvl>
  </w:abstractNum>
  <w:abstractNum w:abstractNumId="286">
    <w:nsid w:val="41E96BDB"/>
    <w:multiLevelType w:val="hybridMultilevel"/>
    <w:lvl w:ilvl="0">
      <w:lvlJc w:val="left"/>
      <w:lvlText w:val="%1."/>
      <w:numFmt w:val="lowerLetter"/>
      <w:start w:val="1"/>
    </w:lvl>
  </w:abstractNum>
  <w:abstractNum w:abstractNumId="287">
    <w:nsid w:val="331C4250"/>
    <w:multiLevelType w:val="hybridMultilevel"/>
    <w:lvl w:ilvl="0">
      <w:lvlJc w:val="left"/>
      <w:lvlText w:val="%1."/>
      <w:numFmt w:val="lowerLetter"/>
      <w:start w:val="2"/>
    </w:lvl>
  </w:abstractNum>
  <w:abstractNum w:abstractNumId="288">
    <w:nsid w:val="1B1493C2"/>
    <w:multiLevelType w:val="hybridMultilevel"/>
    <w:lvl w:ilvl="0">
      <w:lvlJc w:val="left"/>
      <w:lvlText w:val="%1."/>
      <w:numFmt w:val="lowerLetter"/>
      <w:start w:val="3"/>
    </w:lvl>
  </w:abstractNum>
  <w:abstractNum w:abstractNumId="289">
    <w:nsid w:val="39F06DFD"/>
    <w:multiLevelType w:val="hybridMultilevel"/>
    <w:lvl w:ilvl="0">
      <w:lvlJc w:val="left"/>
      <w:lvlText w:val="(%1)"/>
      <w:numFmt w:val="lowerRoman"/>
      <w:start w:val="3"/>
    </w:lvl>
  </w:abstractNum>
  <w:abstractNum w:abstractNumId="290">
    <w:nsid w:val="14802F5D"/>
    <w:multiLevelType w:val="hybridMultilevel"/>
    <w:lvl w:ilvl="0">
      <w:lvlJc w:val="left"/>
      <w:lvlText w:val="%1."/>
      <w:numFmt w:val="lowerLetter"/>
      <w:start w:val="1"/>
    </w:lvl>
  </w:abstractNum>
  <w:abstractNum w:abstractNumId="291">
    <w:nsid w:val="2774A209"/>
    <w:multiLevelType w:val="hybridMultilevel"/>
    <w:lvl w:ilvl="0">
      <w:lvlJc w:val="left"/>
      <w:lvlText w:val="%1."/>
      <w:numFmt w:val="lowerLetter"/>
      <w:start w:val="2"/>
    </w:lvl>
  </w:abstractNum>
  <w:abstractNum w:abstractNumId="292">
    <w:nsid w:val="3785655A"/>
    <w:multiLevelType w:val="hybridMultilevel"/>
    <w:lvl w:ilvl="0">
      <w:lvlJc w:val="left"/>
      <w:lvlText w:val="%1."/>
      <w:numFmt w:val="lowerLetter"/>
      <w:start w:val="3"/>
    </w:lvl>
  </w:abstractNum>
  <w:abstractNum w:abstractNumId="293">
    <w:nsid w:val="B2172A"/>
    <w:multiLevelType w:val="hybridMultilevel"/>
    <w:lvl w:ilvl="0">
      <w:lvlJc w:val="left"/>
      <w:lvlText w:val="%1."/>
      <w:numFmt w:val="lowerLetter"/>
      <w:start w:val="4"/>
    </w:lvl>
  </w:abstractNum>
  <w:abstractNum w:abstractNumId="294">
    <w:nsid w:val="532C34A5"/>
    <w:multiLevelType w:val="hybridMultilevel"/>
    <w:lvl w:ilvl="0">
      <w:lvlJc w:val="left"/>
      <w:lvlText w:val="%1."/>
      <w:numFmt w:val="lowerLetter"/>
      <w:start w:val="5"/>
    </w:lvl>
  </w:abstractNum>
  <w:abstractNum w:abstractNumId="295">
    <w:nsid w:val="102809E2"/>
    <w:multiLevelType w:val="hybridMultilevel"/>
    <w:lvl w:ilvl="0">
      <w:lvlJc w:val="left"/>
      <w:lvlText w:val="%1."/>
      <w:numFmt w:val="lowerLetter"/>
      <w:start w:val="1"/>
    </w:lvl>
  </w:abstractNum>
  <w:abstractNum w:abstractNumId="296">
    <w:nsid w:val="3B2125A3"/>
    <w:multiLevelType w:val="hybridMultilevel"/>
    <w:lvl w:ilvl="0">
      <w:lvlJc w:val="left"/>
      <w:lvlText w:val="%1."/>
      <w:numFmt w:val="lowerLetter"/>
      <w:start w:val="2"/>
    </w:lvl>
  </w:abstractNum>
  <w:abstractNum w:abstractNumId="297">
    <w:nsid w:val="AC68FFB"/>
    <w:multiLevelType w:val="hybridMultilevel"/>
    <w:lvl w:ilvl="0">
      <w:lvlJc w:val="left"/>
      <w:lvlText w:val="%1."/>
      <w:numFmt w:val="lowerLetter"/>
      <w:start w:val="1"/>
    </w:lvl>
  </w:abstractNum>
  <w:abstractNum w:abstractNumId="298">
    <w:nsid w:val="63DF3FB7"/>
    <w:multiLevelType w:val="hybridMultilevel"/>
    <w:lvl w:ilvl="0">
      <w:lvlJc w:val="left"/>
      <w:lvlText w:val="%1."/>
      <w:numFmt w:val="lowerLetter"/>
      <w:start w:val="1"/>
    </w:lvl>
  </w:abstractNum>
  <w:abstractNum w:abstractNumId="299">
    <w:nsid w:val="64996E13"/>
    <w:multiLevelType w:val="hybridMultilevel"/>
    <w:lvl w:ilvl="0">
      <w:lvlJc w:val="left"/>
      <w:lvlText w:val="%1."/>
      <w:numFmt w:val="lowerLetter"/>
      <w:start w:val="2"/>
    </w:lvl>
  </w:abstractNum>
  <w:abstractNum w:abstractNumId="300">
    <w:nsid w:val="57A37D47"/>
    <w:multiLevelType w:val="hybridMultilevel"/>
    <w:lvl w:ilvl="0">
      <w:lvlJc w:val="left"/>
      <w:lvlText w:val="%1."/>
      <w:numFmt w:val="lowerLetter"/>
      <w:start w:val="3"/>
    </w:lvl>
  </w:abstractNum>
  <w:abstractNum w:abstractNumId="301">
    <w:nsid w:val="74824D54"/>
    <w:multiLevelType w:val="hybridMultilevel"/>
    <w:lvl w:ilvl="0">
      <w:lvlJc w:val="left"/>
      <w:lvlText w:val="%1."/>
      <w:numFmt w:val="lowerLetter"/>
      <w:start w:val="4"/>
    </w:lvl>
  </w:abstractNum>
  <w:abstractNum w:abstractNumId="302">
    <w:nsid w:val="6F00529A"/>
    <w:multiLevelType w:val="hybridMultilevel"/>
    <w:lvl w:ilvl="0">
      <w:lvlJc w:val="left"/>
      <w:lvlText w:val="%1."/>
      <w:numFmt w:val="lowerLetter"/>
      <w:start w:val="1"/>
    </w:lvl>
  </w:abstractNum>
  <w:abstractNum w:abstractNumId="303">
    <w:nsid w:val="805B331"/>
    <w:multiLevelType w:val="hybridMultilevel"/>
    <w:lvl w:ilvl="0">
      <w:lvlJc w:val="left"/>
      <w:lvlText w:val="%1."/>
      <w:numFmt w:val="lowerLetter"/>
      <w:start w:val="2"/>
    </w:lvl>
  </w:abstractNum>
  <w:abstractNum w:abstractNumId="304">
    <w:nsid w:val="60A1463"/>
    <w:multiLevelType w:val="hybridMultilevel"/>
    <w:lvl w:ilvl="0">
      <w:lvlJc w:val="left"/>
      <w:lvlText w:val="(%1)"/>
      <w:numFmt w:val="lowerLetter"/>
      <w:start w:val="2"/>
    </w:lvl>
  </w:abstractNum>
  <w:abstractNum w:abstractNumId="305">
    <w:nsid w:val="43773132"/>
    <w:multiLevelType w:val="hybridMultilevel"/>
    <w:lvl w:ilvl="0">
      <w:lvlJc w:val="left"/>
      <w:lvlText w:val="(%1)"/>
      <w:numFmt w:val="lowerRoman"/>
      <w:start w:val="2"/>
    </w:lvl>
  </w:abstractNum>
  <w:abstractNum w:abstractNumId="306">
    <w:nsid w:val="16AC4B23"/>
    <w:multiLevelType w:val="hybridMultilevel"/>
    <w:lvl w:ilvl="0">
      <w:lvlJc w:val="left"/>
      <w:lvlText w:val="(%1)"/>
      <w:numFmt w:val="lowerRoman"/>
      <w:start w:val="1"/>
    </w:lvl>
  </w:abstractNum>
  <w:abstractNum w:abstractNumId="307">
    <w:nsid w:val="76C44E4E"/>
    <w:multiLevelType w:val="hybridMultilevel"/>
    <w:lvl w:ilvl="0">
      <w:lvlJc w:val="left"/>
      <w:lvlText w:val="(%1)"/>
      <w:numFmt w:val="decimal"/>
      <w:start w:val="4"/>
    </w:lvl>
  </w:abstractNum>
  <w:abstractNum w:abstractNumId="308">
    <w:nsid w:val="E04E6CE"/>
    <w:multiLevelType w:val="hybridMultilevel"/>
    <w:lvl w:ilvl="0">
      <w:lvlJc w:val="left"/>
      <w:lvlText w:val="%1)"/>
      <w:numFmt w:val="lowerLetter"/>
      <w:start w:val="1"/>
    </w:lvl>
  </w:abstractNum>
  <w:abstractNum w:abstractNumId="309">
    <w:nsid w:val="31A9DB76"/>
    <w:multiLevelType w:val="hybridMultilevel"/>
    <w:lvl w:ilvl="0">
      <w:lvlJc w:val="left"/>
      <w:lvlText w:val="%1)"/>
      <w:numFmt w:val="lowerLetter"/>
      <w:start w:val="2"/>
    </w:lvl>
  </w:abstractNum>
  <w:abstractNum w:abstractNumId="310">
    <w:nsid w:val="4C4FFF5B"/>
    <w:multiLevelType w:val="hybridMultilevel"/>
    <w:lvl w:ilvl="0">
      <w:lvlJc w:val="left"/>
      <w:lvlText w:val="(%1)"/>
      <w:numFmt w:val="lowerRoman"/>
      <w:start w:val="2"/>
    </w:lvl>
  </w:abstractNum>
  <w:abstractNum w:abstractNumId="311">
    <w:nsid w:val="51B76675"/>
    <w:multiLevelType w:val="hybridMultilevel"/>
    <w:lvl w:ilvl="0">
      <w:lvlJc w:val="left"/>
      <w:lvlText w:val="(%1)"/>
      <w:numFmt w:val="lowerLetter"/>
      <w:start w:val="4"/>
    </w:lvl>
  </w:abstractNum>
  <w:abstractNum w:abstractNumId="312">
    <w:nsid w:val="59A4BA71"/>
    <w:multiLevelType w:val="hybridMultilevel"/>
    <w:lvl w:ilvl="0">
      <w:lvlJc w:val="left"/>
      <w:lvlText w:val="(%1)"/>
      <w:numFmt w:val="lowerRoman"/>
      <w:start w:val="2"/>
    </w:lvl>
  </w:abstractNum>
  <w:abstractNum w:abstractNumId="313">
    <w:nsid w:val="450B7FB6"/>
    <w:multiLevelType w:val="hybridMultilevel"/>
    <w:lvl w:ilvl="0">
      <w:lvlJc w:val="left"/>
      <w:lvlText w:val="(%1)"/>
      <w:numFmt w:val="lowerRoman"/>
      <w:start w:val="8"/>
    </w:lvl>
  </w:abstractNum>
  <w:abstractNum w:abstractNumId="314">
    <w:nsid w:val="340BF64D"/>
    <w:multiLevelType w:val="hybridMultilevel"/>
    <w:lvl w:ilvl="0">
      <w:lvlJc w:val="left"/>
      <w:lvlText w:val="(%1)"/>
      <w:numFmt w:val="lowerRoman"/>
      <w:start w:val="2"/>
    </w:lvl>
  </w:abstractNum>
  <w:abstractNum w:abstractNumId="315">
    <w:nsid w:val="69454021"/>
    <w:multiLevelType w:val="hybridMultilevel"/>
    <w:lvl w:ilvl="0">
      <w:lvlJc w:val="left"/>
      <w:lvlText w:val="(%1)"/>
      <w:numFmt w:val="lowerLetter"/>
      <w:start w:val="2"/>
    </w:lvl>
  </w:abstractNum>
  <w:abstractNum w:abstractNumId="316">
    <w:nsid w:val="49F15C6B"/>
    <w:multiLevelType w:val="hybridMultilevel"/>
    <w:lvl w:ilvl="0">
      <w:lvlJc w:val="left"/>
      <w:lvlText w:val="(%1)"/>
      <w:numFmt w:val="lowerRoman"/>
      <w:start w:val="3"/>
    </w:lvl>
  </w:abstractNum>
  <w:abstractNum w:abstractNumId="317">
    <w:nsid w:val="75F56228"/>
    <w:multiLevelType w:val="hybridMultilevel"/>
    <w:lvl w:ilvl="0">
      <w:lvlJc w:val="left"/>
      <w:lvlText w:val="(%1)"/>
      <w:numFmt w:val="lowerLetter"/>
      <w:start w:val="1"/>
    </w:lvl>
  </w:abstractNum>
  <w:abstractNum w:abstractNumId="318">
    <w:nsid w:val="1C618271"/>
    <w:multiLevelType w:val="hybridMultilevel"/>
    <w:lvl w:ilvl="0">
      <w:lvlJc w:val="left"/>
      <w:lvlText w:val="(%1)"/>
      <w:numFmt w:val="lowerLetter"/>
      <w:start w:val="2"/>
    </w:lvl>
  </w:abstractNum>
  <w:abstractNum w:abstractNumId="319">
    <w:nsid w:val="6505F02E"/>
    <w:multiLevelType w:val="hybridMultilevel"/>
    <w:lvl w:ilvl="0">
      <w:lvlJc w:val="left"/>
      <w:lvlText w:val="(%1)"/>
      <w:numFmt w:val="lowerLetter"/>
      <w:start w:val="1"/>
    </w:lvl>
  </w:abstractNum>
  <w:abstractNum w:abstractNumId="320">
    <w:nsid w:val="2FE5D025"/>
    <w:multiLevelType w:val="hybridMultilevel"/>
    <w:lvl w:ilvl="0">
      <w:lvlJc w:val="left"/>
      <w:lvlText w:val="(%1)"/>
      <w:numFmt w:val="lowerLetter"/>
      <w:start w:val="1"/>
    </w:lvl>
  </w:abstractNum>
  <w:abstractNum w:abstractNumId="321">
    <w:nsid w:val="30E1B1CF"/>
    <w:multiLevelType w:val="hybridMultilevel"/>
    <w:lvl w:ilvl="0">
      <w:lvlJc w:val="left"/>
      <w:lvlText w:val="(%1)"/>
      <w:numFmt w:val="lowerLetter"/>
      <w:start w:val="1"/>
    </w:lvl>
    <w:lvl w:ilvl="1">
      <w:lvlJc w:val="left"/>
      <w:lvlText w:val="(%2)"/>
      <w:numFmt w:val="lowerRoman"/>
      <w:start w:val="1"/>
    </w:lvl>
  </w:abstractNum>
  <w:abstractNum w:abstractNumId="322">
    <w:nsid w:val="C7A923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3">
    <w:nsid w:val="676B3580"/>
    <w:multiLevelType w:val="hybridMultilevel"/>
    <w:lvl w:ilvl="0">
      <w:lvlJc w:val="left"/>
      <w:lvlText w:val="%1"/>
      <w:numFmt w:val="lowerLetter"/>
      <w:start w:val="1"/>
    </w:lvl>
    <w:lvl w:ilvl="1">
      <w:lvlJc w:val="left"/>
      <w:lvlText w:val="(%2)"/>
      <w:numFmt w:val="lowerRoman"/>
      <w:start w:val="4"/>
    </w:lvl>
  </w:abstractNum>
  <w:abstractNum w:abstractNumId="324">
    <w:nsid w:val="3193C8F9"/>
    <w:multiLevelType w:val="hybridMultilevel"/>
    <w:lvl w:ilvl="0">
      <w:lvlJc w:val="left"/>
      <w:lvlText w:val="(%1)"/>
      <w:numFmt w:val="lowerLetter"/>
      <w:start w:val="3"/>
    </w:lvl>
    <w:lvl w:ilvl="1">
      <w:lvlJc w:val="left"/>
      <w:lvlText w:val="%2"/>
      <w:numFmt w:val="lowerRoman"/>
      <w:start w:val="1"/>
    </w:lvl>
  </w:abstractNum>
  <w:abstractNum w:abstractNumId="325">
    <w:nsid w:val="5FA6C6DC"/>
    <w:multiLevelType w:val="hybridMultilevel"/>
    <w:lvl w:ilvl="0">
      <w:lvlJc w:val="left"/>
      <w:lvlText w:val="%1"/>
      <w:numFmt w:val="lowerLetter"/>
      <w:start w:val="1"/>
    </w:lvl>
    <w:lvl w:ilvl="1">
      <w:lvlJc w:val="left"/>
      <w:lvlText w:val="(%2)"/>
      <w:numFmt w:val="lowerLetter"/>
      <w:start w:val="1"/>
    </w:lvl>
  </w:abstractNum>
  <w:abstractNum w:abstractNumId="326">
    <w:nsid w:val="77933F62"/>
    <w:multiLevelType w:val="hybridMultilevel"/>
    <w:lvl w:ilvl="0">
      <w:lvlJc w:val="left"/>
      <w:lvlText w:val="(%1)"/>
      <w:numFmt w:val="lowerLetter"/>
      <w:start w:val="35"/>
    </w:lvl>
    <w:lvl w:ilvl="1">
      <w:lvlJc w:val="left"/>
      <w:lvlText w:val="%2"/>
      <w:numFmt w:val="lowerLetter"/>
      <w:start w:val="1"/>
    </w:lvl>
  </w:abstractNum>
  <w:abstractNum w:abstractNumId="327">
    <w:nsid w:val="6CB4EE9C"/>
    <w:multiLevelType w:val="hybridMultilevel"/>
    <w:lvl w:ilvl="0">
      <w:lvlJc w:val="left"/>
      <w:lvlText w:val="(%1)"/>
      <w:numFmt w:val="lowerLetter"/>
      <w:start w:val="3"/>
    </w:lvl>
    <w:lvl w:ilvl="1">
      <w:lvlJc w:val="left"/>
      <w:lvlText w:val="(%2)"/>
      <w:numFmt w:val="lowerRoman"/>
      <w:start w:val="1"/>
    </w:lvl>
  </w:abstractNum>
  <w:abstractNum w:abstractNumId="328">
    <w:nsid w:val="6A6D56D7"/>
    <w:multiLevelType w:val="hybridMultilevel"/>
    <w:lvl w:ilvl="0">
      <w:lvlJc w:val="left"/>
      <w:lvlText w:val="(%1)"/>
      <w:numFmt w:val="lowerRoman"/>
      <w:start w:val="4"/>
    </w:lvl>
  </w:abstractNum>
  <w:abstractNum w:abstractNumId="329">
    <w:nsid w:val="5B727F19"/>
    <w:multiLevelType w:val="hybridMultilevel"/>
    <w:lvl w:ilvl="0">
      <w:lvlJc w:val="left"/>
      <w:lvlText w:val="(%1)"/>
      <w:numFmt w:val="lowerLetter"/>
      <w:start w:val="1"/>
    </w:lvl>
    <w:lvl w:ilvl="1">
      <w:lvlJc w:val="left"/>
      <w:lvlText w:val="(%2)"/>
      <w:numFmt w:val="lowerRoman"/>
      <w:start w:val="1"/>
    </w:lvl>
  </w:abstractNum>
  <w:abstractNum w:abstractNumId="330">
    <w:nsid w:val="514E5CB0"/>
    <w:multiLevelType w:val="hybridMultilevel"/>
    <w:lvl w:ilvl="0">
      <w:lvlJc w:val="left"/>
      <w:lvlText w:val="(%1)"/>
      <w:numFmt w:val="lowerLetter"/>
      <w:start w:val="5"/>
    </w:lvl>
  </w:abstractNum>
  <w:abstractNum w:abstractNumId="331">
    <w:nsid w:val="4210D41E"/>
    <w:multiLevelType w:val="hybridMultilevel"/>
    <w:lvl w:ilvl="0">
      <w:lvlJc w:val="left"/>
      <w:lvlText w:val="%1"/>
      <w:numFmt w:val="decimal"/>
      <w:start w:val="1"/>
    </w:lvl>
    <w:lvl w:ilvl="1">
      <w:lvlJc w:val="left"/>
      <w:lvlText w:val="(%2)"/>
      <w:numFmt w:val="lowerLetter"/>
      <w:start w:val="1"/>
    </w:lvl>
  </w:abstractNum>
  <w:abstractNum w:abstractNumId="332">
    <w:nsid w:val="4FF4CC6D"/>
    <w:multiLevelType w:val="hybridMultilevel"/>
    <w:lvl w:ilvl="0">
      <w:lvlJc w:val="left"/>
      <w:lvlText w:val="(%1)"/>
      <w:numFmt w:val="decimal"/>
      <w:start w:val="1"/>
    </w:lvl>
    <w:lvl w:ilvl="1">
      <w:lvlJc w:val="left"/>
      <w:lvlText w:val="%2"/>
      <w:numFmt w:val="lowerLetter"/>
      <w:start w:val="1"/>
    </w:lvl>
  </w:abstractNum>
  <w:abstractNum w:abstractNumId="333">
    <w:nsid w:val="404EAF4A"/>
    <w:multiLevelType w:val="hybridMultilevel"/>
    <w:lvl w:ilvl="0">
      <w:lvlJc w:val="left"/>
      <w:lvlText w:val="(%1)"/>
      <w:numFmt w:val="lowerLetter"/>
      <w:start w:val="2"/>
    </w:lvl>
  </w:abstractNum>
  <w:abstractNum w:abstractNumId="334">
    <w:nsid w:val="4A16874F"/>
    <w:multiLevelType w:val="hybridMultilevel"/>
    <w:lvl w:ilvl="0">
      <w:lvlJc w:val="left"/>
      <w:lvlText w:val="(%1)"/>
      <w:numFmt w:val="lowerLetter"/>
      <w:start w:val="2"/>
    </w:lvl>
  </w:abstractNum>
  <w:abstractNum w:abstractNumId="335">
    <w:nsid w:val="55FEE0D1"/>
    <w:multiLevelType w:val="hybridMultilevel"/>
    <w:lvl w:ilvl="0">
      <w:lvlJc w:val="left"/>
      <w:lvlText w:val="(%1)"/>
      <w:numFmt w:val="lowerLetter"/>
      <w:start w:val="1"/>
    </w:lvl>
  </w:abstractNum>
  <w:abstractNum w:abstractNumId="336">
    <w:nsid w:val="3C5E07C"/>
    <w:multiLevelType w:val="hybridMultilevel"/>
    <w:lvl w:ilvl="0">
      <w:lvlJc w:val="left"/>
      <w:lvlText w:val="(%1)"/>
      <w:numFmt w:val="lowerLetter"/>
      <w:start w:val="1"/>
    </w:lvl>
  </w:abstractNum>
  <w:abstractNum w:abstractNumId="337">
    <w:nsid w:val="60C2D273"/>
    <w:multiLevelType w:val="hybridMultilevel"/>
    <w:lvl w:ilvl="0">
      <w:lvlJc w:val="left"/>
      <w:lvlText w:val="(%1)"/>
      <w:numFmt w:val="lowerLetter"/>
      <w:start w:val="1"/>
    </w:lvl>
  </w:abstractNum>
  <w:abstractNum w:abstractNumId="338">
    <w:nsid w:val="4CC32F1F"/>
    <w:multiLevelType w:val="hybridMultilevel"/>
    <w:lvl w:ilvl="0">
      <w:lvlJc w:val="left"/>
      <w:lvlText w:val="%1"/>
      <w:numFmt w:val="lowerLetter"/>
      <w:start w:val="1"/>
    </w:lvl>
    <w:lvl w:ilvl="1">
      <w:lvlJc w:val="left"/>
      <w:lvlText w:val="(%2)"/>
      <w:numFmt w:val="lowerLetter"/>
      <w:start w:val="2"/>
    </w:lvl>
  </w:abstractNum>
  <w:abstractNum w:abstractNumId="339">
    <w:nsid w:val="11CAC74A"/>
    <w:multiLevelType w:val="hybridMultilevel"/>
    <w:lvl w:ilvl="0">
      <w:lvlJc w:val="left"/>
      <w:lvlText w:val="(%1)"/>
      <w:numFmt w:val="lowerLetter"/>
      <w:start w:val="61"/>
    </w:lvl>
    <w:lvl w:ilvl="1">
      <w:lvlJc w:val="left"/>
      <w:lvlText w:val="(%2)"/>
      <w:numFmt w:val="lowerLetter"/>
      <w:start w:val="3"/>
    </w:lvl>
  </w:abstractNum>
  <w:abstractNum w:abstractNumId="340">
    <w:nsid w:val="126CADE9"/>
    <w:multiLevelType w:val="hybridMultilevel"/>
    <w:lvl w:ilvl="0">
      <w:lvlJc w:val="left"/>
      <w:lvlText w:val="(%1)"/>
      <w:numFmt w:val="lowerLetter"/>
      <w:start w:val="1"/>
    </w:lvl>
  </w:abstractNum>
  <w:abstractNum w:abstractNumId="341">
    <w:nsid w:val="19132E7B"/>
    <w:multiLevelType w:val="hybridMultilevel"/>
    <w:lvl w:ilvl="0">
      <w:lvlJc w:val="left"/>
      <w:lvlText w:val="(%1)"/>
      <w:numFmt w:val="lowerLetter"/>
      <w:start w:val="2"/>
    </w:lvl>
    <w:lvl w:ilvl="1">
      <w:lvlJc w:val="left"/>
      <w:lvlText w:val="(%2)"/>
      <w:numFmt w:val="lowerLetter"/>
      <w:start w:val="2"/>
    </w:lvl>
  </w:abstractNum>
  <w:abstractNum w:abstractNumId="342">
    <w:nsid w:val="63822DC0"/>
    <w:multiLevelType w:val="hybridMultilevel"/>
    <w:lvl w:ilvl="0">
      <w:lvlJc w:val="left"/>
      <w:lvlText w:val="(%1)"/>
      <w:numFmt w:val="lowerLetter"/>
      <w:start w:val="1"/>
    </w:lvl>
    <w:lvl w:ilvl="1">
      <w:lvlJc w:val="left"/>
      <w:lvlText w:val="(%2)"/>
      <w:numFmt w:val="lowerRoman"/>
      <w:start w:val="1"/>
    </w:lvl>
  </w:abstractNum>
  <w:abstractNum w:abstractNumId="343">
    <w:nsid w:val="6C11685A"/>
    <w:multiLevelType w:val="hybridMultilevel"/>
    <w:lvl w:ilvl="0">
      <w:lvlJc w:val="left"/>
      <w:lvlText w:val="%1"/>
      <w:numFmt w:val="lowerLetter"/>
      <w:start w:val="1"/>
    </w:lvl>
    <w:lvl w:ilvl="1">
      <w:lvlJc w:val="left"/>
      <w:lvlText w:val="(%2)"/>
      <w:numFmt w:val="lowerRoman"/>
      <w:start w:val="8"/>
    </w:lvl>
  </w:abstractNum>
  <w:abstractNum w:abstractNumId="344">
    <w:nsid w:val="5E1EAE31"/>
    <w:multiLevelType w:val="hybridMultilevel"/>
    <w:lvl w:ilvl="0">
      <w:lvlJc w:val="left"/>
      <w:lvlText w:val="(%1)"/>
      <w:numFmt w:val="lowerLetter"/>
      <w:start w:val="2"/>
    </w:lvl>
    <w:lvl w:ilvl="1">
      <w:lvlJc w:val="left"/>
      <w:lvlText w:val="%2"/>
      <w:numFmt w:val="lowerRoman"/>
      <w:start w:val="1"/>
    </w:lvl>
  </w:abstractNum>
  <w:abstractNum w:abstractNumId="345">
    <w:nsid w:val="178E240D"/>
    <w:multiLevelType w:val="hybridMultilevel"/>
    <w:lvl w:ilvl="0">
      <w:lvlJc w:val="left"/>
      <w:lvlText w:val="(%1)"/>
      <w:numFmt w:val="lowerLetter"/>
      <w:start w:val="1"/>
    </w:lvl>
  </w:abstractNum>
  <w:abstractNum w:abstractNumId="346">
    <w:nsid w:val="5556A87B"/>
    <w:multiLevelType w:val="hybridMultilevel"/>
    <w:lvl w:ilvl="0">
      <w:lvlJc w:val="left"/>
      <w:lvlText w:val="(%1)"/>
      <w:numFmt w:val="lowerLetter"/>
      <w:start w:val="2"/>
    </w:lvl>
  </w:abstractNum>
  <w:abstractNum w:abstractNumId="347">
    <w:nsid w:val="28100A9C"/>
    <w:multiLevelType w:val="hybridMultilevel"/>
    <w:lvl w:ilvl="0">
      <w:lvlJc w:val="left"/>
      <w:lvlText w:val="(%1)"/>
      <w:numFmt w:val="lowerLetter"/>
      <w:start w:val="8"/>
    </w:lvl>
  </w:abstractNum>
  <w:abstractNum w:abstractNumId="348">
    <w:nsid w:val="D838636"/>
    <w:multiLevelType w:val="hybridMultilevel"/>
    <w:lvl w:ilvl="0">
      <w:lvlJc w:val="left"/>
      <w:lvlText w:val="%1"/>
      <w:numFmt w:val="lowerLetter"/>
      <w:start w:val="1"/>
    </w:lvl>
    <w:lvl w:ilvl="1">
      <w:lvlJc w:val="left"/>
      <w:lvlText w:val="(%2)"/>
      <w:numFmt w:val="lowerLetter"/>
      <w:start w:val="1"/>
    </w:lvl>
  </w:abstractNum>
  <w:abstractNum w:abstractNumId="349">
    <w:nsid w:val="71B82AED"/>
    <w:multiLevelType w:val="hybridMultilevel"/>
    <w:lvl w:ilvl="0">
      <w:lvlJc w:val="left"/>
      <w:lvlText w:val="(%1)"/>
      <w:numFmt w:val="lowerLetter"/>
      <w:start w:val="9"/>
    </w:lvl>
    <w:lvl w:ilvl="1">
      <w:lvlJc w:val="left"/>
      <w:lvlText w:val="%2"/>
      <w:numFmt w:val="lowerLetter"/>
      <w:start w:val="1"/>
    </w:lvl>
  </w:abstractNum>
  <w:abstractNum w:abstractNumId="350">
    <w:nsid w:val="D15FACA"/>
    <w:multiLevelType w:val="hybridMultilevel"/>
    <w:lvl w:ilvl="0">
      <w:lvlJc w:val="left"/>
      <w:lvlText w:val="%1"/>
      <w:numFmt w:val="lowerLetter"/>
      <w:start w:val="1"/>
    </w:lvl>
    <w:lvl w:ilvl="1">
      <w:lvlJc w:val="left"/>
      <w:lvlText w:val="(%2)"/>
      <w:numFmt w:val="lowerLetter"/>
      <w:start w:val="3"/>
    </w:lvl>
  </w:abstractNum>
  <w:abstractNum w:abstractNumId="351">
    <w:nsid w:val="3D69565B"/>
    <w:multiLevelType w:val="hybridMultilevel"/>
    <w:lvl w:ilvl="0">
      <w:lvlJc w:val="left"/>
      <w:lvlText w:val="(%1)"/>
      <w:numFmt w:val="lowerLetter"/>
      <w:start w:val="35"/>
    </w:lvl>
    <w:lvl w:ilvl="1">
      <w:lvlJc w:val="left"/>
      <w:lvlText w:val="(%2)"/>
      <w:numFmt w:val="lowerLetter"/>
      <w:start w:val="5"/>
    </w:lvl>
  </w:abstractNum>
  <w:abstractNum w:abstractNumId="352">
    <w:nsid w:val="2299DCBC"/>
    <w:multiLevelType w:val="hybridMultilevel"/>
    <w:lvl w:ilvl="0">
      <w:lvlJc w:val="left"/>
      <w:lvlText w:val="%1"/>
      <w:numFmt w:val="lowerLetter"/>
      <w:start w:val="1"/>
    </w:lvl>
    <w:lvl w:ilvl="1">
      <w:lvlJc w:val="left"/>
      <w:lvlText w:val="(%2)"/>
      <w:numFmt w:val="lowerLetter"/>
      <w:start w:val="1"/>
    </w:lvl>
  </w:abstractNum>
  <w:abstractNum w:abstractNumId="353">
    <w:nsid w:val="19908D02"/>
    <w:multiLevelType w:val="hybridMultilevel"/>
    <w:lvl w:ilvl="0">
      <w:lvlJc w:val="left"/>
      <w:lvlText w:val="(%1)"/>
      <w:numFmt w:val="lowerLetter"/>
      <w:start w:val="35"/>
    </w:lvl>
    <w:lvl w:ilvl="1">
      <w:lvlJc w:val="left"/>
      <w:lvlText w:val="(%2)"/>
      <w:numFmt w:val="lowerLetter"/>
      <w:start w:val="4"/>
    </w:lvl>
  </w:abstractNum>
  <w:abstractNum w:abstractNumId="354">
    <w:nsid w:val="24D48BDB"/>
    <w:multiLevelType w:val="hybridMultilevel"/>
    <w:lvl w:ilvl="0">
      <w:lvlJc w:val="left"/>
      <w:lvlText w:val="%1"/>
      <w:numFmt w:val="upperLetter"/>
      <w:start w:val="1"/>
    </w:lvl>
    <w:lvl w:ilvl="1">
      <w:lvlJc w:val="left"/>
      <w:lvlText w:val="(%2)"/>
      <w:numFmt w:val="lowerLetter"/>
      <w:start w:val="5"/>
    </w:lvl>
  </w:abstractNum>
  <w:abstractNum w:abstractNumId="355">
    <w:nsid w:val="542DA5B5"/>
    <w:multiLevelType w:val="hybridMultilevel"/>
    <w:lvl w:ilvl="0">
      <w:lvlJc w:val="left"/>
      <w:lvlText w:val="(%1)"/>
      <w:numFmt w:val="upperLetter"/>
      <w:start w:val="4"/>
    </w:lvl>
    <w:lvl w:ilvl="1">
      <w:lvlJc w:val="left"/>
      <w:lvlText w:val="(%2)"/>
      <w:numFmt w:val="lowerLetter"/>
      <w:start w:val="8"/>
    </w:lvl>
  </w:abstractNum>
  <w:abstractNum w:abstractNumId="356">
    <w:nsid w:val="793753DE"/>
    <w:multiLevelType w:val="hybridMultilevel"/>
    <w:lvl w:ilvl="0">
      <w:lvlJc w:val="left"/>
      <w:lvlText w:val="(%1)"/>
      <w:numFmt w:val="lowerLetter"/>
      <w:start w:val="1"/>
    </w:lvl>
  </w:abstractNum>
  <w:abstractNum w:abstractNumId="357">
    <w:nsid w:val="1C67CB3D"/>
    <w:multiLevelType w:val="hybridMultilevel"/>
    <w:lvl w:ilvl="0">
      <w:lvlJc w:val="left"/>
      <w:lvlText w:val="(%1)"/>
      <w:numFmt w:val="lowerLetter"/>
      <w:start w:val="1"/>
    </w:lvl>
  </w:abstractNum>
  <w:abstractNum w:abstractNumId="358">
    <w:nsid w:val="40E29452"/>
    <w:multiLevelType w:val="hybridMultilevel"/>
    <w:lvl w:ilvl="0">
      <w:lvlJc w:val="left"/>
      <w:lvlText w:val="%1"/>
      <w:numFmt w:val="lowerLetter"/>
      <w:start w:val="1"/>
    </w:lvl>
    <w:lvl w:ilvl="1">
      <w:lvlJc w:val="left"/>
      <w:lvlText w:val="(%2)"/>
      <w:numFmt w:val="lowerLetter"/>
      <w:start w:val="2"/>
    </w:lvl>
  </w:abstractNum>
  <w:abstractNum w:abstractNumId="359">
    <w:nsid w:val="63A4AAB6"/>
    <w:multiLevelType w:val="hybridMultilevel"/>
    <w:lvl w:ilvl="0">
      <w:lvlJc w:val="left"/>
      <w:lvlText w:val="(%1)"/>
      <w:numFmt w:val="lowerLetter"/>
      <w:start w:val="61"/>
    </w:lvl>
    <w:lvl w:ilvl="1">
      <w:lvlJc w:val="left"/>
      <w:lvlText w:val="(%2)"/>
      <w:numFmt w:val="lowerLetter"/>
      <w:start w:val="5"/>
    </w:lvl>
  </w:abstractNum>
  <w:abstractNum w:abstractNumId="360">
    <w:nsid w:val="77DA4A57"/>
    <w:multiLevelType w:val="hybridMultilevel"/>
    <w:lvl w:ilvl="0">
      <w:lvlJc w:val="left"/>
      <w:lvlText w:val="%1"/>
      <w:numFmt w:val="upperLetter"/>
      <w:start w:val="1"/>
    </w:lvl>
    <w:lvl w:ilvl="1">
      <w:lvlJc w:val="left"/>
      <w:lvlText w:val="(%2)"/>
      <w:numFmt w:val="lowerLetter"/>
      <w:start w:val="7"/>
    </w:lvl>
  </w:abstractNum>
  <w:abstractNum w:abstractNumId="361">
    <w:nsid w:val="1230F102"/>
    <w:multiLevelType w:val="hybridMultilevel"/>
    <w:lvl w:ilvl="0">
      <w:lvlJc w:val="left"/>
      <w:lvlText w:val="(%1)"/>
      <w:numFmt w:val="upperLetter"/>
      <w:start w:val="25"/>
    </w:lvl>
    <w:lvl w:ilvl="1">
      <w:lvlJc w:val="left"/>
      <w:lvlText w:val="(%2)"/>
      <w:numFmt w:val="lowerLetter"/>
      <w:start w:val="9"/>
    </w:lvl>
  </w:abstractNum>
  <w:abstractNum w:abstractNumId="362">
    <w:nsid w:val="25B57ED4"/>
    <w:multiLevelType w:val="hybridMultilevel"/>
    <w:lvl w:ilvl="0">
      <w:lvlJc w:val="left"/>
      <w:lvlText w:val="(%1)"/>
      <w:numFmt w:val="lowerLetter"/>
      <w:start w:val="1"/>
    </w:lvl>
  </w:abstractNum>
  <w:abstractNum w:abstractNumId="363">
    <w:nsid w:val="47CF16C4"/>
    <w:multiLevelType w:val="hybridMultilevel"/>
    <w:lvl w:ilvl="0">
      <w:lvlJc w:val="left"/>
      <w:lvlText w:val="(%1)"/>
      <w:numFmt w:val="lowerLetter"/>
      <w:start w:val="1"/>
    </w:lvl>
  </w:abstractNum>
  <w:abstractNum w:abstractNumId="364">
    <w:nsid w:val="527FA04C"/>
    <w:multiLevelType w:val="hybridMultilevel"/>
    <w:lvl w:ilvl="0">
      <w:lvlJc w:val="left"/>
      <w:lvlText w:val="(%1)"/>
      <w:numFmt w:val="lowerLetter"/>
      <w:start w:val="1"/>
    </w:lvl>
  </w:abstractNum>
  <w:abstractNum w:abstractNumId="365">
    <w:nsid w:val="6FCC0624"/>
    <w:multiLevelType w:val="hybridMultilevel"/>
    <w:lvl w:ilvl="0">
      <w:lvlJc w:val="left"/>
      <w:lvlText w:val="(%1)"/>
      <w:numFmt w:val="lowerLetter"/>
      <w:start w:val="1"/>
    </w:lvl>
  </w:abstractNum>
  <w:abstractNum w:abstractNumId="366">
    <w:nsid w:val="1DCDF795"/>
    <w:multiLevelType w:val="hybridMultilevel"/>
    <w:lvl w:ilvl="0">
      <w:lvlJc w:val="left"/>
      <w:lvlText w:val="(%1)"/>
      <w:numFmt w:val="lowerLetter"/>
      <w:start w:val="3"/>
    </w:lvl>
  </w:abstractNum>
  <w:abstractNum w:abstractNumId="367">
    <w:nsid w:val="564580C8"/>
    <w:multiLevelType w:val="hybridMultilevel"/>
    <w:lvl w:ilvl="0">
      <w:lvlJc w:val="left"/>
      <w:lvlText w:val="(%1)"/>
      <w:numFmt w:val="lowerLetter"/>
      <w:start w:val="1"/>
    </w:lvl>
  </w:abstractNum>
  <w:abstractNum w:abstractNumId="368">
    <w:nsid w:val="508ED897"/>
    <w:multiLevelType w:val="hybridMultilevel"/>
    <w:lvl w:ilvl="0">
      <w:lvlJc w:val="left"/>
      <w:lvlText w:val="(%1)"/>
      <w:numFmt w:val="lowerLetter"/>
      <w:start w:val="3"/>
    </w:lvl>
  </w:abstractNum>
  <w:abstractNum w:abstractNumId="369">
    <w:nsid w:val="6A9126B5"/>
    <w:multiLevelType w:val="hybridMultilevel"/>
    <w:lvl w:ilvl="0">
      <w:lvlJc w:val="left"/>
      <w:lvlText w:val="%1"/>
      <w:numFmt w:val="lowerLetter"/>
      <w:start w:val="1"/>
    </w:lvl>
    <w:lvl w:ilvl="1">
      <w:lvlJc w:val="left"/>
      <w:lvlText w:val="(%2)"/>
      <w:numFmt w:val="lowerLetter"/>
      <w:start w:val="1"/>
    </w:lvl>
  </w:abstractNum>
  <w:abstractNum w:abstractNumId="370">
    <w:nsid w:val="68104812"/>
    <w:multiLevelType w:val="hybridMultilevel"/>
    <w:lvl w:ilvl="0">
      <w:lvlJc w:val="left"/>
      <w:lvlText w:val="(%1)"/>
      <w:numFmt w:val="lowerLetter"/>
      <w:start w:val="35"/>
    </w:lvl>
    <w:lvl w:ilvl="1">
      <w:lvlJc w:val="left"/>
      <w:lvlText w:val="%2"/>
      <w:numFmt w:val="lowerLetter"/>
      <w:start w:val="1"/>
    </w:lvl>
  </w:abstractNum>
  <w:abstractNum w:abstractNumId="371">
    <w:nsid w:val="62FB8680"/>
    <w:multiLevelType w:val="hybridMultilevel"/>
    <w:lvl w:ilvl="0">
      <w:lvlJc w:val="left"/>
      <w:lvlText w:val="(%1)"/>
      <w:numFmt w:val="lowerLetter"/>
      <w:start w:val="6"/>
    </w:lvl>
  </w:abstractNum>
  <w:abstractNum w:abstractNumId="372">
    <w:nsid w:val="3A45530"/>
    <w:multiLevelType w:val="hybridMultilevel"/>
    <w:lvl w:ilvl="0">
      <w:lvlJc w:val="left"/>
      <w:lvlText w:val="%1"/>
      <w:numFmt w:val="lowerRoman"/>
      <w:start w:val="1"/>
    </w:lvl>
    <w:lvl w:ilvl="1">
      <w:lvlJc w:val="left"/>
      <w:lvlText w:val="(%2)"/>
      <w:numFmt w:val="lowerLetter"/>
      <w:start w:val="1"/>
    </w:lvl>
  </w:abstractNum>
  <w:abstractNum w:abstractNumId="373">
    <w:nsid w:val="4B9275D2"/>
    <w:multiLevelType w:val="hybridMultilevel"/>
    <w:lvl w:ilvl="0">
      <w:lvlJc w:val="left"/>
      <w:lvlText w:val="(%1)"/>
      <w:numFmt w:val="lowerRoman"/>
      <w:start w:val="4"/>
    </w:lvl>
    <w:lvl w:ilvl="1">
      <w:lvlJc w:val="left"/>
      <w:lvlText w:val="(%2)"/>
      <w:numFmt w:val="lowerLetter"/>
      <w:start w:val="5"/>
    </w:lvl>
  </w:abstractNum>
  <w:abstractNum w:abstractNumId="374">
    <w:nsid w:val="4F0CEEDB"/>
    <w:multiLevelType w:val="hybridMultilevel"/>
    <w:lvl w:ilvl="0">
      <w:lvlJc w:val="left"/>
      <w:lvlText w:val="(%1)"/>
      <w:numFmt w:val="lowerLetter"/>
      <w:start w:val="1"/>
    </w:lvl>
  </w:abstractNum>
  <w:abstractNum w:abstractNumId="375">
    <w:nsid w:val="61C30361"/>
    <w:multiLevelType w:val="hybridMultilevel"/>
    <w:lvl w:ilvl="0">
      <w:lvlJc w:val="left"/>
      <w:lvlText w:val="(%1)"/>
      <w:numFmt w:val="lowerLetter"/>
      <w:start w:val="10"/>
    </w:lvl>
  </w:abstractNum>
  <w:abstractNum w:abstractNumId="376">
    <w:nsid w:val="632099E0"/>
    <w:multiLevelType w:val="hybridMultilevel"/>
    <w:lvl w:ilvl="0">
      <w:lvlJc w:val="left"/>
      <w:lvlText w:val="%1"/>
      <w:numFmt w:val="lowerLetter"/>
      <w:start w:val="1"/>
    </w:lvl>
    <w:lvl w:ilvl="1">
      <w:lvlJc w:val="left"/>
      <w:lvlText w:val="(%2)"/>
      <w:numFmt w:val="lowerLetter"/>
      <w:start w:val="1"/>
    </w:lvl>
  </w:abstractNum>
  <w:abstractNum w:abstractNumId="377">
    <w:nsid w:val="24639756"/>
    <w:multiLevelType w:val="hybridMultilevel"/>
    <w:lvl w:ilvl="0">
      <w:lvlJc w:val="left"/>
      <w:lvlText w:val="(%1)"/>
      <w:numFmt w:val="lowerLetter"/>
      <w:start w:val="35"/>
    </w:lvl>
    <w:lvl w:ilvl="1">
      <w:lvlJc w:val="left"/>
      <w:lvlText w:val="%2"/>
      <w:numFmt w:val="lowerLetter"/>
      <w:start w:val="1"/>
    </w:lvl>
  </w:abstractNum>
  <w:abstractNum w:abstractNumId="378">
    <w:nsid w:val="9D30DFD"/>
    <w:multiLevelType w:val="hybridMultilevel"/>
    <w:lvl w:ilvl="0">
      <w:lvlJc w:val="left"/>
      <w:lvlText w:val="(%1)"/>
      <w:numFmt w:val="lowerLetter"/>
      <w:start w:val="4"/>
    </w:lvl>
  </w:abstractNum>
  <w:abstractNum w:abstractNumId="379">
    <w:nsid w:val="70A42016"/>
    <w:multiLevelType w:val="hybridMultilevel"/>
    <w:lvl w:ilvl="0">
      <w:lvlJc w:val="left"/>
      <w:lvlText w:val="(%1)"/>
      <w:numFmt w:val="lowerLetter"/>
      <w:start w:val="1"/>
    </w:lvl>
  </w:abstractNum>
  <w:abstractNum w:abstractNumId="380">
    <w:nsid w:val="161BC243"/>
    <w:multiLevelType w:val="hybridMultilevel"/>
    <w:lvl w:ilvl="0">
      <w:lvlJc w:val="left"/>
      <w:lvlText w:val="(%1)"/>
      <w:numFmt w:val="lowerLetter"/>
      <w:start w:val="2"/>
    </w:lvl>
  </w:abstractNum>
  <w:abstractNum w:abstractNumId="381">
    <w:nsid w:val="16E908C8"/>
    <w:multiLevelType w:val="hybridMultilevel"/>
    <w:lvl w:ilvl="0">
      <w:lvlJc w:val="left"/>
      <w:lvlText w:val="(%1)"/>
      <w:numFmt w:val="lowerLetter"/>
      <w:start w:val="1"/>
    </w:lvl>
  </w:abstractNum>
  <w:abstractNum w:abstractNumId="382">
    <w:nsid w:val="2E0D7671"/>
    <w:multiLevelType w:val="hybridMultilevel"/>
    <w:lvl w:ilvl="0">
      <w:lvlJc w:val="left"/>
      <w:lvlText w:val="%1"/>
      <w:numFmt w:val="lowerLetter"/>
      <w:start w:val="1"/>
    </w:lvl>
    <w:lvl w:ilvl="1">
      <w:lvlJc w:val="left"/>
      <w:lvlText w:val="(%2)"/>
      <w:numFmt w:val="lowerLetter"/>
      <w:start w:val="3"/>
    </w:lvl>
  </w:abstractNum>
  <w:abstractNum w:abstractNumId="383">
    <w:nsid w:val="38B59EFF"/>
    <w:multiLevelType w:val="hybridMultilevel"/>
    <w:lvl w:ilvl="0">
      <w:lvlJc w:val="left"/>
      <w:lvlText w:val="(%1)"/>
      <w:numFmt w:val="lowerLetter"/>
      <w:start w:val="61"/>
    </w:lvl>
    <w:lvl w:ilvl="1">
      <w:lvlJc w:val="left"/>
      <w:lvlText w:val="(%2)"/>
      <w:numFmt w:val="lowerLetter"/>
      <w:start w:val="7"/>
    </w:lvl>
  </w:abstractNum>
  <w:abstractNum w:abstractNumId="384">
    <w:nsid w:val="307995CA"/>
    <w:multiLevelType w:val="hybridMultilevel"/>
    <w:lvl w:ilvl="0">
      <w:lvlJc w:val="left"/>
      <w:lvlText w:val="%1"/>
      <w:numFmt w:val="lowerLetter"/>
      <w:start w:val="1"/>
    </w:lvl>
    <w:lvl w:ilvl="1">
      <w:lvlJc w:val="left"/>
      <w:lvlText w:val="(%2)"/>
      <w:numFmt w:val="lowerLetter"/>
      <w:start w:val="9"/>
    </w:lvl>
  </w:abstractNum>
  <w:abstractNum w:abstractNumId="385">
    <w:nsid w:val="52E2024D"/>
    <w:multiLevelType w:val="hybridMultilevel"/>
    <w:lvl w:ilvl="0">
      <w:lvlJc w:val="left"/>
      <w:lvlText w:val="(%1)"/>
      <w:numFmt w:val="lowerLetter"/>
      <w:start w:val="9"/>
    </w:lvl>
    <w:lvl w:ilvl="1">
      <w:lvlJc w:val="left"/>
      <w:lvlText w:val="(%2)"/>
      <w:numFmt w:val="lowerLetter"/>
      <w:start w:val="10"/>
    </w:lvl>
  </w:abstractNum>
  <w:abstractNum w:abstractNumId="386">
    <w:nsid w:val="CE344B5"/>
    <w:multiLevelType w:val="hybridMultilevel"/>
    <w:lvl w:ilvl="0">
      <w:lvlJc w:val="left"/>
      <w:lvlText w:val="(%1)"/>
      <w:numFmt w:val="lowerLetter"/>
      <w:start w:val="19"/>
    </w:lvl>
  </w:abstractNum>
  <w:abstractNum w:abstractNumId="387">
    <w:nsid w:val="29B0E9A8"/>
    <w:multiLevelType w:val="hybridMultilevel"/>
    <w:lvl w:ilvl="0">
      <w:lvlJc w:val="left"/>
      <w:lvlText w:val="(%1)"/>
      <w:numFmt w:val="lowerLetter"/>
      <w:start w:val="1"/>
    </w:lvl>
  </w:abstractNum>
  <w:abstractNum w:abstractNumId="388">
    <w:nsid w:val="6F49CD8A"/>
    <w:multiLevelType w:val="hybridMultilevel"/>
    <w:lvl w:ilvl="0">
      <w:lvlJc w:val="left"/>
      <w:lvlText w:val="(%1)"/>
      <w:numFmt w:val="lowerLetter"/>
      <w:start w:val="2"/>
    </w:lvl>
  </w:abstractNum>
  <w:abstractNum w:abstractNumId="389">
    <w:nsid w:val="4DC5D907"/>
    <w:multiLevelType w:val="hybridMultilevel"/>
    <w:lvl w:ilvl="0">
      <w:lvlJc w:val="left"/>
      <w:lvlText w:val="(%1)"/>
      <w:numFmt w:val="lowerLetter"/>
      <w:start w:val="1"/>
    </w:lvl>
  </w:abstractNum>
  <w:abstractNum w:abstractNumId="390">
    <w:nsid w:val="D55945E"/>
    <w:multiLevelType w:val="hybridMultilevel"/>
    <w:lvl w:ilvl="0">
      <w:lvlJc w:val="left"/>
      <w:lvlText w:val="%1"/>
      <w:numFmt w:val="lowerLetter"/>
      <w:start w:val="1"/>
    </w:lvl>
    <w:lvl w:ilvl="1">
      <w:lvlJc w:val="left"/>
      <w:lvlText w:val="(%2)"/>
      <w:numFmt w:val="lowerLetter"/>
      <w:start w:val="2"/>
    </w:lvl>
  </w:abstractNum>
  <w:abstractNum w:abstractNumId="391">
    <w:nsid w:val="672417E1"/>
    <w:multiLevelType w:val="hybridMultilevel"/>
    <w:lvl w:ilvl="0">
      <w:lvlJc w:val="left"/>
      <w:lvlText w:val="(%1)"/>
      <w:numFmt w:val="lowerLetter"/>
      <w:start w:val="9"/>
    </w:lvl>
    <w:lvl w:ilvl="1">
      <w:lvlJc w:val="left"/>
      <w:lvlText w:val="(%2)"/>
      <w:numFmt w:val="lowerLetter"/>
      <w:start w:val="3"/>
    </w:lvl>
  </w:abstractNum>
  <w:abstractNum w:abstractNumId="392">
    <w:nsid w:val="5FF6CA09"/>
    <w:multiLevelType w:val="hybridMultilevel"/>
    <w:lvl w:ilvl="0">
      <w:lvlJc w:val="left"/>
      <w:lvlText w:val="(%1)"/>
      <w:numFmt w:val="lowerLetter"/>
      <w:start w:val="1"/>
    </w:lvl>
  </w:abstractNum>
  <w:abstractNum w:abstractNumId="393">
    <w:nsid w:val="330B1333"/>
    <w:multiLevelType w:val="hybridMultilevel"/>
    <w:lvl w:ilvl="0">
      <w:lvlJc w:val="left"/>
      <w:lvlText w:val="(%1)"/>
      <w:numFmt w:val="lowerLetter"/>
      <w:start w:val="2"/>
    </w:lvl>
  </w:abstractNum>
  <w:abstractNum w:abstractNumId="394">
    <w:nsid w:val="2EF32EA6"/>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395">
    <w:nsid w:val="32766A55"/>
    <w:multiLevelType w:val="hybridMultilevel"/>
    <w:lvl w:ilvl="0">
      <w:lvlJc w:val="left"/>
      <w:lvlText w:val="%1"/>
      <w:numFmt w:val="lowerLetter"/>
      <w:start w:val="1"/>
    </w:lvl>
    <w:lvl w:ilvl="1">
      <w:lvlJc w:val="left"/>
      <w:lvlText w:val="(%2)"/>
      <w:numFmt w:val="lowerRoman"/>
      <w:start w:val="8"/>
    </w:lvl>
  </w:abstractNum>
  <w:abstractNum w:abstractNumId="396">
    <w:nsid w:val="22D71957"/>
    <w:multiLevelType w:val="hybridMultilevel"/>
    <w:lvl w:ilvl="0">
      <w:lvlJc w:val="left"/>
      <w:lvlText w:val="(%1)"/>
      <w:numFmt w:val="lowerLetter"/>
      <w:start w:val="2"/>
    </w:lvl>
    <w:lvl w:ilvl="1">
      <w:lvlJc w:val="left"/>
      <w:lvlText w:val="%2"/>
      <w:numFmt w:val="lowerRoman"/>
      <w:start w:val="1"/>
    </w:lvl>
  </w:abstractNum>
  <w:abstractNum w:abstractNumId="397">
    <w:nsid w:val="4CC1263B"/>
    <w:multiLevelType w:val="hybridMultilevel"/>
    <w:lvl w:ilvl="0">
      <w:lvlJc w:val="left"/>
      <w:lvlText w:val="(%1)"/>
      <w:numFmt w:val="lowerLetter"/>
      <w:start w:val="1"/>
    </w:lvl>
  </w:abstractNum>
  <w:abstractNum w:abstractNumId="398">
    <w:nsid w:val="8BBEB1D"/>
    <w:multiLevelType w:val="hybridMultilevel"/>
    <w:lvl w:ilvl="0">
      <w:lvlJc w:val="left"/>
      <w:lvlText w:val="(%1)"/>
      <w:numFmt w:val="decimal"/>
      <w:start w:val="5"/>
    </w:lvl>
  </w:abstractNum>
  <w:abstractNum w:abstractNumId="399">
    <w:nsid w:val="7365F1EE"/>
    <w:multiLevelType w:val="hybridMultilevel"/>
    <w:lvl w:ilvl="0">
      <w:lvlJc w:val="left"/>
      <w:lvlText w:val="(%1)"/>
      <w:numFmt w:val="lowerLetter"/>
      <w:start w:val="1"/>
    </w:lvl>
  </w:abstractNum>
  <w:abstractNum w:abstractNumId="400">
    <w:nsid w:val="37524CF0"/>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9"/>
    </w:lvl>
  </w:abstractNum>
  <w:abstractNum w:abstractNumId="401">
    <w:nsid w:val="70CC332F"/>
    <w:multiLevelType w:val="hybridMultilevel"/>
    <w:lvl w:ilvl="0">
      <w:lvlJc w:val="left"/>
      <w:lvlText w:val="%1"/>
      <w:numFmt w:val="upperLetter"/>
      <w:start w:val="1"/>
    </w:lvl>
    <w:lvl w:ilvl="1">
      <w:lvlJc w:val="left"/>
      <w:lvlText w:val="(%2)"/>
      <w:numFmt w:val="lowerRoman"/>
      <w:start w:val="2"/>
    </w:lvl>
  </w:abstractNum>
  <w:abstractNum w:abstractNumId="402">
    <w:nsid w:val="5661786E"/>
    <w:multiLevelType w:val="hybridMultilevel"/>
    <w:lvl w:ilvl="0">
      <w:lvlJc w:val="left"/>
      <w:lvlText w:val="(%1)"/>
      <w:numFmt w:val="upperLetter"/>
      <w:start w:val="1"/>
    </w:lvl>
    <w:lvl w:ilvl="1">
      <w:lvlJc w:val="left"/>
      <w:lvlText w:val="%2"/>
      <w:numFmt w:val="lowerRoman"/>
      <w:start w:val="1"/>
    </w:lvl>
  </w:abstractNum>
  <w:abstractNum w:abstractNumId="403">
    <w:nsid w:val="3AF6A220"/>
    <w:multiLevelType w:val="hybridMultilevel"/>
    <w:lvl w:ilvl="0">
      <w:lvlJc w:val="left"/>
      <w:lvlText w:val="(%1)"/>
      <w:numFmt w:val="lowerLetter"/>
      <w:start w:val="1"/>
    </w:lvl>
  </w:abstractNum>
  <w:abstractNum w:abstractNumId="404">
    <w:nsid w:val="3C5EA902"/>
    <w:multiLevelType w:val="hybridMultilevel"/>
    <w:lvl w:ilvl="0">
      <w:lvlJc w:val="left"/>
      <w:lvlText w:val="(%1)"/>
      <w:numFmt w:val="lowerLetter"/>
      <w:start w:val="2"/>
    </w:lvl>
  </w:abstractNum>
  <w:abstractNum w:abstractNumId="405">
    <w:nsid w:val="256E6749"/>
    <w:multiLevelType w:val="hybridMultilevel"/>
    <w:lvl w:ilvl="0">
      <w:lvlJc w:val="left"/>
      <w:lvlText w:val="%1"/>
      <w:numFmt w:val="lowerLetter"/>
      <w:start w:val="1"/>
    </w:lvl>
    <w:lvl w:ilvl="1">
      <w:lvlJc w:val="left"/>
      <w:lvlText w:val="(%2)"/>
      <w:numFmt w:val="lowerLetter"/>
      <w:start w:val="1"/>
    </w:lvl>
  </w:abstractNum>
  <w:abstractNum w:abstractNumId="406">
    <w:nsid w:val="1CB9A581"/>
    <w:multiLevelType w:val="hybridMultilevel"/>
    <w:lvl w:ilvl="0">
      <w:lvlJc w:val="left"/>
      <w:lvlText w:val="(%1)"/>
      <w:numFmt w:val="lowerLetter"/>
      <w:start w:val="24"/>
    </w:lvl>
    <w:lvl w:ilvl="1">
      <w:lvlJc w:val="left"/>
      <w:lvlText w:val="%2"/>
      <w:numFmt w:val="lowerLetter"/>
      <w:start w:val="1"/>
    </w:lvl>
  </w:abstractNum>
  <w:abstractNum w:abstractNumId="407">
    <w:nsid w:val="1F7F42E2"/>
    <w:multiLevelType w:val="hybridMultilevel"/>
    <w:lvl w:ilvl="0">
      <w:lvlJc w:val="left"/>
      <w:lvlText w:val="(%1)"/>
      <w:numFmt w:val="lowerLetter"/>
      <w:start w:val="3"/>
    </w:lvl>
  </w:abstractNum>
  <w:abstractNum w:abstractNumId="408">
    <w:nsid w:val="49D1FEA0"/>
    <w:multiLevelType w:val="hybridMultilevel"/>
    <w:lvl w:ilvl="0">
      <w:lvlJc w:val="left"/>
      <w:lvlText w:val="(%1)"/>
      <w:numFmt w:val="lowerLetter"/>
      <w:start w:val="1"/>
    </w:lvl>
  </w:abstractNum>
  <w:abstractNum w:abstractNumId="409">
    <w:nsid w:val="268CB37F"/>
    <w:multiLevelType w:val="hybridMultilevel"/>
    <w:lvl w:ilvl="0">
      <w:lvlJc w:val="left"/>
      <w:lvlText w:val="(%1)"/>
      <w:numFmt w:val="lowerLetter"/>
      <w:start w:val="3"/>
    </w:lvl>
  </w:abstractNum>
  <w:abstractNum w:abstractNumId="410">
    <w:nsid w:val="102362F8"/>
    <w:multiLevelType w:val="hybridMultilevel"/>
    <w:lvl w:ilvl="0">
      <w:lvlJc w:val="left"/>
      <w:lvlText w:val="(%1)"/>
      <w:numFmt w:val="lowerLetter"/>
      <w:start w:val="1"/>
    </w:lvl>
  </w:abstractNum>
  <w:abstractNum w:abstractNumId="411">
    <w:nsid w:val="5FEDC0E3"/>
    <w:multiLevelType w:val="hybridMultilevel"/>
    <w:lvl w:ilvl="0">
      <w:lvlJc w:val="left"/>
      <w:lvlText w:val="(%1)"/>
      <w:numFmt w:val="lowerLetter"/>
      <w:start w:val="4"/>
    </w:lvl>
  </w:abstractNum>
  <w:abstractNum w:abstractNumId="412">
    <w:nsid w:val="3D75BC47"/>
    <w:multiLevelType w:val="hybridMultilevel"/>
    <w:lvl w:ilvl="0">
      <w:lvlJc w:val="left"/>
      <w:lvlText w:val="(%1)"/>
      <w:numFmt w:val="lowerLetter"/>
      <w:start w:val="1"/>
    </w:lvl>
  </w:abstractNum>
  <w:abstractNum w:abstractNumId="413">
    <w:nsid w:val="3E30D969"/>
    <w:multiLevelType w:val="hybridMultilevel"/>
    <w:lvl w:ilvl="0">
      <w:lvlJc w:val="left"/>
      <w:lvlText w:val="(%1)"/>
      <w:numFmt w:val="lowerLetter"/>
      <w:start w:val="1"/>
    </w:lvl>
    <w:lvl w:ilvl="1">
      <w:lvlJc w:val="left"/>
      <w:lvlText w:val="(%2)"/>
      <w:numFmt w:val="lowerLetter"/>
      <w:start w:val="9"/>
    </w:lvl>
  </w:abstractNum>
  <w:abstractNum w:abstractNumId="414">
    <w:nsid w:val="18A35F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15">
    <w:nsid w:val="6DEF521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16">
    <w:nsid w:val="1112DBB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17">
    <w:nsid w:val="2586A498"/>
    <w:multiLevelType w:val="hybridMultilevel"/>
    <w:lvl w:ilvl="0">
      <w:lvlJc w:val="left"/>
      <w:lvlText w:val="(%1)"/>
      <w:numFmt w:val="lowerLetter"/>
      <w:start w:val="1"/>
    </w:lvl>
    <w:lvl w:ilvl="1">
      <w:lvlJc w:val="left"/>
      <w:lvlText w:val="(%2)"/>
      <w:numFmt w:val="lowerRoman"/>
      <w:start w:val="1"/>
    </w:lvl>
  </w:abstractNum>
  <w:abstractNum w:abstractNumId="418">
    <w:nsid w:val="17A03BB9"/>
    <w:multiLevelType w:val="hybridMultilevel"/>
    <w:lvl w:ilvl="0">
      <w:lvlJc w:val="left"/>
      <w:lvlText w:val="(%1)"/>
      <w:numFmt w:val="lowerLetter"/>
      <w:start w:val="3"/>
    </w:lvl>
  </w:abstractNum>
  <w:abstractNum w:abstractNumId="419">
    <w:nsid w:val="5CA941"/>
    <w:multiLevelType w:val="hybridMultilevel"/>
    <w:lvl w:ilvl="0">
      <w:lvlJc w:val="left"/>
      <w:lvlText w:val="%1"/>
      <w:numFmt w:val="lowerLetter"/>
      <w:start w:val="1"/>
    </w:lvl>
    <w:lvl w:ilvl="1">
      <w:lvlJc w:val="left"/>
      <w:lvlText w:val="(%2)"/>
      <w:numFmt w:val="lowerLetter"/>
      <w:start w:val="1"/>
    </w:lvl>
  </w:abstractNum>
  <w:abstractNum w:abstractNumId="420">
    <w:nsid w:val="734C7D9F"/>
    <w:multiLevelType w:val="hybridMultilevel"/>
    <w:lvl w:ilvl="0">
      <w:lvlJc w:val="left"/>
      <w:lvlText w:val="(%1)"/>
      <w:numFmt w:val="lowerLetter"/>
      <w:start w:val="61"/>
    </w:lvl>
    <w:lvl w:ilvl="1">
      <w:lvlJc w:val="left"/>
      <w:lvlText w:val="(%2)"/>
      <w:numFmt w:val="lowerLetter"/>
      <w:start w:val="3"/>
    </w:lvl>
  </w:abstractNum>
  <w:abstractNum w:abstractNumId="421">
    <w:nsid w:val="24F5D018"/>
    <w:multiLevelType w:val="hybridMultilevel"/>
    <w:lvl w:ilvl="0">
      <w:lvlJc w:val="left"/>
      <w:lvlText w:val="(%1)"/>
      <w:numFmt w:val="lowerLetter"/>
      <w:start w:val="9"/>
    </w:lvl>
    <w:lvl w:ilvl="1">
      <w:lvlJc w:val="left"/>
      <w:lvlText w:val="(%2)"/>
      <w:numFmt w:val="lowerLetter"/>
      <w:start w:val="4"/>
    </w:lvl>
  </w:abstractNum>
  <w:abstractNum w:abstractNumId="422">
    <w:nsid w:val="6780C122"/>
    <w:multiLevelType w:val="hybridMultilevel"/>
    <w:lvl w:ilvl="0">
      <w:lvlJc w:val="left"/>
      <w:lvlText w:val="(%1)"/>
      <w:numFmt w:val="lowerLetter"/>
      <w:start w:val="9"/>
    </w:lvl>
    <w:lvl w:ilvl="1">
      <w:lvlJc w:val="left"/>
      <w:lvlText w:val="(%2)"/>
      <w:numFmt w:val="lowerLetter"/>
      <w:start w:val="1"/>
    </w:lvl>
  </w:abstractNum>
  <w:abstractNum w:abstractNumId="423">
    <w:nsid w:val="534347A8"/>
    <w:multiLevelType w:val="hybridMultilevel"/>
    <w:lvl w:ilvl="0">
      <w:lvlJc w:val="left"/>
      <w:lvlText w:val="(%1)"/>
      <w:numFmt w:val="lowerLetter"/>
      <w:start w:val="2"/>
    </w:lvl>
  </w:abstractNum>
  <w:abstractNum w:abstractNumId="424">
    <w:nsid w:val="5800E34B"/>
    <w:multiLevelType w:val="hybridMultilevel"/>
    <w:lvl w:ilvl="0">
      <w:lvlJc w:val="left"/>
      <w:lvlText w:val="%1"/>
      <w:numFmt w:val="lowerLetter"/>
      <w:start w:val="1"/>
    </w:lvl>
    <w:lvl w:ilvl="1">
      <w:lvlJc w:val="left"/>
      <w:lvlText w:val="(%2)"/>
      <w:numFmt w:val="lowerLetter"/>
      <w:start w:val="1"/>
    </w:lvl>
  </w:abstractNum>
  <w:abstractNum w:abstractNumId="425">
    <w:nsid w:val="1673EFC8"/>
    <w:multiLevelType w:val="hybridMultilevel"/>
    <w:lvl w:ilvl="0">
      <w:lvlJc w:val="left"/>
      <w:lvlText w:val="(%1)"/>
      <w:numFmt w:val="lowerLetter"/>
      <w:start w:val="61"/>
    </w:lvl>
    <w:lvl w:ilvl="1">
      <w:lvlJc w:val="left"/>
      <w:lvlText w:val="%2"/>
      <w:numFmt w:val="lowerLetter"/>
      <w:start w:val="1"/>
    </w:lvl>
  </w:abstractNum>
  <w:abstractNum w:abstractNumId="426">
    <w:nsid w:val="5B9B1FD"/>
    <w:multiLevelType w:val="hybridMultilevel"/>
    <w:lvl w:ilvl="0">
      <w:lvlJc w:val="left"/>
      <w:lvlText w:val="(%1)"/>
      <w:numFmt w:val="lowerLetter"/>
      <w:start w:val="2"/>
    </w:lvl>
  </w:abstractNum>
  <w:abstractNum w:abstractNumId="427">
    <w:nsid w:val="7AD7FCA2"/>
    <w:multiLevelType w:val="hybridMultilevel"/>
    <w:lvl w:ilvl="0">
      <w:lvlJc w:val="left"/>
      <w:lvlText w:val="%1."/>
      <w:numFmt w:val="decimal"/>
      <w:start w:val="1"/>
    </w:lvl>
  </w:abstractNum>
  <w:abstractNum w:abstractNumId="428">
    <w:nsid w:val="63351604"/>
    <w:multiLevelType w:val="hybridMultilevel"/>
    <w:lvl w:ilvl="0">
      <w:lvlJc w:val="left"/>
      <w:lvlText w:val="%1."/>
      <w:numFmt w:val="upperLetter"/>
      <w:start w:val="1"/>
    </w:lvl>
    <w:lvl w:ilvl="1">
      <w:lvlJc w:val="left"/>
      <w:lvlText w:val="%2."/>
      <w:numFmt w:val="decimal"/>
      <w:start w:val="1"/>
    </w:lvl>
  </w:abstractNum>
  <w:abstractNum w:abstractNumId="429">
    <w:nsid w:val="E759D1A"/>
    <w:multiLevelType w:val="hybridMultilevel"/>
    <w:lvl w:ilvl="0">
      <w:lvlJc w:val="left"/>
      <w:lvlText w:val="%1"/>
      <w:numFmt w:val="upperLetter"/>
      <w:start w:val="1"/>
    </w:lvl>
    <w:lvl w:ilvl="1">
      <w:lvlJc w:val="left"/>
      <w:lvlText w:val="%2."/>
      <w:numFmt w:val="decimal"/>
      <w:start w:val="3"/>
    </w:lvl>
  </w:abstractNum>
  <w:abstractNum w:abstractNumId="430">
    <w:nsid w:val="6E3DEE90"/>
    <w:multiLevelType w:val="hybridMultilevel"/>
    <w:lvl w:ilvl="0">
      <w:lvlJc w:val="left"/>
      <w:lvlText w:val="%1."/>
      <w:numFmt w:val="upperLetter"/>
      <w:start w:val="2"/>
    </w:lvl>
    <w:lvl w:ilvl="1">
      <w:lvlJc w:val="left"/>
      <w:lvlText w:val="%2"/>
      <w:numFmt w:val="decimal"/>
      <w:start w:val="1"/>
    </w:lvl>
  </w:abstractNum>
  <w:abstractNum w:abstractNumId="431">
    <w:nsid w:val="1A8762F4"/>
    <w:multiLevelType w:val="hybridMultilevel"/>
    <w:lvl w:ilvl="0">
      <w:lvlJc w:val="left"/>
      <w:lvlText w:val="(%1)"/>
      <w:numFmt w:val="decimal"/>
      <w:start w:val="1"/>
    </w:lvl>
  </w:abstractNum>
  <w:abstractNum w:abstractNumId="432">
    <w:nsid w:val="7F41D049"/>
    <w:multiLevelType w:val="hybridMultilevel"/>
    <w:lvl w:ilvl="0">
      <w:lvlJc w:val="left"/>
      <w:lvlText w:val="(%1)"/>
      <w:numFmt w:val="decimal"/>
      <w:start w:val="1"/>
    </w:lvl>
  </w:abstractNum>
  <w:abstractNum w:abstractNumId="433">
    <w:nsid w:val="449F66F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34">
    <w:nsid w:val="557E0515"/>
    <w:multiLevelType w:val="hybridMultilevel"/>
    <w:lvl w:ilvl="0">
      <w:lvlJc w:val="left"/>
      <w:lvlText w:val="(%1)"/>
      <w:numFmt w:val="lowerRoman"/>
      <w:start w:val="2"/>
    </w:lvl>
    <w:lvl w:ilvl="1">
      <w:lvlJc w:val="left"/>
      <w:lvlText w:val="(%2)"/>
      <w:numFmt w:val="decimal"/>
      <w:start w:val="3"/>
    </w:lvl>
    <w:lvl w:ilvl="2">
      <w:lvlJc w:val="left"/>
      <w:lvlText w:val="%3."/>
      <w:numFmt w:val="lowerLetter"/>
      <w:start w:val="1"/>
    </w:lvl>
  </w:abstractNum>
  <w:abstractNum w:abstractNumId="435">
    <w:nsid w:val="3BA0794B"/>
    <w:multiLevelType w:val="hybridMultilevel"/>
    <w:lvl w:ilvl="0">
      <w:lvlJc w:val="left"/>
      <w:lvlText w:val="(%1)"/>
      <w:numFmt w:val="decimal"/>
      <w:start w:val="4"/>
    </w:lvl>
    <w:lvl w:ilvl="1">
      <w:lvlJc w:val="left"/>
      <w:lvlText w:val="%2."/>
      <w:numFmt w:val="lowerLetter"/>
      <w:start w:val="1"/>
    </w:lvl>
  </w:abstractNum>
  <w:abstractNum w:abstractNumId="436">
    <w:nsid w:val="6A0DCE48"/>
    <w:multiLevelType w:val="hybridMultilevel"/>
    <w:lvl w:ilvl="0">
      <w:lvlJc w:val="left"/>
      <w:lvlText w:val="(%1)"/>
      <w:numFmt w:val="decimal"/>
      <w:start w:val="7"/>
    </w:lvl>
  </w:abstractNum>
  <w:abstractNum w:abstractNumId="437">
    <w:nsid w:val="7237AA96"/>
    <w:multiLevelType w:val="hybridMultilevel"/>
    <w:lvl w:ilvl="0">
      <w:lvlJc w:val="left"/>
      <w:lvlText w:val="(%1)"/>
      <w:numFmt w:val="upperLetter"/>
      <w:start w:val="1"/>
    </w:lvl>
  </w:abstractNum>
  <w:abstractNum w:abstractNumId="438">
    <w:nsid w:val="5B1FBC2D"/>
    <w:multiLevelType w:val="hybridMultilevel"/>
    <w:lvl w:ilvl="0">
      <w:lvlJc w:val="left"/>
      <w:lvlText w:val="(%1)"/>
      <w:numFmt w:val="lowerRoman"/>
      <w:start w:val="1"/>
    </w:lvl>
    <w:lvl w:ilvl="1">
      <w:lvlJc w:val="left"/>
      <w:lvlText w:val="%2."/>
      <w:numFmt w:val="upperLetter"/>
      <w:start w:val="2"/>
    </w:lvl>
  </w:abstractNum>
  <w:abstractNum w:abstractNumId="439">
    <w:nsid w:val="33DFCCE8"/>
    <w:multiLevelType w:val="hybridMultilevel"/>
    <w:lvl w:ilvl="0">
      <w:lvlJc w:val="left"/>
      <w:lvlText w:val="(%1)"/>
      <w:numFmt w:val="lowerRoman"/>
      <w:start w:val="1"/>
    </w:lvl>
  </w:abstractNum>
  <w:abstractNum w:abstractNumId="440">
    <w:nsid w:val="18C45E15"/>
    <w:multiLevelType w:val="hybridMultilevel"/>
    <w:lvl w:ilvl="0">
      <w:lvlJc w:val="left"/>
      <w:lvlText w:val="(%1)"/>
      <w:numFmt w:val="lowerRoman"/>
      <w:start w:val="2"/>
    </w:lvl>
    <w:lvl w:ilvl="1">
      <w:lvlJc w:val="left"/>
      <w:lvlText w:val="(%2)"/>
      <w:numFmt w:val="lowerLetter"/>
      <w:start w:val="1"/>
    </w:lvl>
  </w:abstractNum>
  <w:abstractNum w:abstractNumId="441">
    <w:nsid w:val="6B431F25"/>
    <w:multiLevelType w:val="hybridMultilevel"/>
    <w:lvl w:ilvl="0">
      <w:lvlJc w:val="left"/>
      <w:lvlText w:val="(%1)"/>
      <w:numFmt w:val="decimal"/>
      <w:start w:val="7"/>
    </w:lvl>
    <w:lvl w:ilvl="1">
      <w:lvlJc w:val="left"/>
      <w:lvlText w:val="(%2)"/>
      <w:numFmt w:val="lowerLetter"/>
      <w:start w:val="3"/>
    </w:lvl>
  </w:abstractNum>
  <w:abstractNum w:abstractNumId="442">
    <w:nsid w:val="13CD8DCB"/>
    <w:multiLevelType w:val="hybridMultilevel"/>
    <w:lvl w:ilvl="0">
      <w:lvlJc w:val="left"/>
      <w:lvlText w:val="(%1)"/>
      <w:numFmt w:val="lowerRoman"/>
      <w:start w:val="4"/>
    </w:lvl>
  </w:abstractNum>
  <w:abstractNum w:abstractNumId="443">
    <w:nsid w:val="563A1A5C"/>
    <w:multiLevelType w:val="hybridMultilevel"/>
    <w:lvl w:ilvl="0">
      <w:lvlJc w:val="left"/>
      <w:lvlText w:val="(%1)"/>
      <w:numFmt w:val="lowerRoman"/>
      <w:start w:val="1"/>
    </w:lvl>
  </w:abstractNum>
  <w:abstractNum w:abstractNumId="444">
    <w:nsid w:val="2973F88F"/>
    <w:multiLevelType w:val="hybridMultilevel"/>
    <w:lvl w:ilvl="0">
      <w:lvlJc w:val="left"/>
      <w:lvlText w:val="(%1)"/>
      <w:numFmt w:val="upperLetter"/>
      <w:start w:val="2"/>
    </w:lvl>
    <w:lvl w:ilvl="1">
      <w:lvlJc w:val="left"/>
      <w:lvlText w:val="(%2)"/>
      <w:numFmt w:val="lowerRoman"/>
      <w:start w:val="2"/>
    </w:lvl>
    <w:lvl w:ilvl="2">
      <w:lvlJc w:val="left"/>
      <w:lvlText w:val="(%3)"/>
      <w:numFmt w:val="lowerLetter"/>
      <w:start w:val="1"/>
    </w:lvl>
  </w:abstractNum>
  <w:abstractNum w:abstractNumId="445">
    <w:nsid w:val="2C70EDAE"/>
    <w:multiLevelType w:val="hybridMultilevel"/>
    <w:lvl w:ilvl="0">
      <w:lvlJc w:val="left"/>
      <w:lvlText w:val="(%1)"/>
      <w:numFmt w:val="lowerLetter"/>
      <w:start w:val="3"/>
    </w:lvl>
  </w:abstractNum>
  <w:abstractNum w:abstractNumId="446">
    <w:nsid w:val="44296C6D"/>
    <w:multiLevelType w:val="hybridMultilevel"/>
    <w:lvl w:ilvl="0">
      <w:lvlJc w:val="left"/>
      <w:lvlText w:val="(%1)"/>
      <w:numFmt w:val="lowerRoman"/>
      <w:start w:val="7"/>
    </w:lvl>
  </w:abstractNum>
  <w:abstractNum w:abstractNumId="447">
    <w:nsid w:val="3A86D445"/>
    <w:multiLevelType w:val="hybridMultilevel"/>
    <w:lvl w:ilvl="0">
      <w:lvlJc w:val="left"/>
      <w:lvlText w:val="(%1)"/>
      <w:numFmt w:val="lowerRoman"/>
      <w:start w:val="1"/>
    </w:lvl>
  </w:abstractNum>
  <w:abstractNum w:abstractNumId="448">
    <w:nsid w:val="51F79246"/>
    <w:multiLevelType w:val="hybridMultilevel"/>
    <w:lvl w:ilvl="0">
      <w:lvlJc w:val="left"/>
      <w:lvlText w:val="(%1)"/>
      <w:numFmt w:val="lowerRoman"/>
      <w:start w:val="2"/>
    </w:lvl>
  </w:abstractNum>
  <w:abstractNum w:abstractNumId="449">
    <w:nsid w:val="5BC9A827"/>
    <w:multiLevelType w:val="hybridMultilevel"/>
    <w:lvl w:ilvl="0">
      <w:lvlJc w:val="left"/>
      <w:lvlText w:val="(%1)"/>
      <w:numFmt w:val="lowerRoman"/>
      <w:start w:val="5"/>
    </w:lvl>
  </w:abstractNum>
  <w:abstractNum w:abstractNumId="450">
    <w:nsid w:val="3AE37D86"/>
    <w:multiLevelType w:val="hybridMultilevel"/>
    <w:lvl w:ilvl="0">
      <w:lvlJc w:val="left"/>
      <w:lvlText w:val="(%1)"/>
      <w:numFmt w:val="lowerRoman"/>
      <w:start w:val="1"/>
    </w:lvl>
  </w:abstractNum>
  <w:abstractNum w:abstractNumId="451">
    <w:nsid w:val="45440FE5"/>
    <w:multiLevelType w:val="hybridMultilevel"/>
    <w:lvl w:ilvl="0">
      <w:lvlJc w:val="left"/>
      <w:lvlText w:val="(%1)"/>
      <w:numFmt w:val="lowerRoman"/>
      <w:start w:val="1"/>
    </w:lvl>
  </w:abstractNum>
  <w:abstractNum w:abstractNumId="452">
    <w:nsid w:val="BF783F"/>
    <w:multiLevelType w:val="hybridMultilevel"/>
    <w:lvl w:ilvl="0">
      <w:lvlJc w:val="left"/>
      <w:lvlText w:val="(%1)"/>
      <w:numFmt w:val="lowerRoman"/>
      <w:start w:val="1"/>
    </w:lvl>
  </w:abstractNum>
  <w:abstractNum w:abstractNumId="453">
    <w:nsid w:val="22643EA9"/>
    <w:multiLevelType w:val="hybridMultilevel"/>
    <w:lvl w:ilvl="0">
      <w:lvlJc w:val="left"/>
      <w:lvlText w:val="(%1)"/>
      <w:numFmt w:val="lowerRoman"/>
      <w:start w:val="1"/>
    </w:lvl>
  </w:abstractNum>
  <w:abstractNum w:abstractNumId="454">
    <w:nsid w:val="1887578D"/>
    <w:multiLevelType w:val="hybridMultilevel"/>
    <w:lvl w:ilvl="0">
      <w:lvlJc w:val="left"/>
      <w:lvlText w:val="(%1)"/>
      <w:numFmt w:val="lowerRoman"/>
      <w:start w:val="1"/>
    </w:lvl>
  </w:abstractNum>
  <w:abstractNum w:abstractNumId="455">
    <w:nsid w:val="58C05B8A"/>
    <w:multiLevelType w:val="hybridMultilevel"/>
    <w:lvl w:ilvl="0">
      <w:lvlJc w:val="left"/>
      <w:lvlText w:val="(%1)"/>
      <w:numFmt w:val="lowerRoman"/>
      <w:start w:val="1"/>
    </w:lvl>
  </w:abstractNum>
  <w:abstractNum w:abstractNumId="456">
    <w:nsid w:val="38D82E71"/>
    <w:multiLevelType w:val="hybridMultilevel"/>
    <w:lvl w:ilvl="0">
      <w:lvlJc w:val="left"/>
      <w:lvlText w:val="(%1)"/>
      <w:numFmt w:val="lowerLetter"/>
      <w:start w:val="5"/>
    </w:lvl>
    <w:lvl w:ilvl="1">
      <w:lvlJc w:val="left"/>
      <w:lvlText w:val="(%2)"/>
      <w:numFmt w:val="lowerRoman"/>
      <w:start w:val="3"/>
    </w:lvl>
    <w:lvl w:ilvl="2">
      <w:lvlJc w:val="left"/>
      <w:lvlText w:val="(%3)"/>
      <w:numFmt w:val="lowerLetter"/>
      <w:start w:val="1"/>
    </w:lvl>
  </w:abstractNum>
  <w:abstractNum w:abstractNumId="457">
    <w:nsid w:val="1E41098A"/>
    <w:multiLevelType w:val="hybridMultilevel"/>
    <w:lvl w:ilvl="0">
      <w:lvlJc w:val="left"/>
      <w:lvlText w:val="(%1)"/>
      <w:numFmt w:val="lowerLetter"/>
      <w:start w:val="4"/>
    </w:lvl>
  </w:abstractNum>
  <w:abstractNum w:abstractNumId="458">
    <w:nsid w:val="5398582C"/>
    <w:multiLevelType w:val="hybridMultilevel"/>
    <w:lvl w:ilvl="0">
      <w:lvlJc w:val="left"/>
      <w:lvlText w:val="(%1)"/>
      <w:numFmt w:val="lowerRoman"/>
      <w:start w:val="1"/>
    </w:lvl>
  </w:abstractNum>
  <w:abstractNum w:abstractNumId="459">
    <w:nsid w:val="1C0D4475"/>
    <w:multiLevelType w:val="hybridMultilevel"/>
    <w:lvl w:ilvl="0">
      <w:lvlJc w:val="left"/>
      <w:lvlText w:val="(%1)"/>
      <w:numFmt w:val="lowerRoman"/>
      <w:start w:val="1"/>
    </w:lvl>
  </w:abstractNum>
  <w:abstractNum w:abstractNumId="460">
    <w:nsid w:val="2CB6A6A4"/>
    <w:multiLevelType w:val="hybridMultilevel"/>
    <w:lvl w:ilvl="0">
      <w:lvlJc w:val="left"/>
      <w:lvlText w:val="(%1)"/>
      <w:numFmt w:val="lowerRoman"/>
      <w:start w:val="2"/>
    </w:lvl>
  </w:abstractNum>
  <w:abstractNum w:abstractNumId="461">
    <w:nsid w:val="41D646BC"/>
    <w:multiLevelType w:val="hybridMultilevel"/>
    <w:lvl w:ilvl="0">
      <w:lvlJc w:val="left"/>
      <w:lvlText w:val="(%1)"/>
      <w:numFmt w:val="lowerLetter"/>
      <w:start w:val="3"/>
    </w:lvl>
  </w:abstractNum>
  <w:abstractNum w:abstractNumId="462">
    <w:nsid w:val="3694A76A"/>
    <w:multiLevelType w:val="hybridMultilevel"/>
    <w:lvl w:ilvl="0">
      <w:lvlJc w:val="left"/>
      <w:lvlText w:val="(%1)"/>
      <w:numFmt w:val="upperLetter"/>
      <w:start w:val="1"/>
    </w:lvl>
  </w:abstractNum>
  <w:abstractNum w:abstractNumId="463">
    <w:nsid w:val="2BF876EE"/>
    <w:multiLevelType w:val="hybridMultilevel"/>
    <w:lvl w:ilvl="0">
      <w:lvlJc w:val="left"/>
      <w:lvlText w:val="(%1)"/>
      <w:numFmt w:val="lowerRoman"/>
      <w:start w:val="4"/>
    </w:lvl>
  </w:abstractNum>
  <w:abstractNum w:abstractNumId="464">
    <w:nsid w:val="675ADBA"/>
    <w:multiLevelType w:val="hybridMultilevel"/>
    <w:lvl w:ilvl="0">
      <w:lvlJc w:val="left"/>
      <w:lvlText w:val="(%1)"/>
      <w:numFmt w:val="lowerRoman"/>
      <w:start w:val="1"/>
    </w:lvl>
  </w:abstractNum>
  <w:abstractNum w:abstractNumId="465">
    <w:nsid w:val="C12AC7F"/>
    <w:multiLevelType w:val="hybridMultilevel"/>
    <w:lvl w:ilvl="0">
      <w:lvlJc w:val="left"/>
      <w:lvlText w:val="(%1)"/>
      <w:numFmt w:val="lowerLetter"/>
      <w:start w:val="1"/>
    </w:lvl>
  </w:abstractNum>
  <w:abstractNum w:abstractNumId="466">
    <w:nsid w:val="6798F039"/>
    <w:multiLevelType w:val="hybridMultilevel"/>
    <w:lvl w:ilvl="0">
      <w:lvlJc w:val="left"/>
      <w:lvlText w:val="(%1)"/>
      <w:numFmt w:val="lowerRoman"/>
      <w:start w:val="10"/>
    </w:lvl>
  </w:abstractNum>
  <w:abstractNum w:abstractNumId="467">
    <w:nsid w:val="70837C02"/>
    <w:multiLevelType w:val="hybridMultilevel"/>
    <w:lvl w:ilvl="0">
      <w:lvlJc w:val="left"/>
      <w:lvlText w:val="(%1)"/>
      <w:numFmt w:val="decimal"/>
      <w:start w:val="12"/>
    </w:lvl>
  </w:abstractNum>
  <w:abstractNum w:abstractNumId="468">
    <w:nsid w:val="7E4A5715"/>
    <w:multiLevelType w:val="hybridMultilevel"/>
    <w:lvl w:ilvl="0">
      <w:lvlJc w:val="left"/>
      <w:lvlText w:val="["/>
      <w:numFmt w:val="bullet"/>
      <w:start w:val="1"/>
    </w:lvl>
  </w:abstractNum>
  <w:abstractNum w:abstractNumId="469">
    <w:nsid w:val="42B8AC67"/>
    <w:multiLevelType w:val="hybridMultilevel"/>
    <w:lvl w:ilvl="0">
      <w:lvlJc w:val="left"/>
      <w:lvlText w:val="%1."/>
      <w:numFmt w:val="decimal"/>
      <w:start w:val="1"/>
    </w:lvl>
    <w:lvl w:ilvl="1">
      <w:lvlJc w:val="left"/>
      <w:lvlText w:val="(%2)"/>
      <w:numFmt w:val="lowerLetter"/>
      <w:start w:val="1"/>
    </w:lvl>
  </w:abstractNum>
  <w:abstractNum w:abstractNumId="470">
    <w:nsid w:val="246348EA"/>
    <w:multiLevelType w:val="hybridMultilevel"/>
    <w:lvl w:ilvl="0">
      <w:lvlJc w:val="left"/>
      <w:lvlText w:val="%1."/>
      <w:numFmt w:val="decimal"/>
      <w:start w:val="2"/>
    </w:lvl>
  </w:abstractNum>
  <w:abstractNum w:abstractNumId="471">
    <w:nsid w:val="170EB52B"/>
    <w:multiLevelType w:val="hybridMultilevel"/>
    <w:lvl w:ilvl="0">
      <w:lvlJc w:val="left"/>
      <w:lvlText w:val="%1."/>
      <w:numFmt w:val="decimal"/>
      <w:start w:val="3"/>
    </w:lvl>
    <w:lvl w:ilvl="1">
      <w:lvlJc w:val="left"/>
      <w:lvlText w:val="(%2)"/>
      <w:numFmt w:val="lowerLetter"/>
      <w:start w:val="1"/>
    </w:lvl>
  </w:abstractNum>
  <w:abstractNum w:abstractNumId="472">
    <w:nsid w:val="2DFBCB8C"/>
    <w:multiLevelType w:val="hybridMultilevel"/>
    <w:lvl w:ilvl="0">
      <w:lvlJc w:val="left"/>
      <w:lvlText w:val="%1"/>
      <w:numFmt w:val="decimal"/>
      <w:start w:val="1"/>
    </w:lvl>
    <w:lvl w:ilvl="1">
      <w:lvlJc w:val="left"/>
      <w:lvlText w:val="(%2)"/>
      <w:numFmt w:val="lowerLetter"/>
      <w:start w:val="5"/>
    </w:lvl>
  </w:abstractNum>
  <w:abstractNum w:abstractNumId="473">
    <w:nsid w:val="3830D6B6"/>
    <w:multiLevelType w:val="hybridMultilevel"/>
    <w:lvl w:ilvl="0">
      <w:lvlJc w:val="left"/>
      <w:lvlText w:val="%1."/>
      <w:numFmt w:val="decimal"/>
      <w:start w:val="5"/>
    </w:lvl>
    <w:lvl w:ilvl="1">
      <w:lvlJc w:val="left"/>
      <w:lvlText w:val="(%2)"/>
      <w:numFmt w:val="lowerLetter"/>
      <w:start w:val="1"/>
    </w:lvl>
  </w:abstractNum>
  <w:abstractNum w:abstractNumId="474">
    <w:nsid w:val="6D48CF87"/>
    <w:multiLevelType w:val="hybridMultilevel"/>
    <w:lvl w:ilvl="0">
      <w:lvlJc w:val="left"/>
      <w:lvlText w:val="(%1)"/>
      <w:numFmt w:val="lowerLetter"/>
      <w:start w:val="2"/>
    </w:lvl>
    <w:lvl w:ilvl="1">
      <w:lvlJc w:val="left"/>
      <w:lvlText w:val="(%2)"/>
      <w:numFmt w:val="lowerLetter"/>
      <w:start w:val="3"/>
    </w:lvl>
  </w:abstractNum>
  <w:abstractNum w:abstractNumId="475">
    <w:nsid w:val="576FC4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76">
    <w:nsid w:val="64A1C464"/>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477">
    <w:nsid w:val="31723BF5"/>
    <w:multiLevelType w:val="hybridMultilevel"/>
    <w:lvl w:ilvl="0">
      <w:lvlJc w:val="left"/>
      <w:lvlText w:val="%1."/>
      <w:numFmt w:val="decimal"/>
      <w:start w:val="9"/>
    </w:lvl>
  </w:abstractNum>
  <w:abstractNum w:abstractNumId="478">
    <w:nsid w:val="11F69861"/>
    <w:multiLevelType w:val="hybridMultilevel"/>
    <w:lvl w:ilvl="0">
      <w:lvlJc w:val="left"/>
      <w:lvlText w:val="%1."/>
      <w:numFmt w:val="decimal"/>
      <w:start w:val="12"/>
    </w:lvl>
    <w:lvl w:ilvl="1">
      <w:lvlJc w:val="left"/>
      <w:lvlText w:val="(%2)"/>
      <w:numFmt w:val="lowerLetter"/>
      <w:start w:val="1"/>
    </w:lvl>
  </w:abstractNum>
  <w:abstractNum w:abstractNumId="479">
    <w:nsid w:val="369956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80">
    <w:nsid w:val="D3BE41C"/>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3"/>
    </w:lvl>
  </w:abstractNum>
  <w:abstractNum w:abstractNumId="481">
    <w:nsid w:val="4CDA15E7"/>
    <w:multiLevelType w:val="hybridMultilevel"/>
    <w:lvl w:ilvl="0">
      <w:lvlJc w:val="left"/>
      <w:lvlText w:val="%1."/>
      <w:numFmt w:val="decimal"/>
      <w:start w:val="21"/>
    </w:lvl>
  </w:abstractNum>
  <w:abstractNum w:abstractNumId="482">
    <w:nsid w:val="7BDD6690"/>
    <w:multiLevelType w:val="hybridMultilevel"/>
    <w:lvl w:ilvl="0">
      <w:lvlJc w:val="left"/>
      <w:lvlText w:val="%1."/>
      <w:numFmt w:val="decimal"/>
      <w:start w:val="1"/>
    </w:lvl>
  </w:abstractNum>
  <w:abstractNum w:abstractNumId="483">
    <w:nsid w:val="DFB5C5B"/>
    <w:multiLevelType w:val="hybridMultilevel"/>
    <w:lvl w:ilvl="0">
      <w:lvlJc w:val="left"/>
      <w:lvlText w:val="%1."/>
      <w:numFmt w:val="decimal"/>
      <w:start w:val="2"/>
    </w:lvl>
  </w:abstractNum>
  <w:abstractNum w:abstractNumId="484">
    <w:nsid w:val="6F3E5490"/>
    <w:multiLevelType w:val="hybridMultilevel"/>
    <w:lvl w:ilvl="0">
      <w:lvlJc w:val="left"/>
      <w:lvlText w:val="(%1)"/>
      <w:numFmt w:val="lowerRoman"/>
      <w:start w:val="3"/>
    </w:lvl>
  </w:abstractNum>
  <w:abstractNum w:abstractNumId="485">
    <w:nsid w:val="1464BE1E"/>
    <w:multiLevelType w:val="hybridMultilevel"/>
    <w:lvl w:ilvl="0">
      <w:lvlJc w:val="left"/>
      <w:lvlText w:val="(%1)"/>
      <w:numFmt w:val="lowerLetter"/>
      <w:start w:val="4"/>
    </w:lvl>
  </w:abstractNum>
  <w:abstractNum w:abstractNumId="486">
    <w:nsid w:val="66BBB7E5"/>
    <w:multiLevelType w:val="hybridMultilevel"/>
    <w:lvl w:ilvl="0">
      <w:lvlJc w:val="left"/>
      <w:lvlText w:val="(%1)"/>
      <w:numFmt w:val="upperLetter"/>
      <w:start w:val="2"/>
    </w:lvl>
  </w:abstractNum>
  <w:abstractNum w:abstractNumId="487">
    <w:nsid w:val="28168302"/>
    <w:multiLevelType w:val="hybridMultilevel"/>
    <w:lvl w:ilvl="0">
      <w:lvlJc w:val="left"/>
      <w:lvlText w:val="%1."/>
      <w:numFmt w:val="decimal"/>
      <w:start w:val="3"/>
    </w:lvl>
  </w:abstractNum>
  <w:abstractNum w:abstractNumId="488">
    <w:nsid w:val="32A5C7A8"/>
    <w:multiLevelType w:val="hybridMultilevel"/>
    <w:lvl w:ilvl="0">
      <w:lvlJc w:val="left"/>
      <w:lvlText w:val="(%1)"/>
      <w:numFmt w:val="decimal"/>
      <w:start w:val="1"/>
    </w:lvl>
  </w:abstractNum>
  <w:abstractNum w:abstractNumId="489">
    <w:nsid w:val="3A541011"/>
    <w:multiLevelType w:val="hybridMultilevel"/>
    <w:lvl w:ilvl="0">
      <w:lvlJc w:val="left"/>
      <w:lvlText w:val="(%1)"/>
      <w:numFmt w:val="decimal"/>
      <w:start w:val="1"/>
    </w:lvl>
  </w:abstractNum>
  <w:abstractNum w:abstractNumId="490">
    <w:nsid w:val="4423C777"/>
    <w:multiLevelType w:val="hybridMultilevel"/>
    <w:lvl w:ilvl="0">
      <w:lvlJc w:val="left"/>
      <w:lvlText w:val="%1"/>
      <w:numFmt w:val="decimal"/>
      <w:start w:val="1"/>
    </w:lvl>
    <w:lvl w:ilvl="1">
      <w:lvlJc w:val="left"/>
      <w:lvlText w:val="(%2)"/>
      <w:numFmt w:val="decimal"/>
      <w:start w:val="1"/>
    </w:lvl>
  </w:abstractNum>
  <w:abstractNum w:abstractNumId="491">
    <w:nsid w:val="5F5C6E4D"/>
    <w:multiLevelType w:val="hybridMultilevel"/>
    <w:lvl w:ilvl="0">
      <w:lvlJc w:val="left"/>
      <w:lvlText w:val="%1."/>
      <w:numFmt w:val="decimal"/>
      <w:start w:val="4"/>
    </w:lvl>
    <w:lvl w:ilvl="1">
      <w:lvlJc w:val="left"/>
      <w:lvlText w:val="%2"/>
      <w:numFmt w:val="decimal"/>
      <w:start w:val="1"/>
    </w:lvl>
  </w:abstractNum>
  <w:abstractNum w:abstractNumId="492">
    <w:nsid w:val="7C2A56CD"/>
    <w:multiLevelType w:val="hybridMultilevel"/>
    <w:lvl w:ilvl="0">
      <w:lvlJc w:val="left"/>
      <w:lvlText w:val="(%1)"/>
      <w:numFmt w:val="lowerRoman"/>
      <w:start w:val="2"/>
    </w:lvl>
  </w:abstractNum>
  <w:abstractNum w:abstractNumId="493">
    <w:nsid w:val="7AB86EE1"/>
    <w:multiLevelType w:val="hybridMultilevel"/>
    <w:lvl w:ilvl="0">
      <w:lvlJc w:val="left"/>
      <w:lvlText w:val="(%1)"/>
      <w:numFmt w:val="lowerLetter"/>
      <w:start w:val="1"/>
    </w:lvl>
  </w:abstractNum>
  <w:abstractNum w:abstractNumId="494">
    <w:nsid w:val="B54E53B"/>
    <w:multiLevelType w:val="hybridMultilevel"/>
    <w:lvl w:ilvl="0">
      <w:lvlJc w:val="left"/>
      <w:lvlText w:val="%1."/>
      <w:numFmt w:val="decimal"/>
      <w:start w:val="5"/>
    </w:lvl>
  </w:abstractNum>
  <w:abstractNum w:abstractNumId="495">
    <w:nsid w:val="2A00487"/>
    <w:multiLevelType w:val="hybridMultilevel"/>
    <w:lvl w:ilvl="0">
      <w:lvlJc w:val="left"/>
      <w:lvlText w:val="(%1)"/>
      <w:numFmt w:val="lowerLetter"/>
      <w:start w:val="1"/>
    </w:lvl>
  </w:abstractNum>
  <w:abstractNum w:abstractNumId="496">
    <w:nsid w:val="6CB1B60"/>
    <w:multiLevelType w:val="hybridMultilevel"/>
    <w:lvl w:ilvl="0">
      <w:lvlJc w:val="left"/>
      <w:lvlText w:val="(%1)"/>
      <w:numFmt w:val="lowerRoman"/>
      <w:start w:val="1"/>
    </w:lvl>
  </w:abstractNum>
  <w:abstractNum w:abstractNumId="497">
    <w:nsid w:val="72EDD574"/>
    <w:multiLevelType w:val="hybridMultilevel"/>
    <w:lvl w:ilvl="0">
      <w:lvlJc w:val="left"/>
      <w:lvlText w:val="%1."/>
      <w:numFmt w:val="decimal"/>
      <w:start w:val="7"/>
    </w:lvl>
  </w:abstractNum>
  <w:abstractNum w:abstractNumId="498">
    <w:nsid w:val="7323808A"/>
    <w:multiLevelType w:val="hybridMultilevel"/>
    <w:lvl w:ilvl="0">
      <w:lvlJc w:val="left"/>
      <w:lvlText w:val="%1."/>
      <w:numFmt w:val="decimal"/>
      <w:start w:val="8"/>
    </w:lvl>
  </w:abstractNum>
  <w:abstractNum w:abstractNumId="499">
    <w:nsid w:val="5157276"/>
    <w:multiLevelType w:val="hybridMultilevel"/>
    <w:lvl w:ilvl="0">
      <w:lvlJc w:val="left"/>
      <w:lvlText w:val="%1."/>
      <w:numFmt w:val="decimal"/>
      <w:start w:val="11"/>
    </w:lvl>
  </w:abstractNum>
  <w:abstractNum w:abstractNumId="500">
    <w:nsid w:val="35A681DB"/>
    <w:multiLevelType w:val="hybridMultilevel"/>
    <w:lvl w:ilvl="0">
      <w:lvlJc w:val="left"/>
      <w:lvlText w:val="1"/>
      <w:numFmt w:val="bullet"/>
      <w:start w:val="1"/>
    </w:lvl>
  </w:abstractNum>
  <w:abstractNum w:abstractNumId="501">
    <w:nsid w:val="1786C974"/>
    <w:multiLevelType w:val="hybridMultilevel"/>
    <w:lvl w:ilvl="0">
      <w:lvlJc w:val="left"/>
      <w:lvlText w:val="%1."/>
      <w:numFmt w:val="upperLetter"/>
      <w:start w:val="1"/>
    </w:lvl>
    <w:lvl w:ilvl="1">
      <w:lvlJc w:val="left"/>
      <w:lvlText w:val="%2."/>
      <w:numFmt w:val="decimal"/>
      <w:start w:val="1"/>
    </w:lvl>
  </w:abstractNum>
  <w:abstractNum w:abstractNumId="502">
    <w:nsid w:val="1C2427A1"/>
    <w:multiLevelType w:val="hybridMultilevel"/>
    <w:lvl w:ilvl="0">
      <w:lvlJc w:val="left"/>
      <w:lvlText w:val="%1."/>
      <w:numFmt w:val="upperLetter"/>
      <w:start w:val="2"/>
    </w:lvl>
    <w:lvl w:ilvl="1">
      <w:lvlJc w:val="left"/>
      <w:lvlText w:val="%2."/>
      <w:numFmt w:val="decimal"/>
      <w:start w:val="1"/>
    </w:lvl>
  </w:abstractNum>
  <w:abstractNum w:abstractNumId="503">
    <w:nsid w:val="63A24D68"/>
    <w:multiLevelType w:val="hybridMultilevel"/>
    <w:lvl w:ilvl="0">
      <w:lvlJc w:val="left"/>
      <w:lvlText w:val="%1."/>
      <w:numFmt w:val="upperLetter"/>
      <w:start w:val="3"/>
    </w:lvl>
    <w:lvl w:ilvl="1">
      <w:lvlJc w:val="left"/>
      <w:lvlText w:val="☐"/>
      <w:numFmt w:val="bullet"/>
      <w:start w:val="1"/>
    </w:lvl>
  </w:abstractNum>
  <w:abstractNum w:abstractNumId="504">
    <w:nsid w:val="4FB7A02A"/>
    <w:multiLevelType w:val="hybridMultilevel"/>
    <w:lvl w:ilvl="0">
      <w:lvlJc w:val="left"/>
      <w:lvlText w:val="☐"/>
      <w:numFmt w:val="bullet"/>
      <w:start w:val="1"/>
    </w:lvl>
    <w:lvl w:ilvl="1">
      <w:lvlJc w:val="left"/>
      <w:lvlText w:val="☐"/>
      <w:numFmt w:val="bullet"/>
      <w:start w:val="1"/>
    </w:lvl>
  </w:abstractNum>
  <w:abstractNum w:abstractNumId="505">
    <w:nsid w:val="96CF728"/>
    <w:multiLevelType w:val="hybridMultilevel"/>
    <w:lvl w:ilvl="0">
      <w:lvlJc w:val="left"/>
      <w:lvlText w:val="2"/>
      <w:numFmt w:val="bullet"/>
      <w:start w:val="1"/>
    </w:lvl>
  </w:abstractNum>
  <w:abstractNum w:abstractNumId="506">
    <w:nsid w:val="3B121183"/>
    <w:multiLevelType w:val="hybridMultilevel"/>
    <w:lvl w:ilvl="0">
      <w:lvlJc w:val="left"/>
      <w:lvlText w:val="☐"/>
      <w:numFmt w:val="bullet"/>
      <w:start w:val="1"/>
    </w:lvl>
  </w:abstractNum>
  <w:abstractNum w:abstractNumId="507">
    <w:nsid w:val="3459648F"/>
    <w:multiLevelType w:val="hybridMultilevel"/>
    <w:lvl w:ilvl="0">
      <w:lvlJc w:val="left"/>
      <w:lvlText w:val="☐"/>
      <w:numFmt w:val="bullet"/>
      <w:start w:val="1"/>
    </w:lvl>
  </w:abstractNum>
  <w:abstractNum w:abstractNumId="508">
    <w:nsid w:val="3ADF331D"/>
    <w:multiLevelType w:val="hybridMultilevel"/>
    <w:lvl w:ilvl="0">
      <w:lvlJc w:val="left"/>
      <w:lvlText w:val="☐"/>
      <w:numFmt w:val="bullet"/>
      <w:start w:val="1"/>
    </w:lvl>
  </w:abstractNum>
  <w:abstractNum w:abstractNumId="509">
    <w:nsid w:val="4D08A9E4"/>
    <w:multiLevelType w:val="hybridMultilevel"/>
    <w:lvl w:ilvl="0">
      <w:lvlJc w:val="left"/>
      <w:lvlText w:val="(%1)"/>
      <w:numFmt w:val="lowerRoman"/>
      <w:start w:val="2"/>
    </w:lvl>
  </w:abstractNum>
  <w:abstractNum w:abstractNumId="510">
    <w:nsid w:val="6AF2BB3A"/>
    <w:multiLevelType w:val="hybridMultilevel"/>
    <w:lvl w:ilvl="0">
      <w:lvlJc w:val="left"/>
      <w:lvlText w:val="(%1)"/>
      <w:numFmt w:val="lowerLetter"/>
      <w:start w:val="1"/>
    </w:lvl>
  </w:abstractNum>
  <w:abstractNum w:abstractNumId="511">
    <w:nsid w:val="481B1739"/>
    <w:multiLevelType w:val="hybridMultilevel"/>
    <w:lvl w:ilvl="0">
      <w:lvlJc w:val="left"/>
      <w:lvlText w:val="(%1)"/>
      <w:numFmt w:val="lowerLetter"/>
      <w:start w:val="2"/>
    </w:lvl>
  </w:abstractNum>
  <w:abstractNum w:abstractNumId="512">
    <w:nsid w:val="19E2BFCC"/>
    <w:multiLevelType w:val="hybridMultilevel"/>
    <w:lvl w:ilvl="0">
      <w:lvlJc w:val="left"/>
      <w:lvlText w:val="(%1)"/>
      <w:numFmt w:val="lowerLetter"/>
      <w:start w:val="1"/>
    </w:lvl>
  </w:abstractNum>
  <w:abstractNum w:abstractNumId="513">
    <w:nsid w:val="66D021CA"/>
    <w:multiLevelType w:val="hybridMultilevel"/>
    <w:lvl w:ilvl="0">
      <w:lvlJc w:val="left"/>
      <w:lvlText w:val="(%1)"/>
      <w:numFmt w:val="lowerLetter"/>
      <w:start w:val="1"/>
    </w:lvl>
  </w:abstractNum>
  <w:abstractNum w:abstractNumId="514">
    <w:nsid w:val="56167394"/>
    <w:multiLevelType w:val="hybridMultilevel"/>
    <w:lvl w:ilvl="0">
      <w:lvlJc w:val="left"/>
      <w:lvlText w:val="(%1)"/>
      <w:numFmt w:val="lowerLetter"/>
      <w:start w:val="1"/>
    </w:lvl>
  </w:abstractNum>
  <w:abstractNum w:abstractNumId="515">
    <w:nsid w:val="921145C"/>
    <w:multiLevelType w:val="hybridMultilevel"/>
    <w:lvl w:ilvl="0">
      <w:lvlJc w:val="left"/>
      <w:lvlText w:val="(%1)"/>
      <w:numFmt w:val="lowerRoman"/>
      <w:start w:val="2"/>
    </w:lvl>
  </w:abstractNum>
  <w:abstractNum w:abstractNumId="516">
    <w:nsid w:val="7B34DFE8"/>
    <w:multiLevelType w:val="hybridMultilevel"/>
    <w:lvl w:ilvl="0">
      <w:lvlJc w:val="left"/>
      <w:lvlText w:val="(%1)"/>
      <w:numFmt w:val="lowerRoman"/>
      <w:start w:val="1"/>
    </w:lvl>
  </w:abstractNum>
  <w:abstractNum w:abstractNumId="517">
    <w:nsid w:val="3CD22B79"/>
    <w:multiLevelType w:val="hybridMultilevel"/>
    <w:lvl w:ilvl="0">
      <w:lvlJc w:val="left"/>
      <w:lvlText w:val="(%1)"/>
      <w:numFmt w:val="lowerLetter"/>
      <w:start w:val="1"/>
    </w:lvl>
  </w:abstractNum>
  <w:abstractNum w:abstractNumId="518">
    <w:nsid w:val="3137975E"/>
    <w:multiLevelType w:val="hybridMultilevel"/>
    <w:lvl w:ilvl="0">
      <w:lvlJc w:val="left"/>
      <w:lvlText w:val="(%1)"/>
      <w:numFmt w:val="lowerLetter"/>
      <w:start w:val="3"/>
    </w:lvl>
  </w:abstractNum>
  <w:abstractNum w:abstractNumId="519">
    <w:nsid w:val="2DDAA791"/>
    <w:multiLevelType w:val="hybridMultilevel"/>
    <w:lvl w:ilvl="0">
      <w:lvlJc w:val="left"/>
      <w:lvlText w:val="(%1)"/>
      <w:numFmt w:val="lowerLetter"/>
      <w:start w:val="1"/>
    </w:lvl>
    <w:lvl w:ilvl="1">
      <w:lvlJc w:val="left"/>
      <w:lvlText w:val="(%2)"/>
      <w:numFmt w:val="lowerRoman"/>
      <w:start w:val="1"/>
    </w:lvl>
  </w:abstractNum>
  <w:abstractNum w:abstractNumId="520">
    <w:nsid w:val="77263B8A"/>
    <w:multiLevelType w:val="hybridMultilevel"/>
    <w:lvl w:ilvl="0">
      <w:lvlJc w:val="left"/>
      <w:lvlText w:val="1"/>
      <w:numFmt w:val="bullet"/>
      <w:start w:val="1"/>
    </w:lvl>
  </w:abstractNum>
  <w:abstractNum w:abstractNumId="521">
    <w:nsid w:val="755B5ED6"/>
    <w:multiLevelType w:val="hybridMultilevel"/>
    <w:lvl w:ilvl="0">
      <w:lvlJc w:val="left"/>
      <w:lvlText w:val="%1"/>
      <w:numFmt w:val="lowerLetter"/>
      <w:start w:val="1"/>
    </w:lvl>
    <w:lvl w:ilvl="1">
      <w:lvlJc w:val="left"/>
      <w:lvlText w:val="(%2)"/>
      <w:numFmt w:val="lowerLetter"/>
      <w:start w:val="1"/>
    </w:lvl>
  </w:abstractNum>
  <w:abstractNum w:abstractNumId="522">
    <w:nsid w:val="D3715DE"/>
    <w:multiLevelType w:val="hybridMultilevel"/>
    <w:lvl w:ilvl="0">
      <w:lvlJc w:val="left"/>
      <w:lvlText w:val="(%1)"/>
      <w:numFmt w:val="lowerLetter"/>
      <w:start w:val="3"/>
    </w:lvl>
    <w:lvl w:ilvl="1">
      <w:lvlJc w:val="left"/>
      <w:lvlText w:val="(%2)"/>
      <w:numFmt w:val="lowerLetter"/>
      <w:start w:val="2"/>
    </w:lvl>
  </w:abstractNum>
  <w:abstractNum w:abstractNumId="523">
    <w:nsid w:val="73509257"/>
    <w:multiLevelType w:val="hybridMultilevel"/>
    <w:lvl w:ilvl="0">
      <w:lvlJc w:val="left"/>
      <w:lvlText w:val="(%1)"/>
      <w:numFmt w:val="lowerLetter"/>
      <w:start w:val="3"/>
    </w:lvl>
    <w:lvl w:ilvl="1">
      <w:lvlJc w:val="left"/>
      <w:lvlText w:val="(%2)"/>
      <w:numFmt w:val="lowerRoman"/>
      <w:start w:val="1"/>
    </w:lvl>
  </w:abstractNum>
  <w:abstractNum w:abstractNumId="524">
    <w:nsid w:val="7013CDB7"/>
    <w:multiLevelType w:val="hybridMultilevel"/>
    <w:lvl w:ilvl="0">
      <w:lvlJc w:val="left"/>
      <w:lvlText w:val="(%1)"/>
      <w:numFmt w:val="lowerLetter"/>
      <w:start w:val="5"/>
    </w:lvl>
  </w:abstractNum>
  <w:abstractNum w:abstractNumId="525">
    <w:nsid w:val="188BFB19"/>
    <w:multiLevelType w:val="hybridMultilevel"/>
    <w:lvl w:ilvl="0">
      <w:lvlJc w:val="left"/>
      <w:lvlText w:val="1"/>
      <w:numFmt w:val="bullet"/>
      <w:start w:val="1"/>
    </w:lvl>
  </w:abstractNum>
  <w:abstractNum w:abstractNumId="526">
    <w:nsid w:val="75F096DF"/>
    <w:multiLevelType w:val="hybridMultilevel"/>
    <w:lvl w:ilvl="0">
      <w:lvlJc w:val="left"/>
      <w:lvlText w:val="(%1)"/>
      <w:numFmt w:val="lowerLetter"/>
      <w:start w:val="1"/>
    </w:lvl>
  </w:abstractNum>
  <w:abstractNum w:abstractNumId="527">
    <w:nsid w:val="76DEE918"/>
    <w:multiLevelType w:val="hybridMultilevel"/>
    <w:lvl w:ilvl="0">
      <w:lvlJc w:val="left"/>
      <w:lvlText w:val="(%1)"/>
      <w:numFmt w:val="lowerLetter"/>
      <w:start w:val="1"/>
    </w:lvl>
  </w:abstractNum>
  <w:abstractNum w:abstractNumId="528">
    <w:nsid w:val="B79D08D"/>
    <w:multiLevelType w:val="hybridMultilevel"/>
    <w:lvl w:ilvl="0">
      <w:lvlJc w:val="left"/>
      <w:lvlText w:val="(%1)"/>
      <w:numFmt w:val="lowerLetter"/>
      <w:start w:val="3"/>
    </w:lvl>
  </w:abstractNum>
  <w:abstractNum w:abstractNumId="529">
    <w:nsid w:val="69141769"/>
    <w:multiLevelType w:val="hybridMultilevel"/>
    <w:lvl w:ilvl="0">
      <w:lvlJc w:val="left"/>
      <w:lvlText w:val="(%1)"/>
      <w:numFmt w:val="lowerLetter"/>
      <w:start w:val="1"/>
    </w:lvl>
  </w:abstractNum>
  <w:abstractNum w:abstractNumId="530">
    <w:nsid w:val="7BF45B8E"/>
    <w:multiLevelType w:val="hybridMultilevel"/>
    <w:lvl w:ilvl="0">
      <w:lvlJc w:val="left"/>
      <w:lvlText w:val="(%1)"/>
      <w:numFmt w:val="lowerRoman"/>
      <w:start w:val="2"/>
    </w:lvl>
  </w:abstractNum>
  <w:abstractNum w:abstractNumId="531">
    <w:nsid w:val="41205269"/>
    <w:multiLevelType w:val="hybridMultilevel"/>
    <w:lvl w:ilvl="0">
      <w:lvlJc w:val="left"/>
      <w:lvlText w:val="(%1)"/>
      <w:numFmt w:val="lowerLetter"/>
      <w:start w:val="1"/>
    </w:lvl>
  </w:abstractNum>
  <w:abstractNum w:abstractNumId="532">
    <w:nsid w:val="9AE0DD"/>
    <w:multiLevelType w:val="hybridMultilevel"/>
    <w:lvl w:ilvl="0">
      <w:lvlJc w:val="left"/>
      <w:lvlText w:val="(%1)"/>
      <w:numFmt w:val="lowerLetter"/>
      <w:start w:val="1"/>
    </w:lvl>
  </w:abstractNum>
  <w:abstractNum w:abstractNumId="533">
    <w:nsid w:val="1818832F"/>
    <w:multiLevelType w:val="hybridMultilevel"/>
    <w:lvl w:ilvl="0">
      <w:lvlJc w:val="left"/>
      <w:lvlText w:val="(%1)"/>
      <w:numFmt w:val="lowerLetter"/>
      <w:start w:val="3"/>
    </w:lvl>
  </w:abstractNum>
  <w:abstractNum w:abstractNumId="534">
    <w:nsid w:val="24C29FD1"/>
    <w:multiLevelType w:val="hybridMultilevel"/>
    <w:lvl w:ilvl="0">
      <w:lvlJc w:val="left"/>
      <w:lvlText w:val="(%1)"/>
      <w:numFmt w:val="lowerLetter"/>
      <w:start w:val="1"/>
    </w:lvl>
  </w:abstractNum>
  <w:abstractNum w:abstractNumId="535">
    <w:nsid w:val="50528108"/>
    <w:multiLevelType w:val="hybridMultilevel"/>
    <w:lvl w:ilvl="0">
      <w:lvlJc w:val="left"/>
      <w:lvlText w:val="(%1)"/>
      <w:numFmt w:val="lowerLetter"/>
      <w:start w:val="1"/>
    </w:lvl>
  </w:abstractNum>
  <w:abstractNum w:abstractNumId="536">
    <w:nsid w:val="21857A57"/>
    <w:multiLevelType w:val="hybridMultilevel"/>
    <w:lvl w:ilvl="0">
      <w:lvlJc w:val="left"/>
      <w:lvlText w:val="(%1)"/>
      <w:numFmt w:val="lowerLetter"/>
      <w:start w:val="1"/>
    </w:lvl>
  </w:abstractNum>
  <w:abstractNum w:abstractNumId="537">
    <w:nsid w:val="5FD4B154"/>
    <w:multiLevelType w:val="hybridMultilevel"/>
    <w:lvl w:ilvl="0">
      <w:lvlJc w:val="left"/>
      <w:lvlText w:val="(%1)"/>
      <w:numFmt w:val="lowerLetter"/>
      <w:start w:val="1"/>
    </w:lvl>
    <w:lvl w:ilvl="1">
      <w:lvlJc w:val="left"/>
      <w:lvlText w:val="(%2)"/>
      <w:numFmt w:val="lowerRoman"/>
      <w:start w:val="1"/>
    </w:lvl>
  </w:abstractNum>
  <w:abstractNum w:abstractNumId="538">
    <w:nsid w:val="4ABE597"/>
    <w:multiLevelType w:val="hybridMultilevel"/>
    <w:lvl w:ilvl="0">
      <w:lvlJc w:val="left"/>
      <w:lvlText w:val="(%1)"/>
      <w:numFmt w:val="lowerLetter"/>
      <w:start w:val="2"/>
    </w:lvl>
  </w:abstractNum>
  <w:abstractNum w:abstractNumId="539">
    <w:nsid w:val="5C64AD75"/>
    <w:multiLevelType w:val="hybridMultilevel"/>
    <w:lvl w:ilvl="0">
      <w:lvlJc w:val="left"/>
      <w:lvlText w:val="(%1)"/>
      <w:numFmt w:val="lowerLetter"/>
      <w:start w:val="3"/>
    </w:lvl>
  </w:abstractNum>
  <w:abstractNum w:abstractNumId="540">
    <w:nsid w:val="2CDD5B3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41">
    <w:nsid w:val="6F9EA0D1"/>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42">
    <w:nsid w:val="247FC4AE"/>
    <w:multiLevelType w:val="hybridMultilevel"/>
    <w:lvl w:ilvl="0">
      <w:lvlJc w:val="left"/>
      <w:lvlText w:val="(%1)"/>
      <w:numFmt w:val="lowerRoman"/>
      <w:start w:val="3"/>
    </w:lvl>
  </w:abstractNum>
  <w:abstractNum w:abstractNumId="543">
    <w:nsid w:val="46C01B05"/>
    <w:multiLevelType w:val="hybridMultilevel"/>
    <w:lvl w:ilvl="0">
      <w:lvlJc w:val="left"/>
      <w:lvlText w:val="(%1)"/>
      <w:numFmt w:val="lowerLetter"/>
      <w:start w:val="1"/>
    </w:lvl>
    <w:lvl w:ilvl="1">
      <w:lvlJc w:val="left"/>
      <w:lvlText w:val="(%2)"/>
      <w:numFmt w:val="lowerRoman"/>
      <w:start w:val="1"/>
    </w:lvl>
  </w:abstractNum>
  <w:abstractNum w:abstractNumId="544">
    <w:nsid w:val="566EC29B"/>
    <w:multiLevelType w:val="hybridMultilevel"/>
    <w:lvl w:ilvl="0">
      <w:lvlJc w:val="left"/>
      <w:lvlText w:val="(%1)"/>
      <w:numFmt w:val="lowerLetter"/>
      <w:start w:val="6"/>
    </w:lvl>
    <w:lvl w:ilvl="1">
      <w:lvlJc w:val="left"/>
      <w:lvlText w:val="(%2)"/>
      <w:numFmt w:val="lowerRoman"/>
      <w:start w:val="1"/>
    </w:lvl>
  </w:abstractNum>
  <w:abstractNum w:abstractNumId="545">
    <w:nsid w:val="7A963843"/>
    <w:multiLevelType w:val="hybridMultilevel"/>
    <w:lvl w:ilvl="0">
      <w:lvlJc w:val="left"/>
      <w:lvlText w:val="(%1)"/>
      <w:numFmt w:val="lowerRoman"/>
      <w:start w:val="3"/>
    </w:lvl>
  </w:abstractNum>
  <w:abstractNum w:abstractNumId="546">
    <w:nsid w:val="4FE12F61"/>
    <w:multiLevelType w:val="hybridMultilevel"/>
    <w:lvl w:ilvl="0">
      <w:lvlJc w:val="left"/>
      <w:lvlText w:val="(%1)"/>
      <w:numFmt w:val="lowerLetter"/>
      <w:start w:val="1"/>
    </w:lvl>
  </w:abstractNum>
  <w:abstractNum w:abstractNumId="547">
    <w:nsid w:val="51A3A284"/>
    <w:multiLevelType w:val="hybridMultilevel"/>
    <w:lvl w:ilvl="0">
      <w:lvlJc w:val="left"/>
      <w:lvlText w:val="(%1)"/>
      <w:numFmt w:val="lowerLetter"/>
      <w:start w:val="4"/>
    </w:lvl>
  </w:abstractNum>
  <w:abstractNum w:abstractNumId="548">
    <w:nsid w:val="376863BC"/>
    <w:multiLevelType w:val="hybridMultilevel"/>
    <w:lvl w:ilvl="0">
      <w:lvlJc w:val="left"/>
      <w:lvlText w:val="(%1)"/>
      <w:numFmt w:val="lowerLetter"/>
      <w:start w:val="1"/>
    </w:lvl>
  </w:abstractNum>
  <w:abstractNum w:abstractNumId="549">
    <w:nsid w:val="118C6C0"/>
    <w:multiLevelType w:val="hybridMultilevel"/>
    <w:lvl w:ilvl="0">
      <w:lvlJc w:val="left"/>
      <w:lvlText w:val="%1"/>
      <w:numFmt w:val="upperLetter"/>
      <w:start w:val="1"/>
    </w:lvl>
    <w:lvl w:ilvl="1">
      <w:lvlJc w:val="left"/>
      <w:lvlText w:val="(%2)"/>
      <w:numFmt w:val="lowerLetter"/>
      <w:start w:val="2"/>
    </w:lvl>
  </w:abstractNum>
  <w:abstractNum w:abstractNumId="550">
    <w:nsid w:val="7F7E4A15"/>
    <w:multiLevelType w:val="hybridMultilevel"/>
    <w:lvl w:ilvl="0">
      <w:lvlJc w:val="left"/>
      <w:lvlText w:val="(%1)"/>
      <w:numFmt w:val="upperLetter"/>
      <w:start w:val="61"/>
    </w:lvl>
    <w:lvl w:ilvl="1">
      <w:lvlJc w:val="left"/>
      <w:lvlText w:val="%2"/>
      <w:numFmt w:val="lowerLetter"/>
      <w:start w:val="1"/>
    </w:lvl>
  </w:abstractNum>
  <w:abstractNum w:abstractNumId="551">
    <w:nsid w:val="2E8E9F47"/>
    <w:multiLevelType w:val="hybridMultilevel"/>
    <w:lvl w:ilvl="0">
      <w:lvlJc w:val="left"/>
      <w:lvlText w:val="(%1)"/>
      <w:numFmt w:val="decimal"/>
      <w:start w:val="1"/>
    </w:lvl>
  </w:abstractNum>
  <w:abstractNum w:abstractNumId="552">
    <w:nsid w:val="767425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jpeg"/><Relationship Id="rId770" Type="http://schemas.openxmlformats.org/officeDocument/2006/relationships/image" Target="media/image763.png"/><Relationship Id="rId771" Type="http://schemas.openxmlformats.org/officeDocument/2006/relationships/image" Target="media/image7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2021-05-28T23:30:31Z</dcterms:created>
  <dcterms:modified xsi:type="dcterms:W3CDTF">2021-05-28T23:30:31Z</dcterms:modified>
</cp:coreProperties>
</file>