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72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880" w:right="1580" w:hanging="3859"/>
        <w:spacing w:after="0" w:line="365" w:lineRule="auto"/>
        <w:tabs>
          <w:tab w:leader="none" w:pos="47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2025</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364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3820160</wp:posOffset>
            </wp:positionH>
            <wp:positionV relativeFrom="paragraph">
              <wp:posOffset>-5080</wp:posOffset>
            </wp:positionV>
            <wp:extent cx="4286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8625" cy="8255"/>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001-39314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TALKSPACE,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9" w:lineRule="exact"/>
        <w:rPr>
          <w:sz w:val="24"/>
          <w:szCs w:val="24"/>
          <w:color w:val="auto"/>
        </w:rPr>
      </w:pPr>
    </w:p>
    <w:p>
      <w:pPr>
        <w:ind w:left="2440"/>
        <w:spacing w:after="0"/>
        <w:tabs>
          <w:tab w:leader="none" w:pos="798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84-4636604</w:t>
      </w:r>
    </w:p>
    <w:p>
      <w:pPr>
        <w:sectPr>
          <w:pgSz w:w="11900" w:h="16838" w:orient="portrait"/>
          <w:cols w:equalWidth="0" w:num="1">
            <w:col w:w="11240"/>
          </w:cols>
          <w:pgMar w:left="320" w:top="882" w:right="339" w:bottom="1440" w:gutter="0" w:footer="0" w:header="0"/>
        </w:sectPr>
      </w:pPr>
    </w:p>
    <w:p>
      <w:pPr>
        <w:spacing w:after="0" w:line="12"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9"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7"/>
          <w:szCs w:val="17"/>
          <w:b w:val="1"/>
          <w:bCs w:val="1"/>
          <w:color w:val="auto"/>
        </w:rPr>
        <w:t>622 Third Avenue, New York, New York</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235" w:lineRule="auto"/>
        <w:rPr>
          <w:sz w:val="20"/>
          <w:szCs w:val="20"/>
          <w:color w:val="auto"/>
        </w:rPr>
      </w:pPr>
      <w:r>
        <w:rPr>
          <w:rFonts w:ascii="Times New Roman" w:cs="Times New Roman" w:eastAsia="Times New Roman" w:hAnsi="Times New Roman"/>
          <w:sz w:val="14"/>
          <w:szCs w:val="14"/>
          <w:b w:val="1"/>
          <w:bCs w:val="1"/>
          <w:color w:val="auto"/>
        </w:rPr>
        <w:t>Identification No.)</w:t>
      </w:r>
    </w:p>
    <w:p>
      <w:pPr>
        <w:ind w:left="340"/>
        <w:spacing w:after="0"/>
        <w:rPr>
          <w:sz w:val="20"/>
          <w:szCs w:val="20"/>
          <w:color w:val="auto"/>
        </w:rPr>
      </w:pPr>
      <w:r>
        <w:rPr>
          <w:rFonts w:ascii="Times New Roman" w:cs="Times New Roman" w:eastAsia="Times New Roman" w:hAnsi="Times New Roman"/>
          <w:sz w:val="18"/>
          <w:szCs w:val="18"/>
          <w:b w:val="1"/>
          <w:bCs w:val="1"/>
          <w:color w:val="auto"/>
        </w:rPr>
        <w:t>10017</w:t>
      </w:r>
    </w:p>
    <w:p>
      <w:pPr>
        <w:spacing w:after="0" w:line="7" w:lineRule="exact"/>
        <w:rPr>
          <w:sz w:val="24"/>
          <w:szCs w:val="24"/>
          <w:color w:val="auto"/>
        </w:rPr>
      </w:pPr>
    </w:p>
    <w:p>
      <w:pPr>
        <w:sectPr>
          <w:pgSz w:w="11900" w:h="16838" w:orient="portrait"/>
          <w:cols w:equalWidth="0" w:num="2">
            <w:col w:w="7140" w:space="720"/>
            <w:col w:w="3380"/>
          </w:cols>
          <w:pgMar w:left="320" w:top="882" w:right="339" w:bottom="1440" w:gutter="0" w:footer="0" w:header="0"/>
          <w:type w:val="continuous"/>
        </w:sectPr>
      </w:pPr>
    </w:p>
    <w:p>
      <w:pPr>
        <w:ind w:left="1620"/>
        <w:spacing w:after="0"/>
        <w:tabs>
          <w:tab w:leader="none" w:pos="8080" w:val="left"/>
        </w:tabs>
        <w:rPr>
          <w:sz w:val="20"/>
          <w:szCs w:val="20"/>
          <w:color w:val="auto"/>
        </w:rPr>
      </w:pPr>
      <w:r>
        <w:rPr>
          <w:rFonts w:ascii="Times New Roman" w:cs="Times New Roman" w:eastAsia="Times New Roman" w:hAnsi="Times New Roman"/>
          <w:sz w:val="14"/>
          <w:szCs w:val="14"/>
          <w:b w:val="1"/>
          <w:bCs w:val="1"/>
          <w:color w:val="auto"/>
        </w:rPr>
        <w:t>(Address of principal executive offices)</w:t>
      </w:r>
      <w:r>
        <w:rPr>
          <w:sz w:val="20"/>
          <w:szCs w:val="20"/>
          <w:color w:val="auto"/>
        </w:rPr>
        <w:tab/>
      </w:r>
      <w:r>
        <w:rPr>
          <w:rFonts w:ascii="Times New Roman" w:cs="Times New Roman" w:eastAsia="Times New Roman" w:hAnsi="Times New Roman"/>
          <w:sz w:val="14"/>
          <w:szCs w:val="14"/>
          <w:b w:val="1"/>
          <w:bCs w:val="1"/>
          <w:color w:val="auto"/>
        </w:rPr>
        <w:t>(Zip Code)</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284-7206</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76"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ind w:left="118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5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80" w:type="dxa"/>
            <w:vAlign w:val="bottom"/>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Common stock, par value $0.0001 per share</w:t>
            </w:r>
          </w:p>
        </w:tc>
        <w:tc>
          <w:tcPr>
            <w:tcW w:w="120" w:type="dxa"/>
            <w:vAlign w:val="bottom"/>
          </w:tcPr>
          <w:p>
            <w:pPr>
              <w:spacing w:after="0"/>
              <w:rPr>
                <w:sz w:val="15"/>
                <w:szCs w:val="15"/>
                <w:color w:val="auto"/>
              </w:rPr>
            </w:pPr>
          </w:p>
        </w:tc>
        <w:tc>
          <w:tcPr>
            <w:tcW w:w="168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TALK</w:t>
            </w:r>
          </w:p>
        </w:tc>
        <w:tc>
          <w:tcPr>
            <w:tcW w:w="120" w:type="dxa"/>
            <w:vAlign w:val="bottom"/>
          </w:tcPr>
          <w:p>
            <w:pPr>
              <w:spacing w:after="0"/>
              <w:rPr>
                <w:sz w:val="15"/>
                <w:szCs w:val="15"/>
                <w:color w:val="auto"/>
              </w:rPr>
            </w:pPr>
          </w:p>
        </w:tc>
        <w:tc>
          <w:tcPr>
            <w:tcW w:w="5040" w:type="dxa"/>
            <w:vAlign w:val="bottom"/>
          </w:tcPr>
          <w:p>
            <w:pPr>
              <w:ind w:left="1720"/>
              <w:spacing w:after="0" w:line="181" w:lineRule="exact"/>
              <w:rPr>
                <w:sz w:val="20"/>
                <w:szCs w:val="20"/>
                <w:color w:val="auto"/>
              </w:rPr>
            </w:pPr>
            <w:r>
              <w:rPr>
                <w:rFonts w:ascii="Times New Roman" w:cs="Times New Roman" w:eastAsia="Times New Roman" w:hAnsi="Times New Roman"/>
                <w:sz w:val="16"/>
                <w:szCs w:val="16"/>
                <w:b w:val="1"/>
                <w:bCs w:val="1"/>
                <w:color w:val="auto"/>
              </w:rPr>
              <w:t>Nasdaq Stock Market</w:t>
            </w:r>
          </w:p>
        </w:tc>
        <w:tc>
          <w:tcPr>
            <w:tcW w:w="0" w:type="dxa"/>
            <w:vAlign w:val="bottom"/>
          </w:tcPr>
          <w:p>
            <w:pPr>
              <w:spacing w:after="0"/>
              <w:rPr>
                <w:sz w:val="1"/>
                <w:szCs w:val="1"/>
                <w:color w:val="auto"/>
              </w:rPr>
            </w:pPr>
          </w:p>
        </w:tc>
      </w:tr>
      <w:tr>
        <w:trPr>
          <w:trHeight w:val="212"/>
        </w:trPr>
        <w:tc>
          <w:tcPr>
            <w:tcW w:w="4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Warrants to purchase common stock</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TALKW</w:t>
            </w:r>
          </w:p>
        </w:tc>
        <w:tc>
          <w:tcPr>
            <w:tcW w:w="120" w:type="dxa"/>
            <w:vAlign w:val="bottom"/>
          </w:tcPr>
          <w:p>
            <w:pPr>
              <w:spacing w:after="0"/>
              <w:rPr>
                <w:sz w:val="18"/>
                <w:szCs w:val="18"/>
                <w:color w:val="auto"/>
              </w:rPr>
            </w:pPr>
          </w:p>
        </w:tc>
        <w:tc>
          <w:tcPr>
            <w:tcW w:w="5040" w:type="dxa"/>
            <w:vAlign w:val="bottom"/>
          </w:tcPr>
          <w:p>
            <w:pPr>
              <w:ind w:left="1720"/>
              <w:spacing w:after="0"/>
              <w:rPr>
                <w:sz w:val="20"/>
                <w:szCs w:val="20"/>
                <w:color w:val="auto"/>
              </w:rPr>
            </w:pPr>
            <w:r>
              <w:rPr>
                <w:rFonts w:ascii="Times New Roman" w:cs="Times New Roman" w:eastAsia="Times New Roman" w:hAnsi="Times New Roman"/>
                <w:sz w:val="16"/>
                <w:szCs w:val="16"/>
                <w:b w:val="1"/>
                <w:bCs w:val="1"/>
                <w:color w:val="auto"/>
              </w:rPr>
              <w:t>Nasdaq Stock Market</w:t>
            </w:r>
          </w:p>
        </w:tc>
        <w:tc>
          <w:tcPr>
            <w:tcW w:w="0" w:type="dxa"/>
            <w:vAlign w:val="bottom"/>
          </w:tcPr>
          <w:p>
            <w:pPr>
              <w:spacing w:after="0"/>
              <w:rPr>
                <w:sz w:val="1"/>
                <w:szCs w:val="1"/>
                <w:color w:val="auto"/>
              </w:rPr>
            </w:pPr>
          </w:p>
        </w:tc>
      </w:tr>
    </w:tbl>
    <w:p>
      <w:pPr>
        <w:spacing w:after="0" w:line="100" w:lineRule="exact"/>
        <w:rPr>
          <w:sz w:val="24"/>
          <w:szCs w:val="24"/>
          <w:color w:val="auto"/>
        </w:rPr>
      </w:pPr>
    </w:p>
    <w:p>
      <w:pPr>
        <w:jc w:val="both"/>
        <w:ind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9" w:lineRule="exact"/>
        <w:rPr>
          <w:sz w:val="24"/>
          <w:szCs w:val="24"/>
          <w:color w:val="auto"/>
        </w:rPr>
      </w:pPr>
    </w:p>
    <w:p>
      <w:pPr>
        <w:ind w:right="1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right="12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20" w:type="dxa"/>
            <w:vAlign w:val="bottom"/>
          </w:tcPr>
          <w:p>
            <w:pPr>
              <w:ind w:left="302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20" w:type="dxa"/>
            <w:vAlign w:val="bottom"/>
          </w:tcPr>
          <w:p>
            <w:pPr>
              <w:ind w:left="30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20" w:type="dxa"/>
            <w:vAlign w:val="bottom"/>
          </w:tcPr>
          <w:p>
            <w:pPr>
              <w:spacing w:after="0"/>
              <w:rPr>
                <w:sz w:val="23"/>
                <w:szCs w:val="23"/>
                <w:color w:val="auto"/>
              </w:rPr>
            </w:pPr>
          </w:p>
        </w:tc>
        <w:tc>
          <w:tcPr>
            <w:tcW w:w="460" w:type="dxa"/>
            <w:vAlign w:val="bottom"/>
          </w:tcPr>
          <w:p>
            <w:pPr>
              <w:spacing w:after="0"/>
              <w:rPr>
                <w:sz w:val="23"/>
                <w:szCs w:val="23"/>
                <w:color w:val="auto"/>
              </w:rPr>
            </w:pPr>
          </w:p>
        </w:tc>
      </w:tr>
    </w:tbl>
    <w:p>
      <w:pPr>
        <w:spacing w:after="0" w:line="47" w:lineRule="exact"/>
        <w:rPr>
          <w:sz w:val="24"/>
          <w:szCs w:val="24"/>
          <w:color w:val="auto"/>
        </w:rPr>
      </w:pPr>
    </w:p>
    <w:p>
      <w:pPr>
        <w:ind w:right="48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600"/>
        <w:spacing w:after="0" w:line="184" w:lineRule="exact"/>
        <w:tabs>
          <w:tab w:leader="none" w:pos="814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68"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As of August 6, 2025, the registrant had 167,467,122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942340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191770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7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91"/>
        </w:trPr>
        <w:tc>
          <w:tcPr>
            <w:tcW w:w="1160" w:type="dxa"/>
            <w:vAlign w:val="bottom"/>
            <w:gridSpan w:val="2"/>
            <w:vMerge w:val="continue"/>
          </w:tcPr>
          <w:p>
            <w:pPr>
              <w:spacing w:after="0"/>
              <w:rPr>
                <w:sz w:val="16"/>
                <w:szCs w:val="16"/>
                <w:color w:val="auto"/>
              </w:rPr>
            </w:pPr>
          </w:p>
        </w:tc>
        <w:tc>
          <w:tcPr>
            <w:tcW w:w="9300" w:type="dxa"/>
            <w:vAlign w:val="bottom"/>
            <w:gridSpan w:val="16"/>
            <w:vMerge w:val="continue"/>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1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6"/>
          </w:tcPr>
          <w:p>
            <w:pPr>
              <w:spacing w:after="0" w:line="194"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 as of June 30, 2025 (unaudited) and December 31, 2024</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 (unaudited) for the three and six months ended June 30, 2025 and 2024</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Comprehensive Loss (unaudited) for the three and six months ended June 30, 2025 and</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4"/>
              </w:rPr>
              <w:t>2024</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 (unaudited) for the three and six months ended June 30, 2025 and</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4"/>
              </w:rPr>
              <w:t>2024</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 (unaudited) for the six months ended June 30, 2025 and 2024</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960" w:type="dxa"/>
            <w:vAlign w:val="bottom"/>
            <w:tcBorders>
              <w:left w:val="single" w:sz="8" w:color="0000FF"/>
            </w:tcBorders>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96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160" w:type="dxa"/>
            <w:vAlign w:val="bottom"/>
            <w:gridSpan w:val="2"/>
            <w:vMerge w:val="continue"/>
          </w:tcPr>
          <w:p>
            <w:pPr>
              <w:spacing w:after="0"/>
              <w:rPr>
                <w:sz w:val="18"/>
                <w:szCs w:val="18"/>
                <w:color w:val="auto"/>
              </w:rPr>
            </w:pPr>
          </w:p>
        </w:tc>
        <w:tc>
          <w:tcPr>
            <w:tcW w:w="930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1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6"/>
          </w:tcPr>
          <w:p>
            <w:pPr>
              <w:spacing w:after="0" w:line="194"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96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96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96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2"/>
            <w:shd w:val="clear" w:color="auto" w:fill="0000FF"/>
          </w:tcPr>
          <w:p>
            <w:pPr>
              <w:spacing w:after="0" w:line="20" w:lineRule="exact"/>
              <w:rPr>
                <w:sz w:val="1"/>
                <w:szCs w:val="1"/>
                <w:color w:val="auto"/>
              </w:rPr>
            </w:pPr>
          </w:p>
        </w:tc>
        <w:tc>
          <w:tcPr>
            <w:tcW w:w="698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4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0" w:type="dxa"/>
            <w:vAlign w:val="bottom"/>
            <w:gridSpan w:val="1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20" w:type="dxa"/>
            <w:vAlign w:val="bottom"/>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TALKSPACE,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40" w:type="dxa"/>
            <w:vAlign w:val="bottom"/>
            <w:gridSpan w:val="7"/>
            <w:vMerge w:val="restart"/>
          </w:tcPr>
          <w:p>
            <w:pPr>
              <w:spacing w:after="0"/>
              <w:rPr>
                <w:sz w:val="20"/>
                <w:szCs w:val="20"/>
                <w:color w:val="auto"/>
              </w:rPr>
            </w:pPr>
            <w:r>
              <w:rPr>
                <w:rFonts w:ascii="Times New Roman" w:cs="Times New Roman" w:eastAsia="Times New Roman" w:hAnsi="Times New Roman"/>
                <w:sz w:val="16"/>
                <w:szCs w:val="16"/>
                <w:i w:val="1"/>
                <w:iCs w:val="1"/>
                <w:color w:val="auto"/>
              </w:rPr>
              <w:t>(U.S. dollars in thousands, except share and per share data)</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640" w:type="dxa"/>
            <w:vAlign w:val="bottom"/>
            <w:gridSpan w:val="7"/>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40" w:type="dxa"/>
            <w:vAlign w:val="bottom"/>
            <w:gridSpan w:val="7"/>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7"/>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54,342</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48,427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7"/>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15,422</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40" w:type="dxa"/>
            <w:vAlign w:val="bottom"/>
            <w:gridSpan w:val="7"/>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8"/>
                <w:szCs w:val="18"/>
                <w:color w:val="auto"/>
              </w:rPr>
              <w:t>120,667</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8"/>
                <w:szCs w:val="18"/>
                <w:color w:val="auto"/>
              </w:rPr>
              <w:t>130,182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Fixed assets, net</w:t>
            </w:r>
          </w:p>
        </w:tc>
        <w:tc>
          <w:tcPr>
            <w:tcW w:w="6240" w:type="dxa"/>
            <w:vAlign w:val="bottom"/>
            <w:tcBorders>
              <w:top w:val="single" w:sz="8" w:color="CFF0FC"/>
            </w:tcBorders>
            <w:gridSpan w:val="4"/>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10,136</w:t>
            </w:r>
          </w:p>
        </w:tc>
        <w:tc>
          <w:tcPr>
            <w:tcW w:w="3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6,259</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Borders>
              <w:bottom w:val="single" w:sz="8" w:color="CFF0FC"/>
            </w:tcBorders>
            <w:gridSpan w:val="7"/>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7640" w:type="dxa"/>
            <w:vAlign w:val="bottom"/>
            <w:gridSpan w:val="7"/>
          </w:tcPr>
          <w:p>
            <w:pPr>
              <w:spacing w:after="0" w:line="182" w:lineRule="exact"/>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gridSpan w:val="2"/>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132,786</w:t>
            </w:r>
          </w:p>
        </w:tc>
        <w:tc>
          <w:tcPr>
            <w:tcW w:w="300" w:type="dxa"/>
            <w:vAlign w:val="bottom"/>
          </w:tcPr>
          <w:p>
            <w:pPr>
              <w:spacing w:after="0"/>
              <w:rPr>
                <w:sz w:val="15"/>
                <w:szCs w:val="15"/>
                <w:color w:val="auto"/>
              </w:rPr>
            </w:pPr>
          </w:p>
        </w:tc>
        <w:tc>
          <w:tcPr>
            <w:tcW w:w="12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138,677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40" w:type="dxa"/>
            <w:vAlign w:val="bottom"/>
            <w:gridSpan w:val="7"/>
            <w:shd w:val="clear" w:color="auto" w:fill="CFF0FC"/>
          </w:tcPr>
          <w:p>
            <w:pPr>
              <w:spacing w:after="0" w:line="183" w:lineRule="exact"/>
              <w:rPr>
                <w:sz w:val="20"/>
                <w:szCs w:val="20"/>
                <w:color w:val="auto"/>
              </w:rPr>
            </w:pPr>
            <w:r>
              <w:rPr>
                <w:rFonts w:ascii="Times New Roman" w:cs="Times New Roman" w:eastAsia="Times New Roman" w:hAnsi="Times New Roman"/>
                <w:sz w:val="18"/>
                <w:szCs w:val="18"/>
                <w:color w:val="auto"/>
              </w:rPr>
              <w:t>LIABILITIES AND STOCKHOLDERS’ EQUITY</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6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7"/>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8,618</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Borders>
              <w:bottom w:val="single" w:sz="8" w:color="CFF0FC"/>
            </w:tcBorders>
            <w:gridSpan w:val="7"/>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2,866</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640" w:type="dxa"/>
            <w:vAlign w:val="bottom"/>
            <w:gridSpan w:val="7"/>
          </w:tcPr>
          <w:p>
            <w:pPr>
              <w:spacing w:after="0" w:line="169" w:lineRule="exact"/>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18,540</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19,023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8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7640" w:type="dxa"/>
            <w:vAlign w:val="bottom"/>
            <w:gridSpan w:val="7"/>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7640" w:type="dxa"/>
            <w:vAlign w:val="bottom"/>
            <w:gridSpan w:val="7"/>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8"/>
                <w:szCs w:val="18"/>
                <w:color w:val="auto"/>
              </w:rPr>
              <w:t>19,845</w:t>
            </w: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8"/>
                <w:szCs w:val="18"/>
                <w:color w:val="auto"/>
              </w:rPr>
              <w:t>21,282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auto"/>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47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000000"/>
          </w:tcPr>
          <w:p>
            <w:pPr>
              <w:spacing w:after="0" w:line="20" w:lineRule="exact"/>
              <w:rPr>
                <w:sz w:val="1"/>
                <w:szCs w:val="1"/>
                <w:color w:val="auto"/>
              </w:rPr>
            </w:pPr>
          </w:p>
        </w:tc>
        <w:tc>
          <w:tcPr>
            <w:tcW w:w="1340" w:type="dxa"/>
            <w:vAlign w:val="bottom"/>
            <w:tcBorders>
              <w:top w:val="single" w:sz="8" w:color="CFF0FC"/>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000000"/>
          </w:tcPr>
          <w:p>
            <w:pPr>
              <w:spacing w:after="0" w:line="20" w:lineRule="exact"/>
              <w:rPr>
                <w:sz w:val="1"/>
                <w:szCs w:val="1"/>
                <w:color w:val="auto"/>
              </w:rPr>
            </w:pPr>
          </w:p>
        </w:tc>
        <w:tc>
          <w:tcPr>
            <w:tcW w:w="1420" w:type="dxa"/>
            <w:vAlign w:val="bottom"/>
            <w:tcBorders>
              <w:top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7"/>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640" w:type="dxa"/>
            <w:vAlign w:val="bottom"/>
            <w:gridSpan w:val="7"/>
          </w:tcPr>
          <w:p>
            <w:pPr>
              <w:spacing w:after="0" w:line="198" w:lineRule="exact"/>
              <w:rPr>
                <w:sz w:val="20"/>
                <w:szCs w:val="20"/>
                <w:color w:val="auto"/>
              </w:rPr>
            </w:pPr>
            <w:r>
              <w:rPr>
                <w:rFonts w:ascii="Times New Roman" w:cs="Times New Roman" w:eastAsia="Times New Roman" w:hAnsi="Times New Roman"/>
                <w:sz w:val="18"/>
                <w:szCs w:val="18"/>
                <w:color w:val="auto"/>
              </w:rPr>
              <w:t>Common stock of $0.0001 par value per share:</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Shares authorized: 1,000,000,000 as of June 30, 2025 (unaudited) and December 31, 2024; shares issued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and outstanding: 167,944,188 and 168,849,591 as of June 30, 2025 (unaudited) and December 31, 2024,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respectively.</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40" w:type="dxa"/>
            <w:vAlign w:val="bottom"/>
            <w:gridSpan w:val="7"/>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382,364</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386,612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(269,459)</w:t>
            </w:r>
          </w:p>
        </w:tc>
        <w:tc>
          <w:tcPr>
            <w:tcW w:w="1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(269,236)</w:t>
            </w:r>
          </w:p>
        </w:tc>
        <w:tc>
          <w:tcPr>
            <w:tcW w:w="0" w:type="dxa"/>
            <w:vAlign w:val="bottom"/>
          </w:tcPr>
          <w:p>
            <w:pPr>
              <w:spacing w:after="0"/>
              <w:rPr>
                <w:sz w:val="1"/>
                <w:szCs w:val="1"/>
                <w:color w:val="auto"/>
              </w:rPr>
            </w:pPr>
          </w:p>
        </w:tc>
      </w:tr>
      <w:tr>
        <w:trPr>
          <w:trHeight w:val="216"/>
        </w:trPr>
        <w:tc>
          <w:tcPr>
            <w:tcW w:w="7640" w:type="dxa"/>
            <w:vAlign w:val="bottom"/>
            <w:tcBorders>
              <w:bottom w:val="single" w:sz="8" w:color="CFF0FC"/>
            </w:tcBorders>
            <w:gridSpan w:val="7"/>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640" w:type="dxa"/>
            <w:vAlign w:val="bottom"/>
            <w:gridSpan w:val="7"/>
          </w:tcPr>
          <w:p>
            <w:pPr>
              <w:spacing w:after="0" w:line="169" w:lineRule="exact"/>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112,941</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117,395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2920" w:type="dxa"/>
            <w:vAlign w:val="bottom"/>
            <w:tcBorders>
              <w:bottom w:val="single" w:sz="8" w:color="auto"/>
            </w:tcBorders>
            <w:gridSpan w:val="6"/>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w w:val="99"/>
              </w:rPr>
              <w:t>Total liabilities and stockholders’ equity</w:t>
            </w:r>
          </w:p>
        </w:tc>
        <w:tc>
          <w:tcPr>
            <w:tcW w:w="47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132,786</w:t>
            </w:r>
          </w:p>
        </w:tc>
        <w:tc>
          <w:tcPr>
            <w:tcW w:w="3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138,677</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-3274060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-3274060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-2990850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-2990850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-2134235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-2134235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-1559560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-316865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TALKSPACE,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60" w:type="dxa"/>
            <w:vAlign w:val="bottom"/>
            <w:gridSpan w:val="5"/>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66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(U.S. dollars in thousands, except share and per share data)</w:t>
            </w:r>
          </w:p>
        </w:tc>
        <w:tc>
          <w:tcPr>
            <w:tcW w:w="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6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54,310</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46,058</w:t>
            </w:r>
          </w:p>
        </w:tc>
        <w:tc>
          <w:tcPr>
            <w:tcW w:w="16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106,492</w:t>
            </w: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91,474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Costs and operating expenses: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6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Cost of revenue, excluding depreciation</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and amortization</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30,917</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24,996</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59,706</w:t>
            </w:r>
          </w:p>
        </w:tc>
        <w:tc>
          <w:tcPr>
            <w:tcW w:w="2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48,569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5,403</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Clinical operations, net</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3,777</w:t>
            </w: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28,178</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5,728</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10,935</w:t>
            </w: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12,535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2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costs and operating expenses</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56,100</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49,544</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109,367</w:t>
            </w:r>
          </w:p>
        </w:tc>
        <w:tc>
          <w:tcPr>
            <w:tcW w:w="26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96,639</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(1,790)</w:t>
            </w:r>
          </w:p>
        </w:tc>
        <w:tc>
          <w:tcPr>
            <w:tcW w:w="2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(2,875)</w:t>
            </w:r>
          </w:p>
        </w:tc>
        <w:tc>
          <w:tcPr>
            <w:tcW w:w="4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(5,165)</w:t>
            </w: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income, net</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(1,325)</w:t>
            </w:r>
          </w:p>
        </w:tc>
        <w:tc>
          <w:tcPr>
            <w:tcW w:w="2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(3,044)</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(2,851)</w:t>
            </w:r>
          </w:p>
        </w:tc>
        <w:tc>
          <w:tcPr>
            <w:tcW w:w="4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(3,422)</w:t>
            </w:r>
          </w:p>
        </w:tc>
        <w:tc>
          <w:tcPr>
            <w:tcW w:w="0" w:type="dxa"/>
            <w:vAlign w:val="bottom"/>
          </w:tcPr>
          <w:p>
            <w:pPr>
              <w:spacing w:after="0"/>
              <w:rPr>
                <w:sz w:val="1"/>
                <w:szCs w:val="1"/>
                <w:color w:val="auto"/>
              </w:rPr>
            </w:pPr>
          </w:p>
        </w:tc>
      </w:tr>
      <w:tr>
        <w:trPr>
          <w:trHeight w:val="20"/>
        </w:trPr>
        <w:tc>
          <w:tcPr>
            <w:tcW w:w="466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Loss before taxes on income</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(465)</w:t>
            </w:r>
          </w:p>
        </w:tc>
        <w:tc>
          <w:tcPr>
            <w:tcW w:w="2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w:t>
            </w:r>
          </w:p>
        </w:tc>
        <w:tc>
          <w:tcPr>
            <w:tcW w:w="4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(1,743)</w:t>
            </w:r>
          </w:p>
        </w:tc>
        <w:tc>
          <w:tcPr>
            <w:tcW w:w="0" w:type="dxa"/>
            <w:vAlign w:val="bottom"/>
          </w:tcPr>
          <w:p>
            <w:pPr>
              <w:spacing w:after="0"/>
              <w:rPr>
                <w:sz w:val="1"/>
                <w:szCs w:val="1"/>
                <w:color w:val="auto"/>
              </w:rPr>
            </w:pPr>
          </w:p>
        </w:tc>
      </w:tr>
      <w:tr>
        <w:trPr>
          <w:trHeight w:val="216"/>
        </w:trPr>
        <w:tc>
          <w:tcPr>
            <w:tcW w:w="4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6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(474)</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(223)</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(1,940)</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Basic and Diluted</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(0.00)</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(0.00)</w:t>
            </w:r>
          </w:p>
        </w:tc>
        <w:tc>
          <w:tcPr>
            <w:tcW w:w="440" w:type="dxa"/>
            <w:vAlign w:val="bottom"/>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used to compute net loss per share:</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Basic and Diluted</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167,532,721</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169,148,522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168,098,647</w:t>
            </w: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168,997,734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-1422400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-1422400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-1422400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-1422400</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-1139190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-1139190</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-1139190</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-1139190</wp:posOffset>
            </wp:positionV>
            <wp:extent cx="774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-856615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-856615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-856615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-856615</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TALKSPACE,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478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(U.S. dollars in thousands)</w:t>
            </w: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7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(541)</w:t>
            </w: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(474)</w:t>
            </w: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(223)</w:t>
            </w:r>
          </w:p>
        </w:tc>
        <w:tc>
          <w:tcPr>
            <w:tcW w:w="480" w:type="dxa"/>
            <w:vAlign w:val="bottom"/>
            <w:shd w:val="clear" w:color="auto" w:fill="CFF0FC"/>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(1,940)</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 in unrealized gain (loss) on marketable debt securities</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5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5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(549)</w:t>
            </w: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(474)</w:t>
            </w: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(206)</w:t>
            </w:r>
          </w:p>
        </w:tc>
        <w:tc>
          <w:tcPr>
            <w:tcW w:w="480" w:type="dxa"/>
            <w:vAlign w:val="bottom"/>
            <w:shd w:val="clear" w:color="auto" w:fill="CFF0FC"/>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(1,940)</w:t>
            </w:r>
          </w:p>
        </w:tc>
        <w:tc>
          <w:tcPr>
            <w:tcW w:w="0" w:type="dxa"/>
            <w:vAlign w:val="bottom"/>
          </w:tcPr>
          <w:p>
            <w:pPr>
              <w:spacing w:after="0"/>
              <w:rPr>
                <w:sz w:val="1"/>
                <w:szCs w:val="1"/>
                <w:color w:val="auto"/>
              </w:rPr>
            </w:pPr>
          </w:p>
        </w:tc>
      </w:tr>
      <w:tr>
        <w:trPr>
          <w:trHeight w:val="20"/>
        </w:trPr>
        <w:tc>
          <w:tcPr>
            <w:tcW w:w="47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-316230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-316230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-316230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-316230</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-25400</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-7620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-25400</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-25400</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TALKSPACE, INC.</w:t>
      </w:r>
    </w:p>
    <w:p>
      <w:pPr>
        <w:spacing w:after="0" w:line="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(U.S. dollars in thousands, except share data)</w:t>
            </w:r>
          </w:p>
        </w:tc>
        <w:tc>
          <w:tcPr>
            <w:tcW w:w="2080" w:type="dxa"/>
            <w:vAlign w:val="bottom"/>
            <w:tcBorders>
              <w:bottom w:val="single" w:sz="8" w:color="auto"/>
            </w:tcBorders>
            <w:gridSpan w:val="3"/>
          </w:tcPr>
          <w:p>
            <w:pPr>
              <w:jc w:val="right"/>
              <w:ind w:right="486"/>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7"/>
              </w:rPr>
              <w:t>Accumulated other</w:t>
            </w: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23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2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3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6"/>
              </w:rPr>
              <w:t>Three and Six Months Ended June 30, 2025</w:t>
            </w:r>
          </w:p>
        </w:tc>
        <w:tc>
          <w:tcPr>
            <w:tcW w:w="1500" w:type="dxa"/>
            <w:vAlign w:val="bottom"/>
            <w:vMerge w:val="restart"/>
          </w:tcPr>
          <w:p>
            <w:pPr>
              <w:spacing w:after="0"/>
              <w:rPr>
                <w:sz w:val="10"/>
                <w:szCs w:val="10"/>
                <w:color w:val="auto"/>
              </w:rPr>
            </w:pPr>
          </w:p>
        </w:tc>
        <w:tc>
          <w:tcPr>
            <w:tcW w:w="13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Number of Shares</w:t>
            </w: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3"/>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Additional paid-in</w:t>
            </w:r>
          </w:p>
        </w:tc>
        <w:tc>
          <w:tcPr>
            <w:tcW w:w="100" w:type="dxa"/>
            <w:vAlign w:val="bottom"/>
          </w:tcPr>
          <w:p>
            <w:pPr>
              <w:spacing w:after="0"/>
              <w:rPr>
                <w:sz w:val="10"/>
                <w:szCs w:val="10"/>
                <w:color w:val="auto"/>
              </w:rPr>
            </w:pPr>
          </w:p>
        </w:tc>
        <w:tc>
          <w:tcPr>
            <w:tcW w:w="1120" w:type="dxa"/>
            <w:vAlign w:val="bottom"/>
            <w:gridSpan w:val="2"/>
          </w:tcPr>
          <w:p>
            <w:pPr>
              <w:jc w:val="center"/>
              <w:ind w:right="360"/>
              <w:spacing w:after="0" w:line="122" w:lineRule="exact"/>
              <w:rPr>
                <w:sz w:val="20"/>
                <w:szCs w:val="20"/>
                <w:color w:val="auto"/>
              </w:rPr>
            </w:pPr>
            <w:r>
              <w:rPr>
                <w:rFonts w:ascii="Times New Roman" w:cs="Times New Roman" w:eastAsia="Times New Roman" w:hAnsi="Times New Roman"/>
                <w:sz w:val="11"/>
                <w:szCs w:val="11"/>
                <w:b w:val="1"/>
                <w:bCs w:val="1"/>
                <w:color w:val="auto"/>
                <w:w w:val="96"/>
              </w:rPr>
              <w:t>comprehensive</w:t>
            </w:r>
          </w:p>
        </w:tc>
        <w:tc>
          <w:tcPr>
            <w:tcW w:w="160" w:type="dxa"/>
            <w:vAlign w:val="bottom"/>
          </w:tcPr>
          <w:p>
            <w:pPr>
              <w:spacing w:after="0"/>
              <w:rPr>
                <w:sz w:val="10"/>
                <w:szCs w:val="10"/>
                <w:color w:val="auto"/>
              </w:rPr>
            </w:pPr>
          </w:p>
        </w:tc>
        <w:tc>
          <w:tcPr>
            <w:tcW w:w="106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1"/>
                <w:szCs w:val="11"/>
                <w:b w:val="1"/>
                <w:bCs w:val="1"/>
                <w:color w:val="auto"/>
                <w:w w:val="96"/>
              </w:rPr>
              <w:t>Accumulated</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360" w:type="dxa"/>
            <w:vAlign w:val="bottom"/>
            <w:tcBorders>
              <w:bottom w:val="single" w:sz="8" w:color="auto"/>
            </w:tcBorders>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Outstanding</w:t>
            </w:r>
          </w:p>
        </w:tc>
        <w:tc>
          <w:tcPr>
            <w:tcW w:w="220" w:type="dxa"/>
            <w:vAlign w:val="bottom"/>
          </w:tcPr>
          <w:p>
            <w:pPr>
              <w:spacing w:after="0"/>
              <w:rPr>
                <w:sz w:val="11"/>
                <w:szCs w:val="1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1"/>
                <w:szCs w:val="11"/>
                <w:b w:val="1"/>
                <w:bCs w:val="1"/>
                <w:color w:val="auto"/>
                <w:w w:val="95"/>
              </w:rPr>
              <w:t>income</w:t>
            </w: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1"/>
                <w:szCs w:val="11"/>
                <w:b w:val="1"/>
                <w:bCs w:val="1"/>
                <w:color w:val="auto"/>
                <w:w w:val="95"/>
              </w:rPr>
              <w:t>deficit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3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as of December 31, 2024</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168,849,591</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586"/>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42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386,612</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(269,236)</w:t>
            </w: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117,395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1,010,942</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Restricted stock units vested, net of tax</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515,033</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(571)</w:t>
            </w:r>
          </w:p>
        </w:tc>
        <w:tc>
          <w:tcPr>
            <w:tcW w:w="1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(571)</w:t>
            </w:r>
          </w:p>
        </w:tc>
        <w:tc>
          <w:tcPr>
            <w:tcW w:w="0" w:type="dxa"/>
            <w:vAlign w:val="bottom"/>
          </w:tcPr>
          <w:p>
            <w:pPr>
              <w:spacing w:after="0"/>
              <w:rPr>
                <w:sz w:val="1"/>
                <w:szCs w:val="1"/>
                <w:color w:val="auto"/>
              </w:rPr>
            </w:pPr>
          </w:p>
        </w:tc>
      </w:tr>
      <w:tr>
        <w:trPr>
          <w:trHeight w:val="203"/>
        </w:trPr>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Repurchase of common stock for retirement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(2,519,170)</w:t>
            </w:r>
          </w:p>
        </w:tc>
        <w:tc>
          <w:tcPr>
            <w:tcW w:w="7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(6,975)</w:t>
            </w:r>
          </w:p>
        </w:tc>
        <w:tc>
          <w:tcPr>
            <w:tcW w:w="10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(6,975)</w:t>
            </w:r>
          </w:p>
        </w:tc>
        <w:tc>
          <w:tcPr>
            <w:tcW w:w="0" w:type="dxa"/>
            <w:vAlign w:val="bottom"/>
          </w:tcPr>
          <w:p>
            <w:pPr>
              <w:spacing w:after="0"/>
              <w:rPr>
                <w:sz w:val="1"/>
                <w:szCs w:val="1"/>
                <w:color w:val="auto"/>
              </w:rPr>
            </w:pPr>
          </w:p>
        </w:tc>
      </w:tr>
      <w:tr>
        <w:trPr>
          <w:trHeight w:val="203"/>
        </w:trPr>
        <w:tc>
          <w:tcPr>
            <w:tcW w:w="3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3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Balance as of March 31, 2025 (unaudited)</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167,856,396</w:t>
            </w:r>
          </w:p>
        </w:tc>
        <w:tc>
          <w:tcPr>
            <w:tcW w:w="220" w:type="dxa"/>
            <w:vAlign w:val="bottom"/>
          </w:tcPr>
          <w:p>
            <w:pPr>
              <w:spacing w:after="0"/>
              <w:rPr>
                <w:sz w:val="17"/>
                <w:szCs w:val="17"/>
                <w:color w:val="auto"/>
              </w:rPr>
            </w:pPr>
          </w:p>
        </w:tc>
        <w:tc>
          <w:tcPr>
            <w:tcW w:w="740" w:type="dxa"/>
            <w:vAlign w:val="bottom"/>
          </w:tcPr>
          <w:p>
            <w:pPr>
              <w:jc w:val="right"/>
              <w:ind w:right="586"/>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382,292</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(268,918)</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113,418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28,602</w:t>
            </w:r>
          </w:p>
        </w:tc>
        <w:tc>
          <w:tcPr>
            <w:tcW w:w="220" w:type="dxa"/>
            <w:vAlign w:val="bottom"/>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Restricted stock units vested, net of tax</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600,458</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(1,126)</w:t>
            </w:r>
          </w:p>
        </w:tc>
        <w:tc>
          <w:tcPr>
            <w:tcW w:w="10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(1,126)</w:t>
            </w:r>
          </w:p>
        </w:tc>
        <w:tc>
          <w:tcPr>
            <w:tcW w:w="0" w:type="dxa"/>
            <w:vAlign w:val="bottom"/>
          </w:tcPr>
          <w:p>
            <w:pPr>
              <w:spacing w:after="0"/>
              <w:rPr>
                <w:sz w:val="1"/>
                <w:szCs w:val="1"/>
                <w:color w:val="auto"/>
              </w:rPr>
            </w:pPr>
          </w:p>
        </w:tc>
      </w:tr>
      <w:tr>
        <w:trPr>
          <w:trHeight w:val="203"/>
        </w:trPr>
        <w:tc>
          <w:tcPr>
            <w:tcW w:w="3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Repurchase of common stock for retirement</w:t>
            </w: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(541,268)</w:t>
            </w:r>
          </w:p>
        </w:tc>
        <w:tc>
          <w:tcPr>
            <w:tcW w:w="74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(1,429)</w:t>
            </w:r>
          </w:p>
        </w:tc>
        <w:tc>
          <w:tcPr>
            <w:tcW w:w="1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(1,429)</w:t>
            </w:r>
          </w:p>
        </w:tc>
        <w:tc>
          <w:tcPr>
            <w:tcW w:w="0" w:type="dxa"/>
            <w:vAlign w:val="bottom"/>
          </w:tcPr>
          <w:p>
            <w:pPr>
              <w:spacing w:after="0"/>
              <w:rPr>
                <w:sz w:val="1"/>
                <w:szCs w:val="1"/>
                <w:color w:val="auto"/>
              </w:rPr>
            </w:pPr>
          </w:p>
        </w:tc>
      </w:tr>
      <w:tr>
        <w:trPr>
          <w:trHeight w:val="203"/>
        </w:trPr>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w:t>
            </w:r>
          </w:p>
        </w:tc>
        <w:tc>
          <w:tcPr>
            <w:tcW w:w="16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3"/>
        </w:trPr>
        <w:tc>
          <w:tcPr>
            <w:tcW w:w="3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3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2,578</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loss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(541)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(541)</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as of June 30, 2025 (unaudited)</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167,944,188</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586"/>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382,364</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(269,459)</w:t>
            </w: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112,941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60" w:type="dxa"/>
            <w:vAlign w:val="bottom"/>
            <w:tcBorders>
              <w:top w:val="single" w:sz="8" w:color="CFF0FC"/>
            </w:tcBorders>
            <w:shd w:val="clear" w:color="auto" w:fill="CFF0FC"/>
          </w:tcPr>
          <w:p>
            <w:pPr>
              <w:spacing w:after="0" w:line="20" w:lineRule="exact"/>
              <w:rPr>
                <w:sz w:val="1"/>
                <w:szCs w:val="1"/>
                <w:color w:val="auto"/>
              </w:rPr>
            </w:pPr>
          </w:p>
        </w:tc>
        <w:tc>
          <w:tcPr>
            <w:tcW w:w="150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80" w:type="dxa"/>
            <w:vAlign w:val="bottom"/>
            <w:tcBorders>
              <w:bottom w:val="single" w:sz="8" w:color="auto"/>
            </w:tcBorders>
            <w:gridSpan w:val="3"/>
          </w:tcPr>
          <w:p>
            <w:pPr>
              <w:jc w:val="right"/>
              <w:ind w:right="486"/>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7"/>
              </w:rPr>
              <w:t>Accumulated other</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23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2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3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6"/>
              </w:rPr>
              <w:t>Three and Six Months Ended June 30, 2024</w:t>
            </w:r>
          </w:p>
        </w:tc>
        <w:tc>
          <w:tcPr>
            <w:tcW w:w="1500" w:type="dxa"/>
            <w:vAlign w:val="bottom"/>
            <w:vMerge w:val="restart"/>
          </w:tcPr>
          <w:p>
            <w:pPr>
              <w:spacing w:after="0"/>
              <w:rPr>
                <w:sz w:val="10"/>
                <w:szCs w:val="10"/>
                <w:color w:val="auto"/>
              </w:rPr>
            </w:pPr>
          </w:p>
        </w:tc>
        <w:tc>
          <w:tcPr>
            <w:tcW w:w="13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Number of Shares</w:t>
            </w: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3"/>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Additional paid-in</w:t>
            </w:r>
          </w:p>
        </w:tc>
        <w:tc>
          <w:tcPr>
            <w:tcW w:w="100" w:type="dxa"/>
            <w:vAlign w:val="bottom"/>
          </w:tcPr>
          <w:p>
            <w:pPr>
              <w:spacing w:after="0"/>
              <w:rPr>
                <w:sz w:val="10"/>
                <w:szCs w:val="10"/>
                <w:color w:val="auto"/>
              </w:rPr>
            </w:pPr>
          </w:p>
        </w:tc>
        <w:tc>
          <w:tcPr>
            <w:tcW w:w="1120" w:type="dxa"/>
            <w:vAlign w:val="bottom"/>
            <w:gridSpan w:val="2"/>
          </w:tcPr>
          <w:p>
            <w:pPr>
              <w:jc w:val="center"/>
              <w:ind w:right="360"/>
              <w:spacing w:after="0" w:line="122" w:lineRule="exact"/>
              <w:rPr>
                <w:sz w:val="20"/>
                <w:szCs w:val="20"/>
                <w:color w:val="auto"/>
              </w:rPr>
            </w:pPr>
            <w:r>
              <w:rPr>
                <w:rFonts w:ascii="Times New Roman" w:cs="Times New Roman" w:eastAsia="Times New Roman" w:hAnsi="Times New Roman"/>
                <w:sz w:val="11"/>
                <w:szCs w:val="11"/>
                <w:b w:val="1"/>
                <w:bCs w:val="1"/>
                <w:color w:val="auto"/>
                <w:w w:val="96"/>
              </w:rPr>
              <w:t>comprehensive</w:t>
            </w:r>
          </w:p>
        </w:tc>
        <w:tc>
          <w:tcPr>
            <w:tcW w:w="160" w:type="dxa"/>
            <w:vAlign w:val="bottom"/>
          </w:tcPr>
          <w:p>
            <w:pPr>
              <w:spacing w:after="0"/>
              <w:rPr>
                <w:sz w:val="10"/>
                <w:szCs w:val="10"/>
                <w:color w:val="auto"/>
              </w:rPr>
            </w:pPr>
          </w:p>
        </w:tc>
        <w:tc>
          <w:tcPr>
            <w:tcW w:w="106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1"/>
                <w:szCs w:val="11"/>
                <w:b w:val="1"/>
                <w:bCs w:val="1"/>
                <w:color w:val="auto"/>
                <w:w w:val="96"/>
              </w:rPr>
              <w:t>Accumulated</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360" w:type="dxa"/>
            <w:vAlign w:val="bottom"/>
            <w:tcBorders>
              <w:bottom w:val="single" w:sz="8" w:color="auto"/>
            </w:tcBorders>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Outstanding</w:t>
            </w:r>
          </w:p>
        </w:tc>
        <w:tc>
          <w:tcPr>
            <w:tcW w:w="220" w:type="dxa"/>
            <w:vAlign w:val="bottom"/>
          </w:tcPr>
          <w:p>
            <w:pPr>
              <w:spacing w:after="0"/>
              <w:rPr>
                <w:sz w:val="11"/>
                <w:szCs w:val="1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1"/>
                <w:szCs w:val="11"/>
                <w:b w:val="1"/>
                <w:bCs w:val="1"/>
                <w:color w:val="auto"/>
                <w:w w:val="95"/>
              </w:rPr>
              <w:t>income</w:t>
            </w: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1"/>
                <w:szCs w:val="11"/>
                <w:b w:val="1"/>
                <w:bCs w:val="1"/>
                <w:color w:val="auto"/>
                <w:w w:val="95"/>
              </w:rPr>
              <w:t>deficit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3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as of December 31, 2023</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168,428,856</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586"/>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42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389,014</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(270,384)</w:t>
            </w: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118,646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605,565</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Restricted stock units vested, net of tax</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534,654</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(595)</w:t>
            </w:r>
          </w:p>
        </w:tc>
        <w:tc>
          <w:tcPr>
            <w:tcW w:w="1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(595)</w:t>
            </w:r>
          </w:p>
        </w:tc>
        <w:tc>
          <w:tcPr>
            <w:tcW w:w="0" w:type="dxa"/>
            <w:vAlign w:val="bottom"/>
          </w:tcPr>
          <w:p>
            <w:pPr>
              <w:spacing w:after="0"/>
              <w:rPr>
                <w:sz w:val="1"/>
                <w:szCs w:val="1"/>
                <w:color w:val="auto"/>
              </w:rPr>
            </w:pPr>
          </w:p>
        </w:tc>
      </w:tr>
      <w:tr>
        <w:trPr>
          <w:trHeight w:val="203"/>
        </w:trPr>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(1,466)</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(1,466)</w:t>
            </w:r>
          </w:p>
        </w:tc>
        <w:tc>
          <w:tcPr>
            <w:tcW w:w="0" w:type="dxa"/>
            <w:vAlign w:val="bottom"/>
          </w:tcPr>
          <w:p>
            <w:pPr>
              <w:spacing w:after="0"/>
              <w:rPr>
                <w:sz w:val="1"/>
                <w:szCs w:val="1"/>
                <w:color w:val="auto"/>
              </w:rPr>
            </w:pPr>
          </w:p>
        </w:tc>
      </w:tr>
      <w:tr>
        <w:trPr>
          <w:trHeight w:val="20"/>
        </w:trPr>
        <w:tc>
          <w:tcPr>
            <w:tcW w:w="2360" w:type="dxa"/>
            <w:vAlign w:val="bottom"/>
            <w:shd w:val="clear" w:color="auto" w:fill="CFF0FC"/>
          </w:tcPr>
          <w:p>
            <w:pPr>
              <w:spacing w:after="0" w:line="20" w:lineRule="exact"/>
              <w:rPr>
                <w:sz w:val="1"/>
                <w:szCs w:val="1"/>
                <w:color w:val="auto"/>
              </w:rPr>
            </w:pPr>
          </w:p>
        </w:tc>
        <w:tc>
          <w:tcPr>
            <w:tcW w:w="150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Balance as of March 31, 2024 (unaudited)</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169,569,075</w:t>
            </w:r>
          </w:p>
        </w:tc>
        <w:tc>
          <w:tcPr>
            <w:tcW w:w="220" w:type="dxa"/>
            <w:vAlign w:val="bottom"/>
          </w:tcPr>
          <w:p>
            <w:pPr>
              <w:spacing w:after="0"/>
              <w:rPr>
                <w:sz w:val="17"/>
                <w:szCs w:val="17"/>
                <w:color w:val="auto"/>
              </w:rPr>
            </w:pPr>
          </w:p>
        </w:tc>
        <w:tc>
          <w:tcPr>
            <w:tcW w:w="740" w:type="dxa"/>
            <w:vAlign w:val="bottom"/>
          </w:tcPr>
          <w:p>
            <w:pPr>
              <w:jc w:val="right"/>
              <w:ind w:right="586"/>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0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391,412</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(271,850)</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119,578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697,798</w:t>
            </w:r>
          </w:p>
        </w:tc>
        <w:tc>
          <w:tcPr>
            <w:tcW w:w="220" w:type="dxa"/>
            <w:vAlign w:val="bottom"/>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843</w:t>
            </w:r>
          </w:p>
        </w:tc>
        <w:tc>
          <w:tcPr>
            <w:tcW w:w="2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843</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Restricted stock units vested, net of tax</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851,177</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(1,248)</w:t>
            </w:r>
          </w:p>
        </w:tc>
        <w:tc>
          <w:tcPr>
            <w:tcW w:w="10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(1,248)</w:t>
            </w:r>
          </w:p>
        </w:tc>
        <w:tc>
          <w:tcPr>
            <w:tcW w:w="0" w:type="dxa"/>
            <w:vAlign w:val="bottom"/>
          </w:tcPr>
          <w:p>
            <w:pPr>
              <w:spacing w:after="0"/>
              <w:rPr>
                <w:sz w:val="1"/>
                <w:szCs w:val="1"/>
                <w:color w:val="auto"/>
              </w:rPr>
            </w:pPr>
          </w:p>
        </w:tc>
      </w:tr>
      <w:tr>
        <w:trPr>
          <w:trHeight w:val="203"/>
        </w:trPr>
        <w:tc>
          <w:tcPr>
            <w:tcW w:w="3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Repurchase of common stock for retirement</w:t>
            </w: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(2,948,892)</w:t>
            </w:r>
          </w:p>
        </w:tc>
        <w:tc>
          <w:tcPr>
            <w:tcW w:w="74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(8,004)</w:t>
            </w:r>
          </w:p>
        </w:tc>
        <w:tc>
          <w:tcPr>
            <w:tcW w:w="1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(8,004)</w:t>
            </w:r>
          </w:p>
        </w:tc>
        <w:tc>
          <w:tcPr>
            <w:tcW w:w="0" w:type="dxa"/>
            <w:vAlign w:val="bottom"/>
          </w:tcPr>
          <w:p>
            <w:pPr>
              <w:spacing w:after="0"/>
              <w:rPr>
                <w:sz w:val="1"/>
                <w:szCs w:val="1"/>
                <w:color w:val="auto"/>
              </w:rPr>
            </w:pPr>
          </w:p>
        </w:tc>
      </w:tr>
      <w:tr>
        <w:trPr>
          <w:trHeight w:val="203"/>
        </w:trPr>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(474)</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(474)</w:t>
            </w:r>
          </w:p>
        </w:tc>
        <w:tc>
          <w:tcPr>
            <w:tcW w:w="0" w:type="dxa"/>
            <w:vAlign w:val="bottom"/>
          </w:tcPr>
          <w:p>
            <w:pPr>
              <w:spacing w:after="0"/>
              <w:rPr>
                <w:sz w:val="1"/>
                <w:szCs w:val="1"/>
                <w:color w:val="auto"/>
              </w:rPr>
            </w:pPr>
          </w:p>
        </w:tc>
      </w:tr>
      <w:tr>
        <w:trPr>
          <w:trHeight w:val="20"/>
        </w:trPr>
        <w:tc>
          <w:tcPr>
            <w:tcW w:w="2360" w:type="dxa"/>
            <w:vAlign w:val="bottom"/>
            <w:shd w:val="clear" w:color="auto" w:fill="CFF0FC"/>
          </w:tcPr>
          <w:p>
            <w:pPr>
              <w:spacing w:after="0" w:line="20" w:lineRule="exact"/>
              <w:rPr>
                <w:sz w:val="1"/>
                <w:szCs w:val="1"/>
                <w:color w:val="auto"/>
              </w:rPr>
            </w:pPr>
          </w:p>
        </w:tc>
        <w:tc>
          <w:tcPr>
            <w:tcW w:w="150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Balance as of June 30, 2024 (unaudited)</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168,169,158</w:t>
            </w:r>
          </w:p>
        </w:tc>
        <w:tc>
          <w:tcPr>
            <w:tcW w:w="220" w:type="dxa"/>
            <w:vAlign w:val="bottom"/>
          </w:tcPr>
          <w:p>
            <w:pPr>
              <w:spacing w:after="0"/>
              <w:rPr>
                <w:sz w:val="17"/>
                <w:szCs w:val="17"/>
                <w:color w:val="auto"/>
              </w:rPr>
            </w:pPr>
          </w:p>
        </w:tc>
        <w:tc>
          <w:tcPr>
            <w:tcW w:w="740" w:type="dxa"/>
            <w:vAlign w:val="bottom"/>
          </w:tcPr>
          <w:p>
            <w:pPr>
              <w:jc w:val="right"/>
              <w:ind w:right="586"/>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0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386,352</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(272,324)</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114,044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-3171190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-3171190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-3171190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-3171190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-3171190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-3171190</wp:posOffset>
            </wp:positionV>
            <wp:extent cx="774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-2116455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-2099945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-2116455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-2099945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-2116455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-2099945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-2116455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-2099945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-2116455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-2099945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-2116455</wp:posOffset>
            </wp:positionV>
            <wp:extent cx="77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-2099945</wp:posOffset>
            </wp:positionV>
            <wp:extent cx="774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-950595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-950595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-950595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-950595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-950595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-950595</wp:posOffset>
            </wp:positionV>
            <wp:extent cx="774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-162560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-162560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-162560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-162560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-162560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-162560</wp:posOffset>
            </wp:positionV>
            <wp:extent cx="774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Represents an amount lower than $1</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TALKSPACE,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8080" w:type="dxa"/>
            <w:vAlign w:val="bottom"/>
            <w:gridSpan w:val="6"/>
            <w:vMerge w:val="restart"/>
          </w:tcPr>
          <w:p>
            <w:pPr>
              <w:spacing w:after="0"/>
              <w:rPr>
                <w:sz w:val="20"/>
                <w:szCs w:val="20"/>
                <w:color w:val="auto"/>
              </w:rPr>
            </w:pPr>
            <w:r>
              <w:rPr>
                <w:rFonts w:ascii="Times New Roman" w:cs="Times New Roman" w:eastAsia="Times New Roman" w:hAnsi="Times New Roman"/>
                <w:sz w:val="16"/>
                <w:szCs w:val="16"/>
                <w:i w:val="1"/>
                <w:iCs w:val="1"/>
                <w:color w:val="auto"/>
              </w:rPr>
              <w:t>(U.S. dollars in thousands)</w:t>
            </w:r>
          </w:p>
        </w:tc>
        <w:tc>
          <w:tcPr>
            <w:tcW w:w="3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80" w:type="dxa"/>
            <w:vAlign w:val="bottom"/>
            <w:gridSpan w:val="6"/>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840" w:type="dxa"/>
            <w:vAlign w:val="bottom"/>
            <w:tcBorders>
              <w:bottom w:val="single" w:sz="8" w:color="auto"/>
            </w:tcBorders>
            <w:gridSpan w:val="5"/>
            <w:shd w:val="clear" w:color="auto" w:fill="CFF0FC"/>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9"/>
              </w:rPr>
              <w:t>Cash flows from operating activities:</w:t>
            </w:r>
          </w:p>
        </w:tc>
        <w:tc>
          <w:tcPr>
            <w:tcW w:w="524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CFF0FC"/>
            </w:tcBorders>
            <w:shd w:val="clear" w:color="auto" w:fill="CFF0FC"/>
          </w:tcPr>
          <w:p>
            <w:pPr>
              <w:spacing w:after="0"/>
              <w:rPr>
                <w:sz w:val="16"/>
                <w:szCs w:val="16"/>
                <w:color w:val="auto"/>
              </w:rPr>
            </w:pPr>
          </w:p>
        </w:tc>
        <w:tc>
          <w:tcPr>
            <w:tcW w:w="108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480" w:type="dxa"/>
            <w:vAlign w:val="bottom"/>
            <w:tcBorders>
              <w:bottom w:val="single" w:sz="8" w:color="CFF0FC"/>
            </w:tcBorders>
            <w:shd w:val="clear" w:color="auto" w:fill="CFF0FC"/>
          </w:tcPr>
          <w:p>
            <w:pPr>
              <w:spacing w:after="0"/>
              <w:rPr>
                <w:sz w:val="16"/>
                <w:szCs w:val="16"/>
                <w:color w:val="auto"/>
              </w:rPr>
            </w:pPr>
          </w:p>
        </w:tc>
        <w:tc>
          <w:tcPr>
            <w:tcW w:w="9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(223)</w:t>
            </w: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(1,940)</w:t>
            </w:r>
          </w:p>
        </w:tc>
        <w:tc>
          <w:tcPr>
            <w:tcW w:w="0" w:type="dxa"/>
            <w:vAlign w:val="bottom"/>
          </w:tcPr>
          <w:p>
            <w:pPr>
              <w:spacing w:after="0"/>
              <w:rPr>
                <w:sz w:val="1"/>
                <w:szCs w:val="1"/>
                <w:color w:val="auto"/>
              </w:rPr>
            </w:pPr>
          </w:p>
        </w:tc>
      </w:tr>
      <w:tr>
        <w:trPr>
          <w:trHeight w:val="216"/>
        </w:trPr>
        <w:tc>
          <w:tcPr>
            <w:tcW w:w="808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Accretion of discount on marketable securities</w:t>
            </w:r>
          </w:p>
        </w:tc>
        <w:tc>
          <w:tcPr>
            <w:tcW w:w="3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(457)</w:t>
            </w:r>
          </w:p>
        </w:tc>
        <w:tc>
          <w:tcPr>
            <w:tcW w:w="4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4,688</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8"/>
                <w:szCs w:val="18"/>
                <w:color w:val="auto"/>
              </w:rPr>
              <w:t>Remeasurement of warrant liabilities</w:t>
            </w:r>
          </w:p>
        </w:tc>
        <w:tc>
          <w:tcPr>
            <w:tcW w:w="3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(828)</w:t>
            </w:r>
          </w:p>
        </w:tc>
        <w:tc>
          <w:tcPr>
            <w:tcW w:w="4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16"/>
        </w:trPr>
        <w:tc>
          <w:tcPr>
            <w:tcW w:w="80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Increase in accounts receivable</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(5,779)</w:t>
            </w:r>
          </w:p>
        </w:tc>
        <w:tc>
          <w:tcPr>
            <w:tcW w:w="4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(1,380)</w:t>
            </w:r>
          </w:p>
        </w:tc>
        <w:tc>
          <w:tcPr>
            <w:tcW w:w="0" w:type="dxa"/>
            <w:vAlign w:val="bottom"/>
          </w:tcPr>
          <w:p>
            <w:pPr>
              <w:spacing w:after="0"/>
              <w:rPr>
                <w:sz w:val="1"/>
                <w:szCs w:val="1"/>
                <w:color w:val="auto"/>
              </w:rPr>
            </w:pPr>
          </w:p>
        </w:tc>
      </w:tr>
      <w:tr>
        <w:trPr>
          <w:trHeight w:val="216"/>
        </w:trPr>
        <w:tc>
          <w:tcPr>
            <w:tcW w:w="808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8"/>
                <w:szCs w:val="18"/>
                <w:color w:val="auto"/>
              </w:rPr>
              <w:t>Decrease in other current assets</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Increase in accounts payable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8"/>
                <w:szCs w:val="18"/>
                <w:color w:val="auto"/>
              </w:rPr>
              <w:t>Decrease in deferred revenue</w:t>
            </w:r>
          </w:p>
        </w:tc>
        <w:tc>
          <w:tcPr>
            <w:tcW w:w="3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(416)</w:t>
            </w:r>
          </w:p>
        </w:tc>
        <w:tc>
          <w:tcPr>
            <w:tcW w:w="4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16"/>
        </w:trPr>
        <w:tc>
          <w:tcPr>
            <w:tcW w:w="80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Decrease in accrued expenses and other current liabilities</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(975)</w:t>
            </w:r>
          </w:p>
        </w:tc>
        <w:tc>
          <w:tcPr>
            <w:tcW w:w="4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(5,155)</w:t>
            </w:r>
          </w:p>
        </w:tc>
        <w:tc>
          <w:tcPr>
            <w:tcW w:w="0" w:type="dxa"/>
            <w:vAlign w:val="bottom"/>
          </w:tcPr>
          <w:p>
            <w:pPr>
              <w:spacing w:after="0"/>
              <w:rPr>
                <w:sz w:val="1"/>
                <w:szCs w:val="1"/>
                <w:color w:val="auto"/>
              </w:rPr>
            </w:pPr>
          </w:p>
        </w:tc>
      </w:tr>
      <w:tr>
        <w:trPr>
          <w:trHeight w:val="216"/>
        </w:trPr>
        <w:tc>
          <w:tcPr>
            <w:tcW w:w="808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(129)</w:t>
            </w:r>
          </w:p>
        </w:tc>
        <w:tc>
          <w:tcPr>
            <w:tcW w:w="4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1440" w:type="dxa"/>
            <w:vAlign w:val="bottom"/>
            <w:shd w:val="clear" w:color="auto" w:fill="CFF0FC"/>
          </w:tcPr>
          <w:p>
            <w:pPr>
              <w:spacing w:after="0" w:line="20" w:lineRule="exact"/>
              <w:rPr>
                <w:sz w:val="1"/>
                <w:szCs w:val="1"/>
                <w:color w:val="auto"/>
              </w:rPr>
            </w:pPr>
          </w:p>
        </w:tc>
        <w:tc>
          <w:tcPr>
            <w:tcW w:w="70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5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(1,590)</w:t>
            </w: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8080" w:type="dxa"/>
            <w:vAlign w:val="bottom"/>
            <w:gridSpan w:val="6"/>
            <w:shd w:val="clear" w:color="auto" w:fill="CFF0FC"/>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tcBorders>
              <w:top w:val="single" w:sz="8" w:color="auto"/>
            </w:tcBorders>
            <w:shd w:val="clear" w:color="auto" w:fill="CFF0FC"/>
          </w:tcPr>
          <w:p>
            <w:pPr>
              <w:spacing w:after="0"/>
              <w:rPr>
                <w:sz w:val="16"/>
                <w:szCs w:val="16"/>
                <w:color w:val="auto"/>
              </w:rPr>
            </w:pPr>
          </w:p>
        </w:tc>
        <w:tc>
          <w:tcPr>
            <w:tcW w:w="1080" w:type="dxa"/>
            <w:vAlign w:val="bottom"/>
            <w:tcBorders>
              <w:top w:val="single" w:sz="8" w:color="auto"/>
            </w:tcBorders>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480" w:type="dxa"/>
            <w:vAlign w:val="bottom"/>
            <w:tcBorders>
              <w:top w:val="single" w:sz="8" w:color="auto"/>
            </w:tcBorders>
            <w:shd w:val="clear" w:color="auto" w:fill="CFF0FC"/>
          </w:tcPr>
          <w:p>
            <w:pPr>
              <w:spacing w:after="0"/>
              <w:rPr>
                <w:sz w:val="16"/>
                <w:szCs w:val="16"/>
                <w:color w:val="auto"/>
              </w:rPr>
            </w:pPr>
          </w:p>
        </w:tc>
        <w:tc>
          <w:tcPr>
            <w:tcW w:w="90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5300" w:type="dxa"/>
            <w:vAlign w:val="bottom"/>
            <w:tcBorders>
              <w:top w:val="single" w:sz="8" w:color="CFF0FC"/>
            </w:tcBorders>
            <w:gridSpan w:val="3"/>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1360" w:type="dxa"/>
            <w:vAlign w:val="bottom"/>
            <w:tcBorders>
              <w:top w:val="single" w:sz="8" w:color="CFF0FC"/>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(20,557)</w:t>
            </w:r>
          </w:p>
        </w:tc>
        <w:tc>
          <w:tcPr>
            <w:tcW w:w="480" w:type="dxa"/>
            <w:vAlign w:val="bottom"/>
            <w:tcBorders>
              <w:top w:val="single" w:sz="8" w:color="CFF0FC"/>
            </w:tcBorders>
          </w:tcPr>
          <w:p>
            <w:pPr>
              <w:spacing w:after="0"/>
              <w:rPr>
                <w:sz w:val="18"/>
                <w:szCs w:val="18"/>
                <w:color w:val="auto"/>
              </w:rPr>
            </w:pPr>
          </w:p>
        </w:tc>
        <w:tc>
          <w:tcPr>
            <w:tcW w:w="1000" w:type="dxa"/>
            <w:vAlign w:val="bottom"/>
            <w:tcBorders>
              <w:top w:val="single" w:sz="8" w:color="CFF0FC"/>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8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13,705</w:t>
            </w: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Capitalized internal-use software costs</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(4,492)</w:t>
            </w:r>
          </w:p>
        </w:tc>
        <w:tc>
          <w:tcPr>
            <w:tcW w:w="4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(2,110)</w:t>
            </w:r>
          </w:p>
        </w:tc>
        <w:tc>
          <w:tcPr>
            <w:tcW w:w="0" w:type="dxa"/>
            <w:vAlign w:val="bottom"/>
          </w:tcPr>
          <w:p>
            <w:pPr>
              <w:spacing w:after="0"/>
              <w:rPr>
                <w:sz w:val="1"/>
                <w:szCs w:val="1"/>
                <w:color w:val="auto"/>
              </w:rPr>
            </w:pPr>
          </w:p>
        </w:tc>
      </w:tr>
      <w:tr>
        <w:trPr>
          <w:trHeight w:val="216"/>
        </w:trPr>
        <w:tc>
          <w:tcPr>
            <w:tcW w:w="808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(42)</w:t>
            </w:r>
          </w:p>
        </w:tc>
        <w:tc>
          <w:tcPr>
            <w:tcW w:w="4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1440" w:type="dxa"/>
            <w:vAlign w:val="bottom"/>
            <w:shd w:val="clear" w:color="auto" w:fill="CFF0FC"/>
          </w:tcPr>
          <w:p>
            <w:pPr>
              <w:spacing w:after="0" w:line="20" w:lineRule="exact"/>
              <w:rPr>
                <w:sz w:val="1"/>
                <w:szCs w:val="1"/>
                <w:color w:val="auto"/>
              </w:rPr>
            </w:pPr>
          </w:p>
        </w:tc>
        <w:tc>
          <w:tcPr>
            <w:tcW w:w="70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5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(11,386)</w:t>
            </w:r>
          </w:p>
        </w:tc>
        <w:tc>
          <w:tcPr>
            <w:tcW w:w="4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(2,150)</w:t>
            </w:r>
          </w:p>
        </w:tc>
        <w:tc>
          <w:tcPr>
            <w:tcW w:w="0" w:type="dxa"/>
            <w:vAlign w:val="bottom"/>
          </w:tcPr>
          <w:p>
            <w:pPr>
              <w:spacing w:after="0"/>
              <w:rPr>
                <w:sz w:val="1"/>
                <w:szCs w:val="1"/>
                <w:color w:val="auto"/>
              </w:rPr>
            </w:pPr>
          </w:p>
        </w:tc>
      </w:tr>
      <w:tr>
        <w:trPr>
          <w:trHeight w:val="189"/>
        </w:trPr>
        <w:tc>
          <w:tcPr>
            <w:tcW w:w="2820" w:type="dxa"/>
            <w:vAlign w:val="bottom"/>
            <w:tcBorders>
              <w:bottom w:val="single" w:sz="8" w:color="auto"/>
            </w:tcBorders>
            <w:gridSpan w:val="4"/>
            <w:shd w:val="clear" w:color="auto" w:fill="CFF0FC"/>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9"/>
              </w:rPr>
              <w:t>Cash flows from financing activities:</w:t>
            </w:r>
          </w:p>
        </w:tc>
        <w:tc>
          <w:tcPr>
            <w:tcW w:w="5260" w:type="dxa"/>
            <w:vAlign w:val="bottom"/>
            <w:tcBorders>
              <w:bottom w:val="single" w:sz="8" w:color="CFF0FC"/>
            </w:tcBorders>
            <w:gridSpan w:val="2"/>
            <w:shd w:val="clear" w:color="auto" w:fill="CFF0FC"/>
          </w:tcPr>
          <w:p>
            <w:pPr>
              <w:spacing w:after="0"/>
              <w:rPr>
                <w:sz w:val="16"/>
                <w:szCs w:val="16"/>
                <w:color w:val="auto"/>
              </w:rPr>
            </w:pPr>
          </w:p>
        </w:tc>
        <w:tc>
          <w:tcPr>
            <w:tcW w:w="320" w:type="dxa"/>
            <w:vAlign w:val="bottom"/>
            <w:tcBorders>
              <w:top w:val="single" w:sz="8" w:color="auto"/>
              <w:bottom w:val="single" w:sz="8" w:color="CFF0FC"/>
            </w:tcBorders>
            <w:shd w:val="clear" w:color="auto" w:fill="CFF0FC"/>
          </w:tcPr>
          <w:p>
            <w:pPr>
              <w:spacing w:after="0"/>
              <w:rPr>
                <w:sz w:val="16"/>
                <w:szCs w:val="16"/>
                <w:color w:val="auto"/>
              </w:rPr>
            </w:pPr>
          </w:p>
        </w:tc>
        <w:tc>
          <w:tcPr>
            <w:tcW w:w="1080" w:type="dxa"/>
            <w:vAlign w:val="bottom"/>
            <w:tcBorders>
              <w:top w:val="single" w:sz="8" w:color="auto"/>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480" w:type="dxa"/>
            <w:vAlign w:val="bottom"/>
            <w:tcBorders>
              <w:top w:val="single" w:sz="8" w:color="auto"/>
              <w:bottom w:val="single" w:sz="8" w:color="CFF0FC"/>
            </w:tcBorders>
            <w:shd w:val="clear" w:color="auto" w:fill="CFF0FC"/>
          </w:tcPr>
          <w:p>
            <w:pPr>
              <w:spacing w:after="0"/>
              <w:rPr>
                <w:sz w:val="16"/>
                <w:szCs w:val="16"/>
                <w:color w:val="auto"/>
              </w:rPr>
            </w:pPr>
          </w:p>
        </w:tc>
        <w:tc>
          <w:tcPr>
            <w:tcW w:w="900" w:type="dxa"/>
            <w:vAlign w:val="bottom"/>
            <w:tcBorders>
              <w:top w:val="single" w:sz="8" w:color="auto"/>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 for employee taxes withheld related to vested stock-based awards</w:t>
            </w:r>
          </w:p>
        </w:tc>
        <w:tc>
          <w:tcPr>
            <w:tcW w:w="3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(1,697)</w:t>
            </w:r>
          </w:p>
        </w:tc>
        <w:tc>
          <w:tcPr>
            <w:tcW w:w="4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(1,843)</w:t>
            </w:r>
          </w:p>
        </w:tc>
        <w:tc>
          <w:tcPr>
            <w:tcW w:w="0" w:type="dxa"/>
            <w:vAlign w:val="bottom"/>
          </w:tcPr>
          <w:p>
            <w:pPr>
              <w:spacing w:after="0"/>
              <w:rPr>
                <w:sz w:val="1"/>
                <w:szCs w:val="1"/>
                <w:color w:val="auto"/>
              </w:rPr>
            </w:pPr>
          </w:p>
        </w:tc>
      </w:tr>
      <w:tr>
        <w:trPr>
          <w:trHeight w:val="216"/>
        </w:trPr>
        <w:tc>
          <w:tcPr>
            <w:tcW w:w="80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Repurchase of common stock for retirement</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(8,404)</w:t>
            </w:r>
          </w:p>
        </w:tc>
        <w:tc>
          <w:tcPr>
            <w:tcW w:w="4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(8,004)</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8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(9,374)</w:t>
            </w:r>
          </w:p>
        </w:tc>
        <w:tc>
          <w:tcPr>
            <w:tcW w:w="4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(8,263)</w:t>
            </w:r>
          </w:p>
        </w:tc>
        <w:tc>
          <w:tcPr>
            <w:tcW w:w="0" w:type="dxa"/>
            <w:vAlign w:val="bottom"/>
          </w:tcPr>
          <w:p>
            <w:pPr>
              <w:spacing w:after="0"/>
              <w:rPr>
                <w:sz w:val="1"/>
                <w:szCs w:val="1"/>
                <w:color w:val="auto"/>
              </w:rPr>
            </w:pPr>
          </w:p>
        </w:tc>
      </w:tr>
      <w:tr>
        <w:trPr>
          <w:trHeight w:val="20"/>
        </w:trPr>
        <w:tc>
          <w:tcPr>
            <w:tcW w:w="1440" w:type="dxa"/>
            <w:vAlign w:val="bottom"/>
            <w:shd w:val="clear" w:color="auto" w:fill="CFF0FC"/>
          </w:tcPr>
          <w:p>
            <w:pPr>
              <w:spacing w:after="0" w:line="20" w:lineRule="exact"/>
              <w:rPr>
                <w:sz w:val="1"/>
                <w:szCs w:val="1"/>
                <w:color w:val="auto"/>
              </w:rPr>
            </w:pPr>
          </w:p>
        </w:tc>
        <w:tc>
          <w:tcPr>
            <w:tcW w:w="70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5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(22,350)</w:t>
            </w:r>
          </w:p>
        </w:tc>
        <w:tc>
          <w:tcPr>
            <w:tcW w:w="4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(8,995)</w:t>
            </w:r>
          </w:p>
        </w:tc>
        <w:tc>
          <w:tcPr>
            <w:tcW w:w="0" w:type="dxa"/>
            <w:vAlign w:val="bottom"/>
          </w:tcPr>
          <w:p>
            <w:pPr>
              <w:spacing w:after="0"/>
              <w:rPr>
                <w:sz w:val="1"/>
                <w:szCs w:val="1"/>
                <w:color w:val="auto"/>
              </w:rPr>
            </w:pPr>
          </w:p>
        </w:tc>
      </w:tr>
      <w:tr>
        <w:trPr>
          <w:trHeight w:val="216"/>
        </w:trPr>
        <w:tc>
          <w:tcPr>
            <w:tcW w:w="8080" w:type="dxa"/>
            <w:vAlign w:val="bottom"/>
            <w:tcBorders>
              <w:bottom w:val="single" w:sz="8" w:color="CFF0FC"/>
            </w:tcBorders>
            <w:gridSpan w:val="6"/>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76,692</w:t>
            </w:r>
          </w:p>
        </w:tc>
        <w:tc>
          <w:tcPr>
            <w:tcW w:w="28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123,908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Cash and cash equivalents at the end of the period</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54,342</w:t>
            </w:r>
          </w:p>
        </w:tc>
        <w:tc>
          <w:tcPr>
            <w:tcW w:w="280" w:type="dxa"/>
            <w:vAlign w:val="bottom"/>
          </w:tcPr>
          <w:p>
            <w:pPr>
              <w:spacing w:after="0"/>
              <w:rPr>
                <w:sz w:val="18"/>
                <w:szCs w:val="18"/>
                <w:color w:val="auto"/>
              </w:rPr>
            </w:pPr>
          </w:p>
        </w:tc>
        <w:tc>
          <w:tcPr>
            <w:tcW w:w="4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40" w:type="dxa"/>
            <w:vAlign w:val="bottom"/>
            <w:tcBorders>
              <w:bottom w:val="single" w:sz="8" w:color="auto"/>
            </w:tcBorders>
            <w:gridSpan w:val="2"/>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w w:val="99"/>
              </w:rPr>
              <w:t>Supplemental cash flow data:</w:t>
            </w:r>
          </w:p>
        </w:tc>
        <w:tc>
          <w:tcPr>
            <w:tcW w:w="5940" w:type="dxa"/>
            <w:vAlign w:val="bottom"/>
            <w:tcBorders>
              <w:bottom w:val="single" w:sz="8" w:color="CFF0FC"/>
            </w:tcBorders>
            <w:gridSpan w:val="4"/>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Cash paid during the period for income taxes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80" w:type="dxa"/>
            <w:vAlign w:val="bottom"/>
          </w:tcPr>
          <w:p>
            <w:pPr>
              <w:spacing w:after="0"/>
              <w:rPr>
                <w:sz w:val="18"/>
                <w:szCs w:val="18"/>
                <w:color w:val="auto"/>
              </w:rPr>
            </w:pP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080" w:type="dxa"/>
            <w:vAlign w:val="bottom"/>
            <w:gridSpan w:val="6"/>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rPr>
              <w:t>Non-cash activities:</w:t>
            </w:r>
          </w:p>
        </w:tc>
        <w:tc>
          <w:tcPr>
            <w:tcW w:w="3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40" w:type="dxa"/>
            <w:vAlign w:val="bottom"/>
            <w:tcBorders>
              <w:top w:val="single" w:sz="8" w:color="auto"/>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5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0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Non-cash stock-based compensation capitalized as part of capitalization of internal-use software costs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80" w:type="dxa"/>
            <w:vAlign w:val="bottom"/>
          </w:tcPr>
          <w:p>
            <w:pPr>
              <w:spacing w:after="0"/>
              <w:rPr>
                <w:sz w:val="18"/>
                <w:szCs w:val="18"/>
                <w:color w:val="auto"/>
              </w:rPr>
            </w:pP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liabilities arising from obtaining right-of-use assets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-2965450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-2965450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-2125345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-2125345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-1276985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-1276985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-993775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TALKSPACE,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ORGANIZATION AND BUSINESS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Talkspace, Inc. (together with its consolidated subsidiaries, the “Company” or “Talkspace”) is a leading behavioral healthcare company enabled by a purpose-built technology platform. Talkspace provides individuals and licensed therapists, psychologists and psychiatrists with an online platform for one-on-one therapy delivered via messaging, audio and video. The Company offers convenient and affordable access to a fully credentialed network of highly qualified providers. Since its inception, the Company has connected millions of patients with licensed behavioral health providers across a wide and growing spectrum of care through virtual psychotherapy and psychiatry.</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principal executive office is located in New York, NY. The Company has wholly-owned subsidiaries and holds a variable interest in professional associations and professional corporations, which have been established pursuant to the requirements of their respective domestic jurisdiction governing the corporate practice of medicine. These entities are considered Variable Interest Entities (“VIEs”). See Note 11, “Variable Interest Entities,” in the notes to the condensed consolidated financial statements for further details.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unaudited condensed consolidated financial statements and accompanying notes have been prepared in accordance with U.S. generally accepted accounting principles (“U.S. GAAP”). In management’s opinion, the unaudited condensed consolidated financial statements reflect all adjustments of a normal recurring nature that are necessary for a fair presentation of the results for the interim periods presented. The Company’s interim period results do not necessarily indicate the results that may be expected for any other interim period or for the full fiscal year. These condensed consolidated financial statements should be read in conjunction with the consolidated financial statements as of and for the year ended December 31, 2024, included in the Company's Annual Report on Form 10-K for the year ended December 31, 2024. The significant accounting policies applied in the annual consolidated financial statements of the Company as of December 31, 2024, have been applied consistently in these unaudited condensed consolidated financial statements, unless otherwise stated.</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consolidates all subsidiaries in which it has a controlling financial interest, as well as any VIEs where the Company is deemed to be the primary beneficiary. Intercompany transactions and balances have been eliminated in the preparation of the condensed consolidated financial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judgments, and assumptions that affect the reported amounts of assets, liabilities, revenues and expenses, together with amounts disclosed in the related notes to the condensed consolidated financial statements. The Company’s significant estimates and assumptions used in these condensed consolidated financial statements include, but are not limited to, the recognition of revenue, stock-based compensation awards and internal-use software costs. The Company bases its estimates on historical factors, current circumstances and the experience and judgment of management. The Company evaluates its assumptions on an ongoing basis. The Company’s management believes that the estimates, judgments, and assumptions used are reasonable based on information available at the time they are made. Estimates, by their nature, are based on judgment and available information, therefore, actual results could be materially different from these estimates.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Reclassification</w:t>
      </w:r>
    </w:p>
    <w:p>
      <w:pPr>
        <w:spacing w:after="0" w:line="17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Certain prior year amounts have been reclassified to conform to the current period presentation. These reclassifications had no effect on the reported results of operations.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Segments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Talkspace provides virtual behavioral healthcare services through its online platform for one-on-one therapy delivered via  messaging, audio and video.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chief operating decision maker ("CODM") is the Chief Executive Officer, who manages the Company by reviewing consolidated results.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the Company operates as one operating and reportable segment.</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CODM uses the Company’s consolidated net loss to assess the financial performance of the Company and allocate resources. Since the Company operates in one operating segment, financial information, including consolidated net loss information evaluated by the CODM can be found in the condensed consolidated statements of operations.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assets are managed on a consolidated basis. For total asset information please refer to the condensed consolidated balance sheets included within the condensed consolidated financial statements. Most of the Company's long-lived tangible assets, as well as the Company's operating lease right-of-use asset are located in the United States. Other financial information regarding the Company's operating segment is presented elsewhere in the condensed consolidated financial statements.</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2025 and 2024, all of the Company’s revenue was generated from customers located in the United States. For the types of services from which the reportable segment derives its revenue please refer to Note 3, “Revenue Recognition”.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Accounting Standards Updates (“ASU”) issued by the Financial Accounting Standards Board (“FASB”) have not yet been adopted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requires public entities, on an annual basis, to provide disclosure of specific categories in the rate reconciliation, as well as disclosure of income taxes paid disaggregated by jurisdiction. Further, the ASU requires certain disclosures of state versus federal income tax expense and taxes paid. This ASU is effective for fiscal years beginning after December 15, 2024, with early adoption permitted. The adoption of the ASU is not expected to have a material impact on the Company's consolidated financial statements.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(Topic 220): Disaggregation of Income Statement Expenses, to improve the disclosures of a public business entity’s expenses and address requests from investors for more detailed information about the types of expenses in commonly presented expense captions. This guidance is effective for fiscal years beginning after December 15, 2026, and interim periods after December 15, 2027. The Company is currently evaluating the impact of adopting this ASU.</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RECOGNITION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revenue from sales to unaffiliated customers disaggregated by revenue source: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15"/>
                <w:szCs w:val="15"/>
                <w:color w:val="auto"/>
              </w:rPr>
            </w:pPr>
          </w:p>
        </w:tc>
        <w:tc>
          <w:tcPr>
            <w:tcW w:w="3080" w:type="dxa"/>
            <w:vAlign w:val="bottom"/>
            <w:gridSpan w:val="4"/>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16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4200" w:type="dxa"/>
            <w:vAlign w:val="bottom"/>
            <w:vMerge w:val="continue"/>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57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5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53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5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Revenue from sales to unaffiliated customers:</w:t>
            </w:r>
          </w:p>
        </w:tc>
        <w:tc>
          <w:tcPr>
            <w:tcW w:w="280" w:type="dxa"/>
            <w:vAlign w:val="bottom"/>
          </w:tcPr>
          <w:p>
            <w:pPr>
              <w:spacing w:after="0"/>
              <w:rPr>
                <w:sz w:val="18"/>
                <w:szCs w:val="18"/>
                <w:color w:val="auto"/>
              </w:rPr>
            </w:pPr>
          </w:p>
        </w:tc>
        <w:tc>
          <w:tcPr>
            <w:tcW w:w="1300" w:type="dxa"/>
            <w:vAlign w:val="bottom"/>
          </w:tcPr>
          <w:p>
            <w:pPr>
              <w:jc w:val="right"/>
              <w:ind w:right="418"/>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376"/>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378"/>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Payor</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40,501</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29,945</w:t>
            </w:r>
          </w:p>
        </w:tc>
        <w:tc>
          <w:tcPr>
            <w:tcW w:w="52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78,343</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DTE</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Consumer</w:t>
            </w:r>
          </w:p>
        </w:tc>
        <w:tc>
          <w:tcPr>
            <w:tcW w:w="2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4,406</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6,485</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9,163</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13,480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54,310</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46,058</w:t>
            </w:r>
          </w:p>
        </w:tc>
        <w:tc>
          <w:tcPr>
            <w:tcW w:w="5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106,492</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-170815</wp:posOffset>
            </wp:positionV>
            <wp:extent cx="768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-170815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-170815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and Allowance for Credit Losses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had receivables related to revenue from Direct-to-Enterprise (“DTE”) customers of $7.5 million and $6.0 million at June 30, 2025 and December 31, 2024, respectively. As of June 30, 2025 and December 31, 2024, the balance of receivables related to revenue from Health insurance plans (commercial and government) and employee assistance programs (“Payor”) customers was $7.9 million and $3.6 million, respectively.</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Accounts receivables are stated net of credit loss allowance. The Company’s methodology for estimating credit loss is based on historical collection experience, customer creditworthiness, current and future economic condition and market condition. Additionally, specific allowance amounts are established to record the appropriate provision for customers that have a higher probability of default. Accounts receivables are written off after all reasonable means to collect the full amount have been exhausted. The allowance for credit losses on accounts receivable was immaterial as of June 30, 2025 and December 31, 2024. Credit loss expense was immaterial for the three and six months ended June 30, 2025 and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records deferred revenue when cash payments from customers are received in advance of the Company's performance obligation to provide services. As of June 30, 2025 and December 31, 2024, deferred revenue related mainly to Individual subscribers (“Consumer”) subscriptions. The Company expects to satisfy the majority of its performance obligations associated with deferred revenue within one year or less. Revenue recognized in the six months ended June 30, 2025 and 2024 that was included in the deferred revenue balance at the beginning of the reporting period was $2.2 million and $1.8 million, respectively.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show the Company's cash equivalents and marketable securities measured at fair value on a recurring basis as of June 30,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as of June 30, 2025</w:t>
            </w: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jc w:val="center"/>
              <w:ind w:right="400"/>
              <w:spacing w:after="0" w:line="142"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1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Adjusted Cost Basis</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240" w:type="dxa"/>
            <w:vAlign w:val="bottom"/>
          </w:tcPr>
          <w:p>
            <w:pPr>
              <w:spacing w:after="0"/>
              <w:rPr>
                <w:sz w:val="10"/>
                <w:szCs w:val="10"/>
                <w:color w:val="auto"/>
              </w:rPr>
            </w:pPr>
          </w:p>
        </w:tc>
        <w:tc>
          <w:tcPr>
            <w:tcW w:w="14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0"/>
                <w:szCs w:val="10"/>
                <w:color w:val="auto"/>
              </w:rPr>
            </w:pPr>
          </w:p>
        </w:tc>
        <w:tc>
          <w:tcPr>
            <w:tcW w:w="1160" w:type="dxa"/>
            <w:vAlign w:val="bottom"/>
          </w:tcPr>
          <w:p>
            <w:pPr>
              <w:jc w:val="center"/>
              <w:ind w:right="74"/>
              <w:spacing w:after="0" w:line="118" w:lineRule="exact"/>
              <w:rPr>
                <w:sz w:val="20"/>
                <w:szCs w:val="20"/>
                <w:color w:val="auto"/>
              </w:rPr>
            </w:pPr>
            <w:r>
              <w:rPr>
                <w:rFonts w:ascii="Times New Roman" w:cs="Times New Roman" w:eastAsia="Times New Roman" w:hAnsi="Times New Roman"/>
                <w:sz w:val="13"/>
                <w:szCs w:val="13"/>
                <w:b w:val="1"/>
                <w:bCs w:val="1"/>
                <w:color w:val="auto"/>
              </w:rPr>
              <w:t>Cash and Cash</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jc w:val="center"/>
              <w:ind w:right="94"/>
              <w:spacing w:after="0" w:line="118" w:lineRule="exact"/>
              <w:rPr>
                <w:sz w:val="20"/>
                <w:szCs w:val="20"/>
                <w:color w:val="auto"/>
              </w:rPr>
            </w:pPr>
            <w:r>
              <w:rPr>
                <w:rFonts w:ascii="Times New Roman" w:cs="Times New Roman" w:eastAsia="Times New Roman" w:hAnsi="Times New Roman"/>
                <w:sz w:val="13"/>
                <w:szCs w:val="13"/>
                <w:b w:val="1"/>
                <w:bCs w:val="1"/>
                <w:color w:val="auto"/>
              </w:rPr>
              <w:t>Marketable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4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40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vMerge w:val="restart"/>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vMerge w:val="restart"/>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4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2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6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76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center"/>
              <w:ind w:right="168"/>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4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Level 1:</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53,796</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53,796</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53,796</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Level 1:</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57,651</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57,652</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53,796</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Level 2:</w:t>
            </w:r>
          </w:p>
        </w:tc>
        <w:tc>
          <w:tcPr>
            <w:tcW w:w="260" w:type="dxa"/>
            <w:vAlign w:val="bottom"/>
            <w:tcBorders>
              <w:top w:val="single" w:sz="8" w:color="CFF0FC"/>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6,303</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6,307</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Certificates of deposit</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36,155</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36,168</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36,168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4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Total Level 2:</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44,571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4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102,750</w:t>
            </w:r>
          </w:p>
        </w:tc>
        <w:tc>
          <w:tcPr>
            <w:tcW w:w="76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40" w:type="dxa"/>
            <w:vAlign w:val="bottom"/>
            <w:gridSpan w:val="2"/>
            <w:shd w:val="clear" w:color="auto" w:fill="CFF0FC"/>
          </w:tcPr>
          <w:p>
            <w:pPr>
              <w:jc w:val="center"/>
              <w:ind w:right="168"/>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102,769</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54,342</w:t>
            </w:r>
          </w:p>
        </w:tc>
        <w:tc>
          <w:tcPr>
            <w:tcW w:w="4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as of December 31, 2024</w:t>
            </w: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jc w:val="center"/>
              <w:ind w:right="74"/>
              <w:spacing w:after="0" w:line="118" w:lineRule="exact"/>
              <w:rPr>
                <w:sz w:val="20"/>
                <w:szCs w:val="20"/>
                <w:color w:val="auto"/>
              </w:rPr>
            </w:pPr>
            <w:r>
              <w:rPr>
                <w:rFonts w:ascii="Times New Roman" w:cs="Times New Roman" w:eastAsia="Times New Roman" w:hAnsi="Times New Roman"/>
                <w:sz w:val="13"/>
                <w:szCs w:val="13"/>
                <w:b w:val="1"/>
                <w:bCs w:val="1"/>
                <w:color w:val="auto"/>
              </w:rPr>
              <w:t>Cash and Cash</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jc w:val="center"/>
              <w:ind w:right="94"/>
              <w:spacing w:after="0" w:line="118" w:lineRule="exact"/>
              <w:rPr>
                <w:sz w:val="20"/>
                <w:szCs w:val="20"/>
                <w:color w:val="auto"/>
              </w:rPr>
            </w:pPr>
            <w:r>
              <w:rPr>
                <w:rFonts w:ascii="Times New Roman" w:cs="Times New Roman" w:eastAsia="Times New Roman" w:hAnsi="Times New Roman"/>
                <w:sz w:val="13"/>
                <w:szCs w:val="13"/>
                <w:b w:val="1"/>
                <w:bCs w:val="1"/>
                <w:color w:val="auto"/>
              </w:rPr>
              <w:t>Marketable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4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5"/>
                <w:szCs w:val="15"/>
                <w:color w:val="auto"/>
              </w:rPr>
            </w:pPr>
          </w:p>
        </w:tc>
        <w:tc>
          <w:tcPr>
            <w:tcW w:w="1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Adjusted Cost Basis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240" w:type="dxa"/>
            <w:vAlign w:val="bottom"/>
          </w:tcPr>
          <w:p>
            <w:pPr>
              <w:spacing w:after="0"/>
              <w:rPr>
                <w:sz w:val="15"/>
                <w:szCs w:val="15"/>
                <w:color w:val="auto"/>
              </w:rPr>
            </w:pPr>
          </w:p>
        </w:tc>
        <w:tc>
          <w:tcPr>
            <w:tcW w:w="13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6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76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center"/>
              <w:ind w:right="168"/>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4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Level 1:</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68,639</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68,639</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68,639</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6,879</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Level 1:</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75,515</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75,518</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69,287</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Level 2:</w:t>
            </w:r>
          </w:p>
        </w:tc>
        <w:tc>
          <w:tcPr>
            <w:tcW w:w="260" w:type="dxa"/>
            <w:vAlign w:val="bottom"/>
            <w:tcBorders>
              <w:top w:val="single" w:sz="8" w:color="CFF0FC"/>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7,232</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7,234</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6,494</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Certificates of deposit</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Level 2:</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41,382</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41,381</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6,494</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34,887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4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40" w:type="dxa"/>
            <w:vAlign w:val="bottom"/>
          </w:tcPr>
          <w:p>
            <w:pPr>
              <w:spacing w:after="0"/>
              <w:rPr>
                <w:sz w:val="18"/>
                <w:szCs w:val="18"/>
                <w:color w:val="auto"/>
              </w:rPr>
            </w:pPr>
          </w:p>
        </w:tc>
        <w:tc>
          <w:tcPr>
            <w:tcW w:w="6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117,808</w:t>
            </w:r>
          </w:p>
        </w:tc>
        <w:tc>
          <w:tcPr>
            <w:tcW w:w="7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40" w:type="dxa"/>
            <w:vAlign w:val="bottom"/>
            <w:gridSpan w:val="2"/>
          </w:tcPr>
          <w:p>
            <w:pPr>
              <w:jc w:val="center"/>
              <w:ind w:right="168"/>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117,810</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76,692</w:t>
            </w: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2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gridSpan w:val="2"/>
          </w:tcPr>
          <w:p>
            <w:pPr>
              <w:jc w:val="center"/>
              <w:ind w:right="148"/>
              <w:spacing w:after="0"/>
              <w:rPr>
                <w:sz w:val="20"/>
                <w:szCs w:val="20"/>
                <w:color w:val="auto"/>
              </w:rPr>
            </w:pPr>
            <w:r>
              <w:rPr>
                <w:rFonts w:ascii="Times New Roman" w:cs="Times New Roman" w:eastAsia="Times New Roman" w:hAnsi="Times New Roman"/>
                <w:sz w:val="18"/>
                <w:szCs w:val="18"/>
                <w:color w:val="auto"/>
                <w:w w:val="99"/>
              </w:rPr>
              <w:t>10</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4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-4011295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-4011295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-4011295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-4011295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-4011295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-4011295</wp:posOffset>
            </wp:positionV>
            <wp:extent cx="774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-3453765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-3453765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-3453765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-3453765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-3453765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-3453765</wp:posOffset>
            </wp:positionV>
            <wp:extent cx="774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-3162300</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-3145155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-3162300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-3145155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-3162300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-3145155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-3162300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-3145155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-3162300</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-3145155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-3162300</wp:posOffset>
            </wp:positionV>
            <wp:extent cx="7747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-3145155</wp:posOffset>
            </wp:positionV>
            <wp:extent cx="774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-2005330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-2005330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-2005330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-2005330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-2005330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-2005330</wp:posOffset>
            </wp:positionV>
            <wp:extent cx="774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-1165225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-1165225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-1165225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-1165225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-1165225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-1165225</wp:posOffset>
            </wp:positionV>
            <wp:extent cx="774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carrying value of the Company’s cash, accounts receivable, other current assets, accounts payable, and accrued liabilities approximate fair value because of the relatively short-term nature of the underlying assets or liabilities. The Company's cash equivalents and marketable securities are classified within Level 1 or Level 2 of the fair value hierarchy because their fair values are derived from quoted market prices or quoted market prices for similar assets of liabilities or quoted prices in markets that are not active, or other inputs that are observable or can be corroborated by observable market data for substantially the full term of the assets or liabilities.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Maturities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remaining contractual maturities of the Company's marketable securities as of June 30, 2025:</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8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0" w:type="dxa"/>
            <w:vAlign w:val="bottom"/>
          </w:tcPr>
          <w:p>
            <w:pPr>
              <w:spacing w:after="0"/>
              <w:rPr>
                <w:sz w:val="1"/>
                <w:szCs w:val="1"/>
                <w:color w:val="auto"/>
              </w:rPr>
            </w:pPr>
          </w:p>
        </w:tc>
      </w:tr>
      <w:tr>
        <w:trPr>
          <w:trHeight w:val="142"/>
        </w:trPr>
        <w:tc>
          <w:tcPr>
            <w:tcW w:w="5160" w:type="dxa"/>
            <w:vAlign w:val="bottom"/>
            <w:vMerge w:val="continue"/>
          </w:tcPr>
          <w:p>
            <w:pPr>
              <w:spacing w:after="0"/>
              <w:rPr>
                <w:sz w:val="12"/>
                <w:szCs w:val="12"/>
                <w:color w:val="auto"/>
              </w:rPr>
            </w:pPr>
          </w:p>
        </w:tc>
        <w:tc>
          <w:tcPr>
            <w:tcW w:w="2880" w:type="dxa"/>
            <w:vAlign w:val="bottom"/>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2580" w:type="dxa"/>
            <w:vAlign w:val="bottom"/>
            <w:tcBorders>
              <w:top w:val="single" w:sz="8" w:color="auto"/>
              <w:bottom w:val="single" w:sz="8" w:color="auto"/>
            </w:tcBorders>
          </w:tcPr>
          <w:p>
            <w:pPr>
              <w:jc w:val="right"/>
              <w:ind w:right="1157"/>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within one year</w:t>
            </w:r>
          </w:p>
        </w:tc>
        <w:tc>
          <w:tcPr>
            <w:tcW w:w="3400" w:type="dxa"/>
            <w:vAlign w:val="bottom"/>
            <w:gridSpan w:val="2"/>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Due after one year to two years</w:t>
            </w:r>
          </w:p>
        </w:tc>
        <w:tc>
          <w:tcPr>
            <w:tcW w:w="2880" w:type="dxa"/>
            <w:vAlign w:val="bottom"/>
            <w:tcBorders>
              <w:bottom w:val="single" w:sz="8" w:color="CFF0FC"/>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88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2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48,427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 Warrants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Private Placement Warrants are valued using the Black-Scholes-Merton Model, which is considered to be a Level 3 fair value measurement, as such they are classified within Level 3 of the fair value hierarchy. The primary unobservable input utilized in determining the fair value of the Private Placement Warrants is the implied volatility from trading prices of the Company's Public Warrants. Significant increases (decreases) in this input in isolation would have resulted in a significantly higher (lower) fair value measurement.</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Private Placement Warrants measured at fair value on a recurring basis for the three and six months ended June 30, 2025 and 2024:</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Level 3 Liabilities</w:t>
            </w:r>
          </w:p>
        </w:tc>
        <w:tc>
          <w:tcPr>
            <w:tcW w:w="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4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4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360" w:type="dxa"/>
            <w:vAlign w:val="bottom"/>
            <w:tcBorders>
              <w:bottom w:val="single" w:sz="8" w:color="auto"/>
            </w:tcBorders>
            <w:gridSpan w:val="6"/>
          </w:tcPr>
          <w:p>
            <w:pPr>
              <w:jc w:val="center"/>
              <w:ind w:left="1320"/>
              <w:spacing w:after="0"/>
              <w:rPr>
                <w:sz w:val="20"/>
                <w:szCs w:val="20"/>
                <w:color w:val="auto"/>
              </w:rPr>
            </w:pPr>
            <w:r>
              <w:rPr>
                <w:rFonts w:ascii="Times New Roman" w:cs="Times New Roman" w:eastAsia="Times New Roman" w:hAnsi="Times New Roman"/>
                <w:sz w:val="14"/>
                <w:szCs w:val="14"/>
                <w:b w:val="1"/>
                <w:bCs w:val="1"/>
                <w:color w:val="auto"/>
              </w:rPr>
              <w:t>For the Three Months Ended June 30, 2025</w:t>
            </w:r>
          </w:p>
        </w:tc>
        <w:tc>
          <w:tcPr>
            <w:tcW w:w="1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80" w:type="dxa"/>
            <w:vAlign w:val="bottom"/>
            <w:vMerge w:val="continue"/>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Beginning Balance</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tcPr>
          <w:p>
            <w:pPr>
              <w:jc w:val="center"/>
              <w:ind w:right="141"/>
              <w:spacing w:after="0" w:line="142" w:lineRule="exact"/>
              <w:rPr>
                <w:sz w:val="20"/>
                <w:szCs w:val="20"/>
                <w:color w:val="auto"/>
              </w:rPr>
            </w:pPr>
            <w:r>
              <w:rPr>
                <w:rFonts w:ascii="Times New Roman" w:cs="Times New Roman" w:eastAsia="Times New Roman" w:hAnsi="Times New Roman"/>
                <w:sz w:val="14"/>
                <w:szCs w:val="14"/>
                <w:b w:val="1"/>
                <w:bCs w:val="1"/>
                <w:color w:val="auto"/>
              </w:rPr>
              <w:t>Change in Fair Value</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ind w:right="399"/>
              <w:spacing w:after="0" w:line="142" w:lineRule="exact"/>
              <w:rPr>
                <w:sz w:val="20"/>
                <w:szCs w:val="20"/>
                <w:color w:val="auto"/>
              </w:rPr>
            </w:pPr>
            <w:r>
              <w:rPr>
                <w:rFonts w:ascii="Times New Roman" w:cs="Times New Roman" w:eastAsia="Times New Roman" w:hAnsi="Times New Roman"/>
                <w:sz w:val="14"/>
                <w:szCs w:val="14"/>
                <w:b w:val="1"/>
                <w:bCs w:val="1"/>
                <w:color w:val="auto"/>
              </w:rPr>
              <w:t>Ending Balance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(344)</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34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5"/>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For the Six Months Ended June 30, 2025</w:t>
            </w:r>
          </w:p>
        </w:tc>
        <w:tc>
          <w:tcPr>
            <w:tcW w:w="16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480" w:type="dxa"/>
            <w:vAlign w:val="bottom"/>
            <w:vMerge w:val="continue"/>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Beginning Balance</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tcPr>
          <w:p>
            <w:pPr>
              <w:jc w:val="center"/>
              <w:ind w:right="141"/>
              <w:spacing w:after="0" w:line="142" w:lineRule="exact"/>
              <w:rPr>
                <w:sz w:val="20"/>
                <w:szCs w:val="20"/>
                <w:color w:val="auto"/>
              </w:rPr>
            </w:pPr>
            <w:r>
              <w:rPr>
                <w:rFonts w:ascii="Times New Roman" w:cs="Times New Roman" w:eastAsia="Times New Roman" w:hAnsi="Times New Roman"/>
                <w:sz w:val="14"/>
                <w:szCs w:val="14"/>
                <w:b w:val="1"/>
                <w:bCs w:val="1"/>
                <w:color w:val="auto"/>
              </w:rPr>
              <w:t>Change in Fair Value</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ind w:right="399"/>
              <w:spacing w:after="0" w:line="142" w:lineRule="exact"/>
              <w:rPr>
                <w:sz w:val="20"/>
                <w:szCs w:val="20"/>
                <w:color w:val="auto"/>
              </w:rPr>
            </w:pPr>
            <w:r>
              <w:rPr>
                <w:rFonts w:ascii="Times New Roman" w:cs="Times New Roman" w:eastAsia="Times New Roman" w:hAnsi="Times New Roman"/>
                <w:sz w:val="14"/>
                <w:szCs w:val="14"/>
                <w:b w:val="1"/>
                <w:bCs w:val="1"/>
                <w:color w:val="auto"/>
              </w:rPr>
              <w:t>Ending Balance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(828)</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3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Level 3 Liabilities</w:t>
            </w: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4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4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360" w:type="dxa"/>
            <w:vAlign w:val="bottom"/>
            <w:tcBorders>
              <w:bottom w:val="single" w:sz="8" w:color="auto"/>
            </w:tcBorders>
            <w:gridSpan w:val="6"/>
          </w:tcPr>
          <w:p>
            <w:pPr>
              <w:jc w:val="center"/>
              <w:ind w:left="1320"/>
              <w:spacing w:after="0"/>
              <w:rPr>
                <w:sz w:val="20"/>
                <w:szCs w:val="20"/>
                <w:color w:val="auto"/>
              </w:rPr>
            </w:pPr>
            <w:r>
              <w:rPr>
                <w:rFonts w:ascii="Times New Roman" w:cs="Times New Roman" w:eastAsia="Times New Roman" w:hAnsi="Times New Roman"/>
                <w:sz w:val="14"/>
                <w:szCs w:val="14"/>
                <w:b w:val="1"/>
                <w:bCs w:val="1"/>
                <w:color w:val="auto"/>
              </w:rPr>
              <w:t>For the Three Months Ended June 30, 2024</w:t>
            </w:r>
          </w:p>
        </w:tc>
        <w:tc>
          <w:tcPr>
            <w:tcW w:w="1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80" w:type="dxa"/>
            <w:vAlign w:val="bottom"/>
            <w:vMerge w:val="continue"/>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Beginning Balance</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tcPr>
          <w:p>
            <w:pPr>
              <w:jc w:val="center"/>
              <w:ind w:right="141"/>
              <w:spacing w:after="0" w:line="142" w:lineRule="exact"/>
              <w:rPr>
                <w:sz w:val="20"/>
                <w:szCs w:val="20"/>
                <w:color w:val="auto"/>
              </w:rPr>
            </w:pPr>
            <w:r>
              <w:rPr>
                <w:rFonts w:ascii="Times New Roman" w:cs="Times New Roman" w:eastAsia="Times New Roman" w:hAnsi="Times New Roman"/>
                <w:sz w:val="14"/>
                <w:szCs w:val="14"/>
                <w:b w:val="1"/>
                <w:bCs w:val="1"/>
                <w:color w:val="auto"/>
              </w:rPr>
              <w:t>Change in Fair Value</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ind w:right="399"/>
              <w:spacing w:after="0" w:line="142" w:lineRule="exact"/>
              <w:rPr>
                <w:sz w:val="20"/>
                <w:szCs w:val="20"/>
                <w:color w:val="auto"/>
              </w:rPr>
            </w:pPr>
            <w:r>
              <w:rPr>
                <w:rFonts w:ascii="Times New Roman" w:cs="Times New Roman" w:eastAsia="Times New Roman" w:hAnsi="Times New Roman"/>
                <w:sz w:val="14"/>
                <w:szCs w:val="14"/>
                <w:b w:val="1"/>
                <w:bCs w:val="1"/>
                <w:color w:val="auto"/>
              </w:rPr>
              <w:t>Ending Balance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(1,656)</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34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5"/>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For the Six Months Ended June 30, 2024</w:t>
            </w:r>
          </w:p>
        </w:tc>
        <w:tc>
          <w:tcPr>
            <w:tcW w:w="16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480" w:type="dxa"/>
            <w:vAlign w:val="bottom"/>
            <w:vMerge w:val="continue"/>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Beginning Balance</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tcPr>
          <w:p>
            <w:pPr>
              <w:jc w:val="center"/>
              <w:ind w:right="141"/>
              <w:spacing w:after="0" w:line="142" w:lineRule="exact"/>
              <w:rPr>
                <w:sz w:val="20"/>
                <w:szCs w:val="20"/>
                <w:color w:val="auto"/>
              </w:rPr>
            </w:pPr>
            <w:r>
              <w:rPr>
                <w:rFonts w:ascii="Times New Roman" w:cs="Times New Roman" w:eastAsia="Times New Roman" w:hAnsi="Times New Roman"/>
                <w:sz w:val="14"/>
                <w:szCs w:val="14"/>
                <w:b w:val="1"/>
                <w:bCs w:val="1"/>
                <w:color w:val="auto"/>
              </w:rPr>
              <w:t>Change in Fair Value</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ind w:right="399"/>
              <w:spacing w:after="0" w:line="142" w:lineRule="exact"/>
              <w:rPr>
                <w:sz w:val="20"/>
                <w:szCs w:val="20"/>
                <w:color w:val="auto"/>
              </w:rPr>
            </w:pPr>
            <w:r>
              <w:rPr>
                <w:rFonts w:ascii="Times New Roman" w:cs="Times New Roman" w:eastAsia="Times New Roman" w:hAnsi="Times New Roman"/>
                <w:sz w:val="14"/>
                <w:szCs w:val="14"/>
                <w:b w:val="1"/>
                <w:bCs w:val="1"/>
                <w:color w:val="auto"/>
              </w:rPr>
              <w:t>Ending Balance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(510)</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850"/>
        </w:trPr>
        <w:tc>
          <w:tcPr>
            <w:tcW w:w="3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jc w:val="right"/>
              <w:ind w:right="94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4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were the inputs utilized in determining the fair value of the Private Placement Warrants as of June 30, 2025 and 2024:</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3720" w:type="dxa"/>
            <w:vAlign w:val="bottom"/>
            <w:tcBorders>
              <w:bottom w:val="single" w:sz="8" w:color="auto"/>
            </w:tcBorders>
            <w:gridSpan w:val="3"/>
          </w:tcPr>
          <w:p>
            <w:pPr>
              <w:ind w:left="26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80" w:type="dxa"/>
            <w:vAlign w:val="bottom"/>
            <w:vMerge w:val="continue"/>
          </w:tcPr>
          <w:p>
            <w:pPr>
              <w:spacing w:after="0"/>
              <w:rPr>
                <w:sz w:val="12"/>
                <w:szCs w:val="12"/>
                <w:color w:val="auto"/>
              </w:rPr>
            </w:pPr>
          </w:p>
        </w:tc>
        <w:tc>
          <w:tcPr>
            <w:tcW w:w="2680" w:type="dxa"/>
            <w:vAlign w:val="bottom"/>
            <w:tcBorders>
              <w:bottom w:val="single" w:sz="8" w:color="auto"/>
            </w:tcBorders>
          </w:tcPr>
          <w:p>
            <w:pPr>
              <w:jc w:val="right"/>
              <w:ind w:right="11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060" w:type="dxa"/>
            <w:vAlign w:val="bottom"/>
            <w:tcBorders>
              <w:bottom w:val="single" w:sz="8" w:color="auto"/>
            </w:tcBorders>
          </w:tcPr>
          <w:p>
            <w:pPr>
              <w:jc w:val="right"/>
              <w:ind w:right="11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28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Dividend yield </w:t>
            </w:r>
            <w:r>
              <w:rPr>
                <w:rFonts w:ascii="Times New Roman" w:cs="Times New Roman" w:eastAsia="Times New Roman" w:hAnsi="Times New Roman"/>
                <w:sz w:val="24"/>
                <w:szCs w:val="24"/>
                <w:color w:val="auto"/>
                <w:vertAlign w:val="superscript"/>
              </w:rPr>
              <w:t>(1)</w:t>
            </w:r>
          </w:p>
        </w:tc>
        <w:tc>
          <w:tcPr>
            <w:tcW w:w="3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shd w:val="clear" w:color="auto" w:fill="CFF0FC"/>
          </w:tcPr>
          <w:p>
            <w:pPr>
              <w:spacing w:after="0"/>
              <w:rPr>
                <w:sz w:val="18"/>
                <w:szCs w:val="18"/>
                <w:color w:val="auto"/>
              </w:rPr>
            </w:pPr>
          </w:p>
        </w:tc>
        <w:tc>
          <w:tcPr>
            <w:tcW w:w="2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52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Expected volatility </w:t>
            </w:r>
            <w:r>
              <w:rPr>
                <w:rFonts w:ascii="Times New Roman" w:cs="Times New Roman" w:eastAsia="Times New Roman" w:hAnsi="Times New Roman"/>
                <w:sz w:val="24"/>
                <w:szCs w:val="24"/>
                <w:color w:val="auto"/>
                <w:vertAlign w:val="superscript"/>
              </w:rPr>
              <w:t>(2)</w:t>
            </w:r>
          </w:p>
        </w:tc>
        <w:tc>
          <w:tcPr>
            <w:tcW w:w="3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80.1%</w:t>
            </w:r>
          </w:p>
        </w:tc>
        <w:tc>
          <w:tcPr>
            <w:tcW w:w="640" w:type="dxa"/>
            <w:vAlign w:val="bottom"/>
          </w:tcPr>
          <w:p>
            <w:pPr>
              <w:spacing w:after="0"/>
              <w:rPr>
                <w:sz w:val="18"/>
                <w:szCs w:val="18"/>
                <w:color w:val="auto"/>
              </w:rPr>
            </w:pPr>
          </w:p>
        </w:tc>
        <w:tc>
          <w:tcPr>
            <w:tcW w:w="2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Risk-free interest rate </w:t>
            </w:r>
            <w:r>
              <w:rPr>
                <w:rFonts w:ascii="Times New Roman" w:cs="Times New Roman" w:eastAsia="Times New Roman" w:hAnsi="Times New Roman"/>
                <w:sz w:val="24"/>
                <w:szCs w:val="24"/>
                <w:color w:val="auto"/>
                <w:vertAlign w:val="superscript"/>
              </w:rPr>
              <w:t>(3)</w:t>
            </w:r>
          </w:p>
        </w:tc>
        <w:tc>
          <w:tcPr>
            <w:tcW w:w="3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3.98%</w:t>
            </w:r>
          </w:p>
        </w:tc>
        <w:tc>
          <w:tcPr>
            <w:tcW w:w="640" w:type="dxa"/>
            <w:vAlign w:val="bottom"/>
            <w:shd w:val="clear" w:color="auto" w:fill="CFF0FC"/>
          </w:tcPr>
          <w:p>
            <w:pPr>
              <w:spacing w:after="0"/>
              <w:rPr>
                <w:sz w:val="18"/>
                <w:szCs w:val="18"/>
                <w:color w:val="auto"/>
              </w:rPr>
            </w:pPr>
          </w:p>
        </w:tc>
        <w:tc>
          <w:tcPr>
            <w:tcW w:w="2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34"/>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Term to warrant expiration (years)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00" w:hanging="216"/>
        <w:spacing w:after="0"/>
        <w:tabs>
          <w:tab w:leader="none" w:pos="3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dividends were paid during the six months ended June 30, 2025 and 2024.</w:t>
      </w:r>
    </w:p>
    <w:p>
      <w:pPr>
        <w:spacing w:after="0" w:line="43" w:lineRule="exact"/>
        <w:rPr>
          <w:rFonts w:ascii="Times New Roman" w:cs="Times New Roman" w:eastAsia="Times New Roman" w:hAnsi="Times New Roman"/>
          <w:sz w:val="15"/>
          <w:szCs w:val="15"/>
          <w:color w:val="auto"/>
        </w:rPr>
      </w:pPr>
    </w:p>
    <w:p>
      <w:pPr>
        <w:ind w:left="300" w:hanging="216"/>
        <w:spacing w:after="0"/>
        <w:tabs>
          <w:tab w:leader="none" w:pos="3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expected volatility is based on the back-solved implied volatility of the Company's public warrants as of the valuation date.</w:t>
      </w:r>
    </w:p>
    <w:p>
      <w:pPr>
        <w:spacing w:after="0" w:line="43" w:lineRule="exact"/>
        <w:rPr>
          <w:rFonts w:ascii="Times New Roman" w:cs="Times New Roman" w:eastAsia="Times New Roman" w:hAnsi="Times New Roman"/>
          <w:sz w:val="15"/>
          <w:szCs w:val="15"/>
          <w:color w:val="auto"/>
        </w:rPr>
      </w:pPr>
    </w:p>
    <w:p>
      <w:pPr>
        <w:ind w:left="300" w:hanging="216"/>
        <w:spacing w:after="0"/>
        <w:tabs>
          <w:tab w:leader="none" w:pos="3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risk-free interest rate is based on the yield from U.S. Treasury bonds with an equivalent term to the time to maturity of the warrants.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FIXED ASSETS, NET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Fixed assets, net, as of June 30, 2025 and December 31, 2024 consisted of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42"/>
        </w:trPr>
        <w:tc>
          <w:tcPr>
            <w:tcW w:w="70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700" w:type="dxa"/>
            <w:vAlign w:val="bottom"/>
          </w:tcPr>
          <w:p>
            <w:pPr>
              <w:jc w:val="right"/>
              <w:ind w:right="635"/>
              <w:spacing w:after="0" w:line="142"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Capitalized internal-use software costs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11,331</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6,488</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Computer and equipment</w:t>
            </w:r>
          </w:p>
        </w:tc>
        <w:tc>
          <w:tcPr>
            <w:tcW w:w="320" w:type="dxa"/>
            <w:vAlign w:val="bottom"/>
          </w:tcPr>
          <w:p>
            <w:pPr>
              <w:spacing w:after="0"/>
              <w:rPr>
                <w:sz w:val="18"/>
                <w:szCs w:val="18"/>
                <w:color w:val="auto"/>
              </w:rPr>
            </w:pPr>
          </w:p>
        </w:tc>
        <w:tc>
          <w:tcPr>
            <w:tcW w:w="17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779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755</w:t>
            </w:r>
          </w:p>
        </w:tc>
        <w:tc>
          <w:tcPr>
            <w:tcW w:w="0" w:type="dxa"/>
            <w:vAlign w:val="bottom"/>
          </w:tcPr>
          <w:p>
            <w:pPr>
              <w:spacing w:after="0"/>
              <w:rPr>
                <w:sz w:val="1"/>
                <w:szCs w:val="1"/>
                <w:color w:val="auto"/>
              </w:rPr>
            </w:pPr>
          </w:p>
        </w:tc>
      </w:tr>
      <w:tr>
        <w:trPr>
          <w:trHeight w:val="216"/>
        </w:trPr>
        <w:tc>
          <w:tcPr>
            <w:tcW w:w="7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144</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09"/>
        </w:trPr>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320" w:type="dxa"/>
            <w:vAlign w:val="bottom"/>
          </w:tcPr>
          <w:p>
            <w:pPr>
              <w:spacing w:after="0"/>
              <w:rPr>
                <w:sz w:val="18"/>
                <w:szCs w:val="18"/>
                <w:color w:val="auto"/>
              </w:rPr>
            </w:pPr>
          </w:p>
        </w:tc>
        <w:tc>
          <w:tcPr>
            <w:tcW w:w="17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12,254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7,382</w:t>
            </w:r>
          </w:p>
        </w:tc>
        <w:tc>
          <w:tcPr>
            <w:tcW w:w="0" w:type="dxa"/>
            <w:vAlign w:val="bottom"/>
          </w:tcPr>
          <w:p>
            <w:pPr>
              <w:spacing w:after="0"/>
              <w:rPr>
                <w:sz w:val="1"/>
                <w:szCs w:val="1"/>
                <w:color w:val="auto"/>
              </w:rPr>
            </w:pPr>
          </w:p>
        </w:tc>
      </w:tr>
      <w:tr>
        <w:trPr>
          <w:trHeight w:val="216"/>
        </w:trPr>
        <w:tc>
          <w:tcPr>
            <w:tcW w:w="7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20" w:type="dxa"/>
            <w:vAlign w:val="bottom"/>
            <w:tcBorders>
              <w:bottom w:val="single" w:sz="8" w:color="auto"/>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0" w:type="dxa"/>
            <w:vAlign w:val="bottom"/>
          </w:tcPr>
          <w:p>
            <w:pPr>
              <w:spacing w:after="0"/>
              <w:rPr>
                <w:sz w:val="1"/>
                <w:szCs w:val="1"/>
                <w:color w:val="auto"/>
              </w:rPr>
            </w:pPr>
          </w:p>
        </w:tc>
      </w:tr>
      <w:tr>
        <w:trPr>
          <w:trHeight w:val="210"/>
        </w:trPr>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 assets, net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10,136</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6,259</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-453390</wp:posOffset>
            </wp:positionV>
            <wp:extent cx="12001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-170815</wp:posOffset>
            </wp:positionV>
            <wp:extent cx="12001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COMMITMENTS AND CONTINGENT LIABILITIES</w:t>
      </w: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 may in the future be involved in various legal proceedings, claims and litigation that arise in the normal course of business. The Company accrues for estimated loss contingencies related to legal matters when available information indicates that it is probable a liability has been incurred and the Company can reasonably estimate the amount of that loss.</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many proceedings, however, it is inherently difficult to determine whether any loss is probable or even possible or to estimate the amount of any loss. In addition, even where a loss is possible or an exposure to loss exists in excess of the liability already accrued with respect to a previously recognized loss contingency, it is often not possible to reasonably estimate the size of the possible loss or range of loss or possible additional losses or range of additional losses. As of June 30, 2025, there were no material pending legal proceedings, claims or litigation.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Warranties and Indemnification</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arrangements generally include certain provisions for indemnifying customers against liabilities if there is a breach of a customer’s data or if the Company’s service infringes a third party’s intellectual property rights. To date, the Company has not incurred any material costs as a result of such indemnifications.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also agreed to indemnify its directors and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a director or officer or that person’s services provided to any other company or enterprise at the Company’s request. The Company maintains director and officer liability insurance coverage that would generally enable it to recover a portion of any future amounts paid. The Company may also be subject to indemnification obligations by law with respect to the actions of its employees under certain circumstances and in certain jurisdictions.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CAPITAL STOCK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22, 2024, the Company announced that its Board of Directors approved a share repurchase program to authorize the repurchase of up to $15.0 million of the currently outstanding shares of the Company’s common stock over a period of twenty-four months beginning on March 1, 2024 (the “Share Repurchase Program”). On August 1, 2024, the Company’s Board of Directors amended the Share Repurchase Program to authorize the Company to repurchase up to an additional $25.0 million of its common stock. The Share Repurchase Program will remain in effect until the earliest: 1) the total authorized dollar amount of shares is repurchased or 2) August 1, 2026.</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2025, the Company repurchased and retired an aggregate of 541,268 and 3,060,438 shares, respectively, of its common stock for a total consideration of $1.4 million ($2.62 per share) and $8.4 million ($2.73 per share), respectively. As of June 30, 2025, $20.6 million remained available under the Share Repurchase Program.</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Share Repurchase Program does not obligate the Company to repurchase any dollar amount or number of shares, and may be modified, suspended, or discontinued at any time at the Company’s discretion without prior notice. All shares repurchased will be retired.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SHARE-BASED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2021, the Company adopted the 2021 Incentive Award Plan (the “2021 Plan”) under which the Company may grant cash and equity incentive awards to officers, employees, directors, consultants and service providers in order to attract, motivate and retain talent. The 2021 Plan replaced the Company's previous stock compensation plan.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stock-based awards are measured based on the grant date fair value and are generally recognized on a straight-line basis in the Company’s condensed consolidated statements of operations over the requisite service period (generally requiring a four-year vesting period).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total share-based compensation expense related to stock options and restricted stock units included in the respective components of operating expenses in the condensed consolidated statements of operations: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20" w:type="dxa"/>
            <w:vAlign w:val="bottom"/>
            <w:gridSpan w:val="4"/>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41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7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80" w:type="dxa"/>
            <w:vAlign w:val="bottom"/>
            <w:vMerge w:val="continue"/>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right"/>
              <w:ind w:right="217"/>
              <w:spacing w:after="0" w:line="142"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ind w:right="235"/>
              <w:spacing w:after="0" w:line="142"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ind w:right="237"/>
              <w:spacing w:after="0" w:line="142"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right"/>
              <w:ind w:right="255"/>
              <w:spacing w:after="0" w:line="142"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Clinical operations, net</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4,688</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-25400</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-8255</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-25400</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-8255</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-25400</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-8255</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NET LOSS PER SHARE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basic net loss per share is calculated by dividing net loss attributable to ordinary shareholders by the weighted-average number of shares of common stock outstanding for the period, without consideration of potentially dilutive securities. The diluted net loss per share is calculated by giving effect to all potentially dilutive securities outstanding for the period using the treasury stock method or the if-converted method based on the nature of such securities. Diluted net loss per share is the same as basic net loss per share in periods when the effects of potentially dilutive shares of common stock are anti-dilutive.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2025, the shares underlying the following were excluded from the calculation of diluted net loss per share since each would have had an anti-dilutive effect given the Company's net loss: 8,988,145 stock options, 6,875,148 restricted stock units, 12,757,500 Private Placement Warrants and 20,722,500 Public Warrants to purchase the Company’s common stock.</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2024, the shares underlying the following were excluded from the calculation of diluted net loss per share since each would have had an anti-dilutive effect given the Company's net loss: 9,137,986 stock options, 8,397,227 restricted stock units, 12,780,000 Private Placement Warrants and 20,700,000 Public Warrants to purchase the Company’s common stock.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ACCRUED EXPENSES AND OTHER 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amounts included within accrued expenses and other current liabilities as of June 30, 2025 and December 31, 2024: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Pr>
          <w:p>
            <w:pPr>
              <w:spacing w:after="0"/>
              <w:rPr>
                <w:sz w:val="15"/>
                <w:szCs w:val="15"/>
                <w:color w:val="auto"/>
              </w:rPr>
            </w:pPr>
          </w:p>
        </w:tc>
        <w:tc>
          <w:tcPr>
            <w:tcW w:w="17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42"/>
        </w:trPr>
        <w:tc>
          <w:tcPr>
            <w:tcW w:w="6700" w:type="dxa"/>
            <w:vAlign w:val="bottom"/>
            <w:vMerge w:val="continue"/>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tcPr>
          <w:p>
            <w:pPr>
              <w:jc w:val="right"/>
              <w:ind w:right="635"/>
              <w:spacing w:after="0" w:line="142"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compensation</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4,228</w:t>
            </w:r>
          </w:p>
        </w:tc>
        <w:tc>
          <w:tcPr>
            <w:tcW w:w="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5,144</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36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912</w:t>
            </w:r>
          </w:p>
        </w:tc>
        <w:tc>
          <w:tcPr>
            <w:tcW w:w="0" w:type="dxa"/>
            <w:vAlign w:val="bottom"/>
          </w:tcPr>
          <w:p>
            <w:pPr>
              <w:spacing w:after="0"/>
              <w:rPr>
                <w:sz w:val="1"/>
                <w:szCs w:val="1"/>
                <w:color w:val="auto"/>
              </w:rPr>
            </w:pPr>
          </w:p>
        </w:tc>
      </w:tr>
      <w:tr>
        <w:trPr>
          <w:trHeight w:val="216"/>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User acquisition</w:t>
            </w:r>
          </w:p>
        </w:tc>
        <w:tc>
          <w:tcPr>
            <w:tcW w:w="36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549</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Severance</w:t>
            </w:r>
          </w:p>
        </w:tc>
        <w:tc>
          <w:tcPr>
            <w:tcW w:w="36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16"/>
        </w:trPr>
        <w:tc>
          <w:tcPr>
            <w:tcW w:w="6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7,056</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8,031</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-170815</wp:posOffset>
            </wp:positionV>
            <wp:extent cx="774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VARIABLE INTEREST ENTITIES ("VIEs")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holds a variable interest in Talkspace Provider Network, PA (“TPN”) and several affiliated professional associations and corporations (“PC entities”). The Company evaluates whether an entity in which it has a variable interest is considered a VIE. VIEs are generally entities that have either a total equity investment that is insufficient to permit the entity to finance its activities without additional subordinated financial support, or whose equity investors lack the characteristics of a controlling financial interest (i.e., ability to direct the activities of the entity that most significantly impact the entity's economic performance through voting rights and a right to receive the expected residual returns of the entity or an obligation to absorb the expected losses of the entity). TPN and the PC entities are considered VIEs.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provisions of ASC 810, “Consolidation,” an entity consolidates a VIE if it is determined to be the primary beneficiary of the VIE. The primary beneficiary has both (a) the power to direct the activities of the VIE that most significantly impact the entity’s economic performance, and (b) the obligation to absorb losses or the right to receive benefits from the VIE that could potentially be significant to the VIE.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determined that it is able to direct the activities of TPN and the PC entities that most significantly impact their economic performance and it funds and absorbs all losses of these VIEs resulting in the Company being the primary beneficiary of these entities. Accordingly, the Company consolidates these VIEs.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details the assets and liabilities of the VIEs as of June 30, 2025 and December 31, 2024. The assets and liabilities in the table below are presented prior to consolidation and thus a portion of these assets and liabilities are eliminated in consolidation.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42"/>
        </w:trPr>
        <w:tc>
          <w:tcPr>
            <w:tcW w:w="4420" w:type="dxa"/>
            <w:vAlign w:val="bottom"/>
            <w:vMerge w:val="continue"/>
          </w:tcPr>
          <w:p>
            <w:pPr>
              <w:spacing w:after="0"/>
              <w:rPr>
                <w:sz w:val="12"/>
                <w:szCs w:val="12"/>
                <w:color w:val="auto"/>
              </w:rPr>
            </w:pPr>
          </w:p>
        </w:tc>
        <w:tc>
          <w:tcPr>
            <w:tcW w:w="28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jc w:val="right"/>
              <w:ind w:right="515"/>
              <w:spacing w:after="0" w:line="142"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2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133</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12,935</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6,743</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8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23,372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36,440</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27,861</w:t>
            </w:r>
          </w:p>
        </w:tc>
        <w:tc>
          <w:tcPr>
            <w:tcW w:w="0" w:type="dxa"/>
            <w:vAlign w:val="bottom"/>
          </w:tcPr>
          <w:p>
            <w:pPr>
              <w:spacing w:after="0"/>
              <w:rPr>
                <w:sz w:val="1"/>
                <w:szCs w:val="1"/>
                <w:color w:val="auto"/>
              </w:rPr>
            </w:pPr>
          </w:p>
        </w:tc>
      </w:tr>
      <w:tr>
        <w:trPr>
          <w:trHeight w:val="196"/>
        </w:trPr>
        <w:tc>
          <w:tcPr>
            <w:tcW w:w="44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280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8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3,198</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2,528</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3,198</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2,528</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800" w:type="dxa"/>
            <w:vAlign w:val="bottom"/>
            <w:vMerge w:val="restart"/>
          </w:tcPr>
          <w:p>
            <w:pPr>
              <w:jc w:val="right"/>
              <w:ind w:right="1410"/>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442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42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-1276350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-1259205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-1276350</wp:posOffset>
            </wp:positionV>
            <wp:extent cx="7747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-1259205</wp:posOffset>
            </wp:positionV>
            <wp:extent cx="7747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-976630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-976630</wp:posOffset>
            </wp:positionV>
            <wp:extent cx="774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in this section as to “Talkspace,” the “Company,” “we,” “us” or “our” refer to the business of Talkspace, Inc. and its consolidated subsidiaries.</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together with the financial statements and the related notes contained in this Quarterly Report and the financial statements and related notes contained in the Company's Annual Report on Form 10-K for the fiscal year ended December 31, 2024. This discussion contains forward-looking statements that reflect our plans, estimates, and beliefs that involve risks and uncertainties. As a result of many factors, such as those discussed in Part I, Item 1A, “Risk Factors” of the Company's Annual Report on Form 10-K for the fiscal year ended December 31, 2024 and “Forward-Looking Statements” sections and elsewhere in this Quarterly Report, our actual results may differ materially from those anticipated in these forward-looking statements.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purpose of this section is to discuss and analyze our consolidated financial condition, liquidity and capital resources and results of operations for the three and six months ended June 30, 2025 and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Talkspace is a healthcare company offering its members convenient and affordable access to a fully-credentialed network of highly qualified providers. We are a leading virtual behavioral health company connecting millions of patients with licensed mental health providers across a wide and growing spectrum of care through virtual psychotherapy and psychiatry. We created a purpose-built platform to address the vast, unmet and growing demand for mental health services of our members. Through its platform, Talkspace serves:</w:t>
      </w:r>
    </w:p>
    <w:p>
      <w:pPr>
        <w:spacing w:after="0" w:line="72" w:lineRule="exact"/>
        <w:rPr>
          <w:sz w:val="20"/>
          <w:szCs w:val="20"/>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insurance plans (commercial and government) and employee assistance programs (“Payor”), who offer their insured members access to the Company's platform at in-network reimbursement rates,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Direct-to-Enterprise (“DTE”), comprised of enterprises, who offer their enterprise members access to the Company's platform while their enterprise is under an active contract with Talkspace,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subscribers (“Consumer”) who subscribe directly to the Company's platform.</w:t>
      </w:r>
    </w:p>
    <w:p>
      <w:pPr>
        <w:spacing w:after="0" w:line="3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and six months ended June 30, 2025, our clinicians completed approximately 385,100 and 735,100 sessions, respectively, related to members covered under our Payor customers, compared to 298,600 and 582,800 completed sessions, respectively, for the three and six months ended June 30, 2024. As of June 30, 2025, we had approximately 6,650 Consumer active members compared to 10,700 Consumer active members as of June 30, 2024. Please refer to the “Key Business Metrics” section below for a description of Consumer active members.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Risk and Economic Conditions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demand for our solution is dependent on the general economy, which is in turn affected by geopolitical conditions, the stability of the global credit markets, inflationary pressures, higher interest rates, the industries in which our Payor and DTE customers operate or serve, and other factors. Downturns in the general economy could disproportionately affect the demand for our solution and cause it to decrease.</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operations could also be impacted by inflation and higher interest rates. Inflation did not have a material effect on our business, financial condition or results of operations for the six months ended June 30, 2025 and 2024. However, if our costs were to become subject to significant inflationary pressures (such as Provider cost), we may not be able to fully offset such higher costs through price increases or cost savings. Our inability or failure to do so could harm our business, financial condition or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Segments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operates as a single segment, which is how the chief operating decision maker (“CODM”), who is the Chief Executive Officer, reviews financial performance and allocates resources.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4, 2025, the One Big Beautiful Bill Act (“OBBBA”) was signed into law. This legislation includes changes to U.S. federal tax law, which may be subject to further clarification and the issuance of interpretive guidance. We are currently assessing the legislation and its effect on our consolidated financial statements.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monitor the following key metrics to help us evaluate our business, identify trends affecting our business, formulate business plans and make strategic decisions. We believe the following metrics are useful in evaluating our business: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00" w:type="dxa"/>
            <w:vAlign w:val="bottom"/>
          </w:tcPr>
          <w:p>
            <w:pPr>
              <w:spacing w:after="0"/>
              <w:rPr>
                <w:sz w:val="15"/>
                <w:szCs w:val="15"/>
                <w:color w:val="auto"/>
              </w:rPr>
            </w:pPr>
          </w:p>
        </w:tc>
        <w:tc>
          <w:tcPr>
            <w:tcW w:w="3140" w:type="dxa"/>
            <w:vAlign w:val="bottom"/>
            <w:tcBorders>
              <w:bottom w:val="single" w:sz="8" w:color="auto"/>
            </w:tcBorders>
            <w:gridSpan w:val="4"/>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6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number of health plan and enterprise customers or otherwise indicated)</w:t>
            </w:r>
          </w:p>
        </w:tc>
        <w:tc>
          <w:tcPr>
            <w:tcW w:w="1240" w:type="dxa"/>
            <w:vAlign w:val="bottom"/>
          </w:tcPr>
          <w:p>
            <w:pPr>
              <w:jc w:val="center"/>
              <w:ind w:left="40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900" w:type="dxa"/>
            <w:vAlign w:val="bottom"/>
            <w:gridSpan w:val="3"/>
          </w:tcPr>
          <w:p>
            <w:pPr>
              <w:jc w:val="center"/>
              <w:ind w:left="105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00" w:type="dxa"/>
            <w:vAlign w:val="bottom"/>
            <w:vMerge w:val="continue"/>
          </w:tcPr>
          <w:p>
            <w:pPr>
              <w:spacing w:after="0"/>
              <w:rPr>
                <w:sz w:val="12"/>
                <w:szCs w:val="12"/>
                <w:color w:val="auto"/>
              </w:rPr>
            </w:pPr>
          </w:p>
        </w:tc>
        <w:tc>
          <w:tcPr>
            <w:tcW w:w="1240" w:type="dxa"/>
            <w:vAlign w:val="bottom"/>
            <w:tcBorders>
              <w:top w:val="single" w:sz="8" w:color="auto"/>
            </w:tcBorders>
          </w:tcPr>
          <w:p>
            <w:pPr>
              <w:jc w:val="center"/>
              <w:ind w:left="408"/>
              <w:spacing w:after="0" w:line="142"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4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Borders>
              <w:top w:val="single" w:sz="8" w:color="auto"/>
            </w:tcBorders>
          </w:tcPr>
          <w:p>
            <w:pPr>
              <w:jc w:val="center"/>
              <w:ind w:left="408"/>
              <w:spacing w:after="0" w:line="142"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5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Number of completed Payor sessions during the period</w:t>
            </w:r>
          </w:p>
        </w:tc>
        <w:tc>
          <w:tcPr>
            <w:tcW w:w="12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735.1</w:t>
            </w: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582.8</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Number of health plan customers at period end</w:t>
            </w:r>
          </w:p>
        </w:tc>
        <w:tc>
          <w:tcPr>
            <w:tcW w:w="1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Number of enterprise customers at period end</w:t>
            </w:r>
          </w:p>
        </w:tc>
        <w:tc>
          <w:tcPr>
            <w:tcW w:w="12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Number of Consumer active members at period end</w:t>
            </w:r>
          </w:p>
        </w:tc>
        <w:tc>
          <w:tcPr>
            <w:tcW w:w="1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rPr>
                <w:sz w:val="17"/>
                <w:szCs w:val="17"/>
                <w:color w:val="auto"/>
              </w:rPr>
            </w:pPr>
          </w:p>
        </w:tc>
        <w:tc>
          <w:tcPr>
            <w:tcW w:w="3140" w:type="dxa"/>
            <w:vAlign w:val="bottom"/>
            <w:tcBorders>
              <w:bottom w:val="single" w:sz="8" w:color="auto"/>
            </w:tcBorders>
            <w:gridSpan w:val="4"/>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40" w:type="dxa"/>
            <w:vAlign w:val="bottom"/>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900" w:type="dxa"/>
            <w:vAlign w:val="bottom"/>
            <w:gridSpan w:val="3"/>
          </w:tcPr>
          <w:p>
            <w:pPr>
              <w:jc w:val="center"/>
              <w:ind w:left="105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7600" w:type="dxa"/>
            <w:vAlign w:val="bottom"/>
            <w:vMerge w:val="continue"/>
          </w:tcPr>
          <w:p>
            <w:pPr>
              <w:spacing w:after="0"/>
              <w:rPr>
                <w:sz w:val="13"/>
                <w:szCs w:val="13"/>
                <w:color w:val="auto"/>
              </w:rPr>
            </w:pPr>
          </w:p>
        </w:tc>
        <w:tc>
          <w:tcPr>
            <w:tcW w:w="1240" w:type="dxa"/>
            <w:vAlign w:val="bottom"/>
            <w:tcBorders>
              <w:top w:val="single" w:sz="8" w:color="auto"/>
            </w:tcBorders>
            <w:vMerge w:val="restart"/>
          </w:tcPr>
          <w:p>
            <w:pPr>
              <w:jc w:val="center"/>
              <w:ind w:left="408"/>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4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Borders>
              <w:top w:val="single" w:sz="8" w:color="auto"/>
            </w:tcBorders>
            <w:vMerge w:val="restart"/>
          </w:tcPr>
          <w:p>
            <w:pPr>
              <w:jc w:val="center"/>
              <w:ind w:left="408"/>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5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60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Unique Payor active members during the period</w:t>
            </w:r>
          </w:p>
        </w:tc>
        <w:tc>
          <w:tcPr>
            <w:tcW w:w="12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0" w:type="dxa"/>
            <w:vAlign w:val="bottom"/>
          </w:tcPr>
          <w:p>
            <w:pPr>
              <w:spacing w:after="0"/>
              <w:rPr>
                <w:sz w:val="1"/>
                <w:szCs w:val="1"/>
                <w:color w:val="auto"/>
              </w:rPr>
            </w:pPr>
          </w:p>
        </w:tc>
      </w:tr>
    </w:tbl>
    <w:p>
      <w:pPr>
        <w:spacing w:after="0" w:line="30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Active Members: </w:t>
      </w:r>
      <w:r>
        <w:rPr>
          <w:rFonts w:ascii="Times New Roman" w:cs="Times New Roman" w:eastAsia="Times New Roman" w:hAnsi="Times New Roman"/>
          <w:sz w:val="18"/>
          <w:szCs w:val="18"/>
          <w:color w:val="auto"/>
        </w:rPr>
        <w:t>We consider consumer members “active” commencing on the date such member initiates contact with a provider on our platform until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of their monthly, quarterly or bi-annual subscription plan expires, unless terminated early.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Unique Payor Active Members: </w:t>
      </w:r>
      <w:r>
        <w:rPr>
          <w:rFonts w:ascii="Times New Roman" w:cs="Times New Roman" w:eastAsia="Times New Roman" w:hAnsi="Times New Roman"/>
          <w:sz w:val="18"/>
          <w:szCs w:val="18"/>
          <w:color w:val="auto"/>
        </w:rPr>
        <w:t>Represents unique users who had a session completed during the period.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generate revenue from services provided to individuals who are qualified to receive access to the Company's services through our commercial arrangements with health insurance plans, employee assistance organizations and enterprises. We also generate revenue from the sale of monthly, quarterly, bi-annual and annual membership subscriptions to the Company's therapy platform as well as supplementary a la carte offerings directly to individual consumers through a subscription plan. See Note 3, “Revenue Recognition” in the notes to the condensed consolidated financial statements for further details.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growth is generated from a combination of increasing utilization within our Payor members and expanding enterprise customers.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excluding depreciation and amortization</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revenue is comprised primarily of therapist payments. Cost of revenue is largely driven by the number of sessions and the size of our provider network that is required to service the growth of our Payor and DTE customers, in addition to the growth of our customer base.</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designed our business model and our provider network to be scalable and to leverage a hybrid model of both employee providers and independently contracted providers to support multiple growth scenarios. The compensation paid to our independently contracted providers is variable, and the amount paid to a provider is generally based on the amount of time committed by such provider to our members. Our employee providers receive a fixed-salary and discretionary bonuses, where applicable, all of which is included in cost of revenue.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we expect to make increased investments to support accelerated growth and the required investment to scale our provider network, we also expect increased efficiencies and economies of scale. Our cost of revenue as a percentage of revenue is expected to fluctuate from period to period depending on the interplay of these factors as well as pricing fluctuations.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include personnel and related expenses for software development and engineering, information technology infrastructure, security, privacy compliance and product development (inclusive of stock-based compensation for our research and development employees), third-party services and contractors related to research and development, information technology and software-related costs. Research and development expenses exclude amounts reflected as capitalized internal-use software development costs.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Operations Expenses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Clinical operations expenses are associated with the management of our network of therapists. This item is comprised of costs related to recruiting, onboarding, credentialing, training and ongoing quality assurance activities (inclusive of stock-based compensation for our clinical operations employees), costs of third-party services and contractors related to recruiting and training and software-related costs.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Sales expenses consist primarily of employee-related expenses, including salaries, benefits, commissions, travel and stock-based compensation costs for our employees engaged in sales and account management.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Marketing expenses consist primarily of advertising and marketing expenses for member acquisition and engagement, as well as personnel costs, including salaries, benefits, bonuses, stock-based compensation expense for marketing employees, third-party services and contractors. Marketing expenses also include third-party software subscription services, third-party independent research, participation in trade shows, brand messaging and costs of communications materials that are produced for our customers to generate greater awareness and utilization of our platform among our Payor and DTE customers.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costs, including salaries, benefits, bonuses and stock-based compensation expense for certain executives, finance, accounting, legal and human resources functions, as well as professional fees.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2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consists primarily of depreciation expense on capitalized internal use-software costs, computer and equipment and amortization of intangible asset.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income, net</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Financial income, net includes the impact from (i) interest earned in investments in marketable securities and other highly liquid investments, (ii) non-cash changes in the fair value of our warrant liabilities, and (iii) other financial expenses in connection with bank charges.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Taxes on income</w:t>
      </w:r>
    </w:p>
    <w:p>
      <w:pPr>
        <w:spacing w:after="0" w:line="175"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Taxes on income consists of U.S. income taxes related to income generated by our U.S. subsidiary and foreign income taxes related to income generated by our subsidiary organized under the laws of Israel. Taxes on income were not material for the three and six months ended June 30, 2025 and 2024.</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results of operations for the three and six months ended June 30, 2025 and 2024 and the dollar and percentage change between the respective periods: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140" w:type="dxa"/>
            <w:vAlign w:val="bottom"/>
          </w:tcPr>
          <w:p>
            <w:pPr>
              <w:spacing w:after="0"/>
              <w:rPr>
                <w:sz w:val="15"/>
                <w:szCs w:val="15"/>
                <w:color w:val="auto"/>
              </w:rPr>
            </w:pPr>
          </w:p>
        </w:tc>
        <w:tc>
          <w:tcPr>
            <w:tcW w:w="22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20" w:type="dxa"/>
            <w:vAlign w:val="bottom"/>
          </w:tcPr>
          <w:p>
            <w:pPr>
              <w:spacing w:after="0"/>
              <w:rPr>
                <w:sz w:val="15"/>
                <w:szCs w:val="15"/>
                <w:color w:val="auto"/>
              </w:rPr>
            </w:pPr>
          </w:p>
        </w:tc>
        <w:tc>
          <w:tcPr>
            <w:tcW w:w="102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680" w:type="dxa"/>
            <w:vAlign w:val="bottom"/>
            <w:vMerge w:val="continue"/>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Revenue:</w:t>
            </w:r>
          </w:p>
        </w:tc>
        <w:tc>
          <w:tcPr>
            <w:tcW w:w="140" w:type="dxa"/>
            <w:vAlign w:val="bottom"/>
          </w:tcPr>
          <w:p>
            <w:pPr>
              <w:spacing w:after="0"/>
              <w:rPr>
                <w:sz w:val="17"/>
                <w:szCs w:val="17"/>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140" w:type="dxa"/>
            <w:vAlign w:val="bottom"/>
          </w:tcPr>
          <w:p>
            <w:pPr>
              <w:spacing w:after="0"/>
              <w:rPr>
                <w:sz w:val="17"/>
                <w:szCs w:val="17"/>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60" w:type="dxa"/>
            <w:vAlign w:val="bottom"/>
          </w:tcPr>
          <w:p>
            <w:pPr>
              <w:spacing w:after="0"/>
              <w:rPr>
                <w:sz w:val="17"/>
                <w:szCs w:val="17"/>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6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Payor revenue</w:t>
            </w:r>
          </w:p>
        </w:tc>
        <w:tc>
          <w:tcPr>
            <w:tcW w:w="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40,501</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29,945</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10,556</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35.3</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78,343</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58,453</w:t>
            </w: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19,890</w:t>
            </w: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DTE revenue</w:t>
            </w: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9,403</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9,628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(225)</w:t>
            </w:r>
          </w:p>
        </w:tc>
        <w:tc>
          <w:tcPr>
            <w:tcW w:w="1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18,986</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19,541</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(555)</w:t>
            </w:r>
          </w:p>
        </w:tc>
        <w:tc>
          <w:tcPr>
            <w:tcW w:w="24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48"/>
        </w:trPr>
        <w:tc>
          <w:tcPr>
            <w:tcW w:w="26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Consumer revenue</w:t>
            </w: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4,406</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6,485</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(2,079)</w:t>
            </w:r>
          </w:p>
        </w:tc>
        <w:tc>
          <w:tcPr>
            <w:tcW w:w="1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(32.1)</w:t>
            </w: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9,163</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13,480</w:t>
            </w: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(4,317)</w:t>
            </w:r>
          </w:p>
        </w:tc>
        <w:tc>
          <w:tcPr>
            <w:tcW w:w="24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(32.0)</w:t>
            </w:r>
          </w:p>
        </w:tc>
        <w:tc>
          <w:tcPr>
            <w:tcW w:w="0" w:type="dxa"/>
            <w:vAlign w:val="bottom"/>
          </w:tcPr>
          <w:p>
            <w:pPr>
              <w:spacing w:after="0"/>
              <w:rPr>
                <w:sz w:val="1"/>
                <w:szCs w:val="1"/>
                <w:color w:val="auto"/>
              </w:rPr>
            </w:pPr>
          </w:p>
        </w:tc>
      </w:tr>
      <w:tr>
        <w:trPr>
          <w:trHeight w:val="148"/>
        </w:trPr>
        <w:tc>
          <w:tcPr>
            <w:tcW w:w="2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Total revenue</w:t>
            </w: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54,310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46,058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8,252</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106,492</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91,474</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15,018</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Costs and operating expenses:</w:t>
            </w: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680" w:type="dxa"/>
            <w:vAlign w:val="bottom"/>
          </w:tcPr>
          <w:p>
            <w:pPr>
              <w:ind w:left="120"/>
              <w:spacing w:after="0" w:line="126" w:lineRule="exact"/>
              <w:rPr>
                <w:sz w:val="20"/>
                <w:szCs w:val="20"/>
                <w:color w:val="auto"/>
              </w:rPr>
            </w:pPr>
            <w:r>
              <w:rPr>
                <w:rFonts w:ascii="Times New Roman" w:cs="Times New Roman" w:eastAsia="Times New Roman" w:hAnsi="Times New Roman"/>
                <w:sz w:val="14"/>
                <w:szCs w:val="14"/>
                <w:color w:val="auto"/>
              </w:rPr>
              <w:t>Cost of revenue, excluding</w:t>
            </w:r>
          </w:p>
        </w:tc>
        <w:tc>
          <w:tcPr>
            <w:tcW w:w="14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30,917</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24,996</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5,921</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59,706</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48,569</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11,137</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Research and development</w:t>
            </w: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2,563</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2,088</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475</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22.7</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5,403</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5,749</w:t>
            </w: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(346)</w:t>
            </w:r>
          </w:p>
        </w:tc>
        <w:tc>
          <w:tcPr>
            <w:tcW w:w="24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48"/>
        </w:trPr>
        <w:tc>
          <w:tcPr>
            <w:tcW w:w="26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Clinical operations, net</w:t>
            </w: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1,921</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1,661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3,777</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3,125</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652</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Sales and marketing</w:t>
            </w: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14,253</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13,240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1,013</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7.7</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28,178</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26,240</w:t>
            </w: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1,938</w:t>
            </w: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5,728</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7,339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(1,611)</w:t>
            </w:r>
          </w:p>
        </w:tc>
        <w:tc>
          <w:tcPr>
            <w:tcW w:w="1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(22.0)</w:t>
            </w: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10,935</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12,535</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(1,600)</w:t>
            </w:r>
          </w:p>
        </w:tc>
        <w:tc>
          <w:tcPr>
            <w:tcW w:w="24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(12.8)</w:t>
            </w:r>
          </w:p>
        </w:tc>
        <w:tc>
          <w:tcPr>
            <w:tcW w:w="0" w:type="dxa"/>
            <w:vAlign w:val="bottom"/>
          </w:tcPr>
          <w:p>
            <w:pPr>
              <w:spacing w:after="0"/>
              <w:rPr>
                <w:sz w:val="1"/>
                <w:szCs w:val="1"/>
                <w:color w:val="auto"/>
              </w:rPr>
            </w:pPr>
          </w:p>
        </w:tc>
      </w:tr>
      <w:tr>
        <w:trPr>
          <w:trHeight w:val="148"/>
        </w:trPr>
        <w:tc>
          <w:tcPr>
            <w:tcW w:w="26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718</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498</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226.4</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1,368</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421</w:t>
            </w: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947</w:t>
            </w: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224.9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Total costs and operating expenses</w:t>
            </w: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56,100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49,544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6,556</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109,367</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96,639</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12,728</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Loss from operations</w:t>
            </w:r>
          </w:p>
        </w:tc>
        <w:tc>
          <w:tcPr>
            <w:tcW w:w="14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(1,790)</w:t>
            </w:r>
          </w:p>
        </w:tc>
        <w:tc>
          <w:tcPr>
            <w:tcW w:w="14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(3,486)</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1,696</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48.7</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(2,875)</w:t>
            </w:r>
          </w:p>
        </w:tc>
        <w:tc>
          <w:tcPr>
            <w:tcW w:w="6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(5,165)</w:t>
            </w: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2,290</w:t>
            </w: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Financial income, net</w:t>
            </w:r>
          </w:p>
        </w:tc>
        <w:tc>
          <w:tcPr>
            <w:tcW w:w="140" w:type="dxa"/>
            <w:vAlign w:val="bottom"/>
          </w:tcPr>
          <w:p>
            <w:pPr>
              <w:spacing w:after="0"/>
              <w:rPr>
                <w:sz w:val="12"/>
                <w:szCs w:val="12"/>
                <w:color w:val="auto"/>
              </w:rPr>
            </w:pPr>
          </w:p>
        </w:tc>
        <w:tc>
          <w:tcPr>
            <w:tcW w:w="11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(1,325)</w:t>
            </w:r>
          </w:p>
        </w:tc>
        <w:tc>
          <w:tcPr>
            <w:tcW w:w="140" w:type="dxa"/>
            <w:vAlign w:val="bottom"/>
          </w:tcPr>
          <w:p>
            <w:pPr>
              <w:spacing w:after="0"/>
              <w:rPr>
                <w:sz w:val="12"/>
                <w:szCs w:val="12"/>
                <w:color w:val="auto"/>
              </w:rPr>
            </w:pPr>
          </w:p>
        </w:tc>
        <w:tc>
          <w:tcPr>
            <w:tcW w:w="10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(3,044)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1,719</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(56.5)</w:t>
            </w:r>
          </w:p>
        </w:tc>
        <w:tc>
          <w:tcPr>
            <w:tcW w:w="100" w:type="dxa"/>
            <w:vAlign w:val="bottom"/>
          </w:tcPr>
          <w:p>
            <w:pPr>
              <w:spacing w:after="0"/>
              <w:rPr>
                <w:sz w:val="12"/>
                <w:szCs w:val="12"/>
                <w:color w:val="auto"/>
              </w:rPr>
            </w:pPr>
          </w:p>
        </w:tc>
        <w:tc>
          <w:tcPr>
            <w:tcW w:w="11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(2,851)</w:t>
            </w:r>
          </w:p>
        </w:tc>
        <w:tc>
          <w:tcPr>
            <w:tcW w:w="6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(3,422)</w:t>
            </w:r>
          </w:p>
        </w:tc>
        <w:tc>
          <w:tcPr>
            <w:tcW w:w="2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571</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(16.7)</w:t>
            </w:r>
          </w:p>
        </w:tc>
        <w:tc>
          <w:tcPr>
            <w:tcW w:w="0" w:type="dxa"/>
            <w:vAlign w:val="bottom"/>
          </w:tcPr>
          <w:p>
            <w:pPr>
              <w:spacing w:after="0"/>
              <w:rPr>
                <w:sz w:val="1"/>
                <w:szCs w:val="1"/>
                <w:color w:val="auto"/>
              </w:rPr>
            </w:pPr>
          </w:p>
        </w:tc>
      </w:tr>
      <w:tr>
        <w:trPr>
          <w:trHeight w:val="148"/>
        </w:trPr>
        <w:tc>
          <w:tcPr>
            <w:tcW w:w="2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Loss before income taxes</w:t>
            </w:r>
          </w:p>
        </w:tc>
        <w:tc>
          <w:tcPr>
            <w:tcW w:w="14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(465)</w:t>
            </w:r>
          </w:p>
        </w:tc>
        <w:tc>
          <w:tcPr>
            <w:tcW w:w="14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(442)</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1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6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(1,743)</w:t>
            </w: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1,719</w:t>
            </w: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98.6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Income tax expense</w:t>
            </w: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137.5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199</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197</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(541)</w:t>
            </w:r>
          </w:p>
        </w:tc>
        <w:tc>
          <w:tcPr>
            <w:tcW w:w="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(474)</w:t>
            </w:r>
          </w:p>
        </w:tc>
        <w:tc>
          <w:tcPr>
            <w:tcW w:w="3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(67)</w:t>
            </w:r>
          </w:p>
        </w:tc>
        <w:tc>
          <w:tcPr>
            <w:tcW w:w="1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(14.1)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(223)</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(1,940)</w:t>
            </w:r>
          </w:p>
        </w:tc>
        <w:tc>
          <w:tcPr>
            <w:tcW w:w="22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1,717</w:t>
            </w: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88.5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 increased by $8.2 million, or 17.9% to $54.3 million for the three months ended June 30, 2025 from $46.1 million for the three months ended June 30, 2024. The increase was principally due to a 35.3% increase in Payor revenue driven by a higher number of completed Payor sessions, partially offset by a 32.1% decline in Consumer revenue. Revenue from our Payor customers increased by $10.6 million, or 35.3%, to $40.5 million for the three months ended June 30, 2025 from $29.9 million for the three months ended June 30, 2024. Revenue from our DTE customers was $9.4 million for the three months ended June 30, 2025 compared to $9.6 million for the three months ended June 30, 2024. Consumer revenue decreased by $2.1 million, or 32.1%, to $4.4 million for the three months ended June 30, 2025 from $6.5 million for the three months ended June 30, 2024, due to the Company's intentional and strategic decision to optimize and focus marketing efforts on attracting Payor members.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 increased by $15.0 million, or 16.4% to $106.5 million for the six months ended June 30, 2025 from $91.5 million for the six months ended June 30, 2024. The increase was principally due to a 34.0% increase in Payor revenue driven by a higher number of completed Payor sessions, partially offset by a 32.0% decline in Consumer revenue. Revenue from our Payor customers increased by $19.8 million, or 34.0%, to $78.3 million for the six months ended June 30, 2025 from $58.5 million for the six months ended June 30, 2024. Revenue from our DTE customers was $19.0 million for the six months ended June 30, 2025 compared to $19.5 million for the six months ended June 30, 2024. Consumer revenue decreased by $4.3 million, or 32.0%, to $9.2 million for the six months ended June 30, 2025 from $13.5 million for the six months ended June 30, 2024, due to the Company's intentional and strategic decision to optimize and focus marketing efforts on attracting Payor members.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and Operating Expenses</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revenue, excluding depreciation and amortization. </w:t>
      </w:r>
      <w:r>
        <w:rPr>
          <w:rFonts w:ascii="Times New Roman" w:cs="Times New Roman" w:eastAsia="Times New Roman" w:hAnsi="Times New Roman"/>
          <w:sz w:val="18"/>
          <w:szCs w:val="18"/>
          <w:color w:val="auto"/>
        </w:rPr>
        <w:t>Cost of revenue, excluding depreciation and amortization, increased by $5.9 million, or 23.7%,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$30.9 million for the three months ended June 30, 2025 from $25.0 million for the three months ended June 30, 2024 and increased by $11.1 million, or 22.9%, to $59.7 million for the six months ended June 30, 2025 from $48.6 million for the six months ended June 30, 2024. The increase in cost of revenue for the three and six months ended June 30, 2025, was primarily due to increased hours worked by therapists as a result of increased Payor sessions.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increased by $0.5 million, or 22.7%, to $2.6 million for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June 30, 2025 from $2.1 million for the three months ended June 30, 2024 and decreased by $0.3 million, or 6.0%, to $5.4 million for the six months ended June 30, 2025 from $5.7 million for the six months ended June 30, 2024. The increase in research and development expenses for the three months ended June 30, 2025 was primarily due to an increase in employee-related costs, inclusive of non-cash stock compensation expense. The decrease in research and development expenses for the six months ended June 30, 2025 was primarily due to a decrease in employee related costs, inclusive of non-cash stock compensation expense, as a result of the exclusion of amounts reflected as capitalized internal-use software development costs. Capitalized internal-use software development costs were $4.8 million for the six months ended June 30, 2025 compared to $2.4 million for the six months ended June 30, 2024.</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Clinical operations expenses. </w:t>
      </w:r>
      <w:r>
        <w:rPr>
          <w:rFonts w:ascii="Times New Roman" w:cs="Times New Roman" w:eastAsia="Times New Roman" w:hAnsi="Times New Roman"/>
          <w:sz w:val="18"/>
          <w:szCs w:val="18"/>
          <w:color w:val="auto"/>
        </w:rPr>
        <w:t>Clinical operations expenses increased by $0.3 million, or 15.7% to $1.9 million for the three months ended June 30, 2025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$1.7 million for the three months ended June 30, 2024 and increased by $0.7 million, or 20.9% to $3.8 million for the six months ended June 30, 2025 from $3.1 million for the six months ended June 30, 2024. The increase in clinical operations expenses for the three and six months ended June 30, 2025 was primarily due to an increase in employee-related costs, inclusive of non-cash stock compensation expense.</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Sales and marketing expenses. </w:t>
      </w:r>
      <w:r>
        <w:rPr>
          <w:rFonts w:ascii="Times New Roman" w:cs="Times New Roman" w:eastAsia="Times New Roman" w:hAnsi="Times New Roman"/>
          <w:sz w:val="18"/>
          <w:szCs w:val="18"/>
          <w:color w:val="auto"/>
        </w:rPr>
        <w:t>Sales and marketing expenses increased by $1.0 million, or 7.7%, to $14.3 million for the three months ended June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2025 from $13.2 million for the three months ended June 30, 2024 and increased by $1.9 million, or 7.4%, to $28.2 million for the six months ended June 30, 2025 from $26.2 million for the six months ended June 30, 2024. The increase in sales and marketing expenses for the six months ended June 30, 2025 was primarily driven by an increase in direct marketing and promotional costs.</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decreased by $1.6 million, or 22.0%, to $5.7 million for the three months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June 30, 2025 from $7.3 million for the three months ended June 30, 2024 and decreased by $1.6 million, or 12.8%, to $10.9 million for the six months ended June 30, 2025 from $12.5 million for the six months ended June 30, 2024. The decrease in general and administrative expenses for the three and six months ended June 30, 2025 was primarily due to a decrease in severance payments related to the departure of certain key executives of the Company in 2024.</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and amortization expenses. </w:t>
      </w:r>
      <w:r>
        <w:rPr>
          <w:rFonts w:ascii="Times New Roman" w:cs="Times New Roman" w:eastAsia="Times New Roman" w:hAnsi="Times New Roman"/>
          <w:sz w:val="18"/>
          <w:szCs w:val="18"/>
          <w:color w:val="auto"/>
        </w:rPr>
        <w:t>Depreciation and amortization expenses increased by $0.5 million, or 226.4%, to $0.7 million for the three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June 30, 2025 from $0.2 million for the three months ended June 30, 2024 and increased by $1.0 million, or 224.9%, to $1.4 million for the six months ended June 30, 2025 from $0.4 million for the six months ended June 30, 2024. The increase in depreciation and amortization expenses for the three and six months ended June 30, 2025 was primarily due depreciation expense related to higher capitalized internal-use software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income, net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income, net was $1.3 million for the three months ended June 30, 2025 compared to $3.0 million for the three months ended June 30, 2024. The decrease in financial income, net was primarily due to a decrease in non-cash gains resulting from the remeasurement of warrant liabilities and a decrease in interest income earned on marketable securities and other highly liquid investments.</w:t>
      </w:r>
    </w:p>
    <w:p>
      <w:pPr>
        <w:spacing w:after="0" w:line="12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Financial income, net was $2.9 million for the six months ended June 30, 2025 compared to $3.4 million six months ended June 30, 2024. The decrease in financial income, net was primarily due to a decrease in interest income earned on marketable securities and other highly liquid investments, partially offset by an increase in non-cash gains resulting from the remeasurement of warrant liabilities.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Taxes on income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Taxes on income were immaterial for the three and six months ended June 30, 2025 and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our financial results determined in accordance with GAAP, we believe adjusted EBITDA, a non-GAAP measure, is useful in evaluating our operating performance, and our management uses it as a key performance measure to assess our operating performance. Because adjusted EBITDA facilitates internal comparisons of our historical operating performance on a more consistent basis, we use this measure for business planning purposes and in evaluating acquisition opportunities.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use adjusted EBITDA to evaluate our ongoing operations and for internal planning and forecasting purposes. We believe that this non-GAAP financial measure, when taken together with the corresponding GAAP financial measures, provides meaningful supplemental information regarding our performance by excluding certain items that may not be indicative of our business, results of operations or outlook. We believe that the use of adjusted EBITDA is helpful to our investors as it is a metric used by management in assessing the health of our business and our operating performance. However, non-GAAP financial information is presented for supplemental informational purposes only, has limitations as an analytical tool and should not be considered in isolation or as a substitute for financial information presented in accordance with GAAP.</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Some of the limitations of adjusted EBITDA include (i) adjusted EBITDA does not necessarily reflect capital commitments to be paid in the future and (ii) although depreciation and amortization are non-cash charges, the underlying assets may need to be replaced and adjusted EBITDA does not reflect these requirements. In evaluating adjusted EBITDA, you should be aware that in the future we will incur expenses similar to the adjustments described herein. Our presentation of adjusted EBITDA should not be construed as an inference that our future results will be unaffected by these expenses or any unusual or non-recurring items. Our adjusted EBITDA may not be comparable to similarly titled measures of other companies because they may not calculate adjusted EBITDA in the same manner as we calculate the measure, limiting its usefulness as a comparative measure. Adjusted EBITDA should not be considered as an alternative to income (loss) before income taxes, net income (loss), income (loss) per share, or any other performance measures derived in accordance with U.S. GAAP. When evaluating our performance, you should consider adjusted EBITDA alongside other financial performance measures, including our net income (loss) and other GAAP results.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reconciliation is provided below for adjusted EBITDA to net loss, the most directly comparable financial measure stated in accordance with GAAP. Investors are encouraged to review our financial statements prepared in accordance with GAAP and the reconciliation of our non-GAAP financial measure to its most directly comparable GAAP financial measure, and not to rely on any single financial measure to evaluate our business. We do not provide a forward-looking reconciliation of adjusted EBITDA guidance as the amount and significance of the reconciling items required to develop meaningful comparable GAAP financial measures cannot be estimated at this time without unreasonable efforts. These reconciling items could be meaningful.</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calculate adjusted EBITDA as net loss adjusted to exclude (i) depreciation and amortization, (ii) stock-based compensation expense, (iii) financial income, net, (iv) income tax expense, and (v) certain non-recurring expenses, where applicable.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adjusted EBITDA from the most comparable GAAP measure, net loss for the three and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2025 and 2024:</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4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20" w:type="dxa"/>
            <w:vAlign w:val="bottom"/>
            <w:gridSpan w:val="6"/>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54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8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4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240" w:type="dxa"/>
            <w:vAlign w:val="bottom"/>
          </w:tcPr>
          <w:p>
            <w:pPr>
              <w:spacing w:after="0"/>
              <w:rPr>
                <w:sz w:val="17"/>
                <w:szCs w:val="17"/>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0" w:type="dxa"/>
            <w:vAlign w:val="bottom"/>
          </w:tcPr>
          <w:p>
            <w:pPr>
              <w:spacing w:after="0"/>
              <w:rPr>
                <w:sz w:val="1"/>
                <w:szCs w:val="1"/>
                <w:color w:val="auto"/>
              </w:rPr>
            </w:pPr>
          </w:p>
        </w:tc>
      </w:tr>
      <w:tr>
        <w:trPr>
          <w:trHeight w:val="216"/>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(541)</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(474)</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(223)</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(1,940)</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Add:</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income, net</w:t>
            </w: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(1,325)</w:t>
            </w: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(3,044)</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(2,851)</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(3,422)</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Non-recurring expenses </w:t>
            </w:r>
            <w:r>
              <w:rPr>
                <w:rFonts w:ascii="Times New Roman" w:cs="Times New Roman" w:eastAsia="Times New Roman" w:hAnsi="Times New Roman"/>
                <w:sz w:val="24"/>
                <w:szCs w:val="24"/>
                <w:color w:val="auto"/>
                <w:vertAlign w:val="superscript"/>
              </w:rPr>
              <w:t>(1)</w:t>
            </w:r>
          </w:p>
        </w:tc>
        <w:tc>
          <w:tcPr>
            <w:tcW w:w="2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4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4,238</w:t>
            </w:r>
          </w:p>
        </w:tc>
        <w:tc>
          <w:tcPr>
            <w:tcW w:w="16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-170815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-170815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-170815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1" w:lineRule="exact"/>
        <w:rPr>
          <w:sz w:val="20"/>
          <w:szCs w:val="20"/>
          <w:color w:val="auto"/>
        </w:rPr>
      </w:pPr>
    </w:p>
    <w:p>
      <w:pPr>
        <w:ind w:left="1020" w:right="240" w:hanging="503"/>
        <w:spacing w:after="0" w:line="243" w:lineRule="auto"/>
        <w:tabs>
          <w:tab w:leader="none" w:pos="10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three and six months ended June 30, 2025, non-recurring expenses primarily consisted of severance costs, one-time legal fees and other one-time expenses. For the three and six months ended June 30, 2024, non-recurring expenses primarily consisted of severance costs related to the departure of key executives of the Company and other related costs.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2025, we had $54.3 million of cash and cash equivalents ($76.7 million as of December 31, 2024), and $48.4 million in marketable securities ($41.1 million as of December 31, 2024) which we use to finance our operations and support a variety of growth initiatives and investments. We had no debt as of June 30, 2025.</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primary cash needs are to fund operating activities and invest in technology development. Our future capital requirements will depend on many factors including our growth rate, contract renewal activity, the timing and extent of investments to support product development efforts, our expansion of sales and marketing activities, the introduction of new and enhanced service offerings, and the continuing market acceptance of virtual behavioral services. Additionally, we may in the future enter into arrangements to acquire or invest in complementary businesses, services and technologies.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currently anticipate to be able to fund our cash needs for at least the next 12 months and thereafter for the foreseeable future using available cash and cash equivalent balances as of June 30, 2025. However, in the future we may require additional capital to respond to technological advancements, competitive dynamics, customer demands, business and investment opportunities, acquisitions or unforeseen circumstances and we may determine to engage in equity or debt financings for other reasons. We may not be able to timely secure additional debt or equity financing on favorable terms, or at all. If we raise additional funds through the issuance of equity or convertible debt or other equity-linked securities, our existing stockholders could experience significant dilution. Any debt financing obtained by us in the future could involve restrictive covenants relating to our capital raising activities and other financial and operational matters, which may make it more difficult for us to obtain additional capital and to pursue business opportunities, including potential acquisitions. If we cannot raise capital when needed, we may be forced to undertake asset sales or similar measures to ensure adequate liquidity.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22, 2024, the Company announced that its Board of Directors approved a share repurchase program to authorize the repurchase of up to $15.0 million of the currently outstanding shares of the Company’s common stock over a period of twenty-four months beginning on March 1, 2024 (the “Share Repurchase Program”). On August 1, 2024, the Company’s Board of Directors amended the Share Repurchase Program to authorize the Company to repurchase up to an additional $25.0 million of its common stock for a total of $40.0 million. The Share Repurchase Program will remain in effect until the earliest: 1) the total authorized dollar amount of shares is repurchased or 2) August 1, 2026.</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2025, the Company repurchased and retired an aggregate of 541,268 and 3,060,438 shares, respectively, of its common stock for a total consideration of $1.4 million ($2.62 per share) and $8.4 million ($2.73 per share), respectively. As of June 30, 2025, $20.6 million remained available under the Share Repurchase Program.</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Such repurchases may be completed periodically through various methods in compliance with applicable state and federal securities laws and will be at times and in amounts as the Company deems appropriate, based on factors such as price, market conditions, corporate and regulatory requirements, constraints specified in any Rule 10b5-1 trading plans, alternative investment opportunities and other business considerations. All shares repurchased will be canceled. The program does not obligate the Company to repurchase any dollar amount or number of shares, and may be suspended or terminated at any time.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7, “Capital Stock” in the notes to the condensed consolidated financial statements for further details.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Operating, Investing and Financing Activities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summary condensed consolidated cash flow information for the periods presented: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20" w:type="dxa"/>
            <w:vAlign w:val="bottom"/>
          </w:tcPr>
          <w:p>
            <w:pPr>
              <w:spacing w:after="0"/>
              <w:rPr>
                <w:sz w:val="15"/>
                <w:szCs w:val="15"/>
                <w:color w:val="auto"/>
              </w:rPr>
            </w:pPr>
          </w:p>
        </w:tc>
        <w:tc>
          <w:tcPr>
            <w:tcW w:w="3460" w:type="dxa"/>
            <w:vAlign w:val="bottom"/>
            <w:tcBorders>
              <w:bottom w:val="single" w:sz="8" w:color="auto"/>
            </w:tcBorders>
            <w:gridSpan w:val="5"/>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1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40" w:type="dxa"/>
            <w:vAlign w:val="bottom"/>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20" w:type="dxa"/>
            <w:vAlign w:val="bottom"/>
            <w:vMerge w:val="continue"/>
          </w:tcPr>
          <w:p>
            <w:pPr>
              <w:spacing w:after="0"/>
              <w:rPr>
                <w:sz w:val="12"/>
                <w:szCs w:val="12"/>
                <w:color w:val="auto"/>
              </w:rPr>
            </w:pPr>
          </w:p>
        </w:tc>
        <w:tc>
          <w:tcPr>
            <w:tcW w:w="12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6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Borders>
              <w:top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1240" w:type="dxa"/>
            <w:vAlign w:val="bottom"/>
            <w:shd w:val="clear" w:color="auto" w:fill="CFF0FC"/>
          </w:tcPr>
          <w:p>
            <w:pPr>
              <w:jc w:val="right"/>
              <w:ind w:right="111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(1,590)</w:t>
            </w:r>
          </w:p>
        </w:tc>
        <w:tc>
          <w:tcPr>
            <w:tcW w:w="1420" w:type="dxa"/>
            <w:vAlign w:val="bottom"/>
            <w:gridSpan w:val="2"/>
            <w:shd w:val="clear" w:color="auto" w:fill="CFF0FC"/>
          </w:tcPr>
          <w:p>
            <w:pPr>
              <w:jc w:val="right"/>
              <w:ind w:right="112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(11,386)</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(2,150)</w:t>
            </w:r>
          </w:p>
        </w:tc>
        <w:tc>
          <w:tcPr>
            <w:tcW w:w="0" w:type="dxa"/>
            <w:vAlign w:val="bottom"/>
          </w:tcPr>
          <w:p>
            <w:pPr>
              <w:spacing w:after="0"/>
              <w:rPr>
                <w:sz w:val="1"/>
                <w:szCs w:val="1"/>
                <w:color w:val="auto"/>
              </w:rPr>
            </w:pPr>
          </w:p>
        </w:tc>
      </w:tr>
      <w:tr>
        <w:trPr>
          <w:trHeight w:val="216"/>
        </w:trPr>
        <w:tc>
          <w:tcPr>
            <w:tcW w:w="71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2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(9,374)</w:t>
            </w: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(8,263)</w:t>
            </w:r>
          </w:p>
        </w:tc>
        <w:tc>
          <w:tcPr>
            <w:tcW w:w="0" w:type="dxa"/>
            <w:vAlign w:val="bottom"/>
          </w:tcPr>
          <w:p>
            <w:pPr>
              <w:spacing w:after="0"/>
              <w:rPr>
                <w:sz w:val="1"/>
                <w:szCs w:val="1"/>
                <w:color w:val="auto"/>
              </w:rPr>
            </w:pPr>
          </w:p>
        </w:tc>
      </w:tr>
      <w:tr>
        <w:trPr>
          <w:trHeight w:val="20"/>
        </w:trPr>
        <w:tc>
          <w:tcPr>
            <w:tcW w:w="7120" w:type="dxa"/>
            <w:vAlign w:val="bottom"/>
            <w:tcBorders>
              <w:right w:val="single" w:sz="8" w:color="CFF0FC"/>
            </w:tcBorders>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240" w:type="dxa"/>
            <w:vAlign w:val="bottom"/>
          </w:tcPr>
          <w:p>
            <w:pPr>
              <w:jc w:val="right"/>
              <w:ind w:right="111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(22,350)</w:t>
            </w:r>
          </w:p>
        </w:tc>
        <w:tc>
          <w:tcPr>
            <w:tcW w:w="1420" w:type="dxa"/>
            <w:vAlign w:val="bottom"/>
            <w:gridSpan w:val="2"/>
          </w:tcPr>
          <w:p>
            <w:pPr>
              <w:jc w:val="right"/>
              <w:ind w:right="112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(8,995)</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-170815</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7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decline in net cash provided by operating activities was primarily due to timing of customer payments which increased accounts receivable, partially offset by a lower net loss for the six months ended June 30, 2025 compared to the six months ended June 30, 2024.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net cash used in investing activities was driven primarily by purchases of marketable securities, partially offset by proceeds from marketable securities and an increase in capitalized internal-use software development costs during the six months ended June 30, 2025 compared to the six months ended June 30,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net cash used in financing activities was driven primarily by an increase in the purchase of outstanding shares of the Company’s common stock under the Share Repurchase Program, partially offset by a decrease in proceeds from the exercise of stock options during the six months ended June 30, 2025 compared to the six months ended June 30,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Commitments and Contingencies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2025, we did not have any short-term or long-term debt, or significant long-term liabilities. As of June 30, 2025, we have a non-material long-term operating lease for our office space in New York, NY.</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in the future be involved in various legal proceedings, claims and litigation that arise in the normal course of business. We accrue for estimated loss contingencies related to legal matters when available information indicates that it is probable a liability has been incurred and we can reasonably estimate the amount of that loss. In many proceedings, however, it is inherently difficult to determine whether any loss is probable or even possible or to estimate the amount of any loss. In addition, even where a loss is possible or an exposure to loss exists in excess of the liability already accrued with respect to a previously recognized loss contingency, it is often not possible to reasonably estimate the size of the possible loss or range of loss or possible additional losses or range of additional losses. Should any of our estimates and assumptions change or prove to be incorrect, it could have a material impact on our results of operations, financial position, and cash flows. As of June 30, 2025 there were no material legal proceedings, claims or litigation.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commercial contract arrangements generally include certain provisions requiring us to indemnify customers against liabilities if there is a breach of a customer’s data or if our service infringes a third party’s intellectual property rights. To date, we have not incurred any material costs as a result of such indemnifications.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also agreed to indemnify our officers and directors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us, arising out of that person’s services as our director or officer or that person’s services provided to any other company or enterprise at our request. We maintain director and officer liability insurance coverage that would generally enable us to recover a portion of any future amounts paid. We may also be subject to indemnification obligations by law with respect to the actions of our employees under certain circumstances and in certain jurisdictions.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invest in any off-balance sheet vehicles that provide liquidity, capital resources, market or credit risk support, or engage in any activities that expose us to any liability that is not reflected in our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condensed consolidated financial statements have been prepared in accordance with accounting principles generally accepted in the United States of America. Reference is also made to the Company’s consolidated financial statements and notes thereto found in its Annual Report on Form 10-K for the year ended December 31, 2024.</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accounting policies are essential to understanding and interpreting the financial results reported on the condensed consolidated financial statements. The significant accounting policies used in the preparation of the Company’s condensed consolidated financial statements are summarized in Note 2 to the audited consolidated financial statements in the Company’s Annual Report on Form 10-K for the year ended December 31, 2024. Certain of those policies are considered to be particularly important to the presentation of the Company's financial results because they require management to make difficult, complex or subjective judgments, often as a result of matters that are inherently uncertain.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2025, there were no material changes to matters discussed under the heading “Critical Accounting Policies and Estimates” in Part II, Item 7 of the Company’s Annual Report on Form 10-K for the year ended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Information regarding recent accounting developments and their impact on our results can be found in Note 2, “Summary of Significant Accounting Policies and Estimates” in the audited consolidated financial statements included in the Company's Annual Report on Form 10-K for the year ended December 31, 2024 and in Note 2, “Significant Accounting Policies” in the notes to the condensed consolidated financial statements of this Quarterly Report on Form 10-Q.</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(the “Quarterly Report”)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include, but are not limited to, statements regarding our future results of operations and financial position, industry and business trends, stock-based compensation, revenue recognition, business strategy, plans and market growth.</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forward-looking statements in this Quarterly Report and other such statements we publicly make from time-to-time are only predictions. We base these forward-looking statements largely on our current expectations and projections about future events and financial trends that we believe may affect our business, financial condition, and results of operations. Forward-looking statements involve known and unknown risks and uncertainties. Many important factors could cause actual future events to differ materially from the forward-looking statements in this Quarterly Report, including but not limited to: (i) rapid technological change in our industry; (ii) our ability to secure clients' contract renewals; (iii) our ability to maintain and expand our network of therapists, psychiatrists and other providers; (iv) a decline in the prevalence of enterprise-sponsored healthcare or the emergence of new technologies may adversely impact our DTE business; (v) if our or our vendors’ security measures fail or are breached; (vi) changes in healthcare laws, regulations or trends and our ability to operate in the heavily regulated healthcare industry; (vii) and the other factors, risks and uncertainties discussed in Part I, Item 1A, “Risk Factors” of the Company's Annual Report on Form 10-K for the fiscal year ended December 31, 2024 and subsequent quarterly reports on Form 10-Q, including this report. The forward-looking statements in this Quarterly Report are based upon information available to us as of the date of this Quarterly,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You should read this Quarterly Report and the risk factors discussed in Part I, Item 1A, “Risk Factors” of the Company’s Annual Report on Form 10-K for the fiscal year ended December 31, 2024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Quarterly Report. Except as required by applicable law, we do not plan to publicly update or revise any forward-looking statements contained in this Quarterly Report on Form 10-Q or any forward-looking statements we may publicly make from time-to-time, whether as a result of any new information, future events or otherwise.</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2025, there were no material changes to the information contained in Part II, Item 7A of the Company’s Annual Report on Form 10-K for the year ended December 31, 2024.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Based on an evaluation under the supervision and with the participation of the Company's management, the Company's Chief Executive Officer and Chief Financial Officer have concluded that the Company's disclosure controls and procedures (as defined in Exchange Act Rules 13a-15(e) and 15d-15(e)) were effective as of June 30, 2025 to provide reasonable assurance that information required to be disclosed by the Company in reports filed or submitted under the Exchange Act is (i) recorded, processed, summarized and reported within the time periods specified in the United States Securities and Exchange Commission’s (“SEC”) rules and forms and (ii) accumulated and communicated to the Company’s management, including its Chief Executive Officer and Chief Financial Officer, as appropriate to allow timely decisions regarding required disclosure.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Rules 13a-15(f) and 15d-15(f) of the Exchange Act) during the second quarter of 2025 that have materially affected, or are reasonably likely to materially affect, the Company's internal control over financial reporting.</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no material pending legal proceedings as of June 30, 2025, for more details see Note 6, “Commitments and Contingent Liabilities” in the Notes to the Condensed Consolidated Financial Statements included in Part I, Item 1 of this Quarterly Report on Form 10-Q, which is incorporated herein by reference.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you should carefully consider the factors discussed under Part I, Item 1A. “Risk Factors” in the Company’s Annual Report on Form 10-K for the year ended December 31, 2024. These factors could materially adversely affect our business, financial condition, liquidity, results of operations and capital position, and could cause our actual results to differ materially from our historical results or the results contemplated by any forward-looking statements contained in this Quarterly Report. During the six months ended June 30, 2025, there were no material changes to the information contained in Part I, Item 1A of the Company's Annual Report on Form 10-K for the year ended December 31, 2024.</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Below is a summary of share repurchases for the three months ended June 30, 2025. See Note 7, “Capital Stock” in the Notes to the Condensed Consolidated Financial Statements included in Part I, Item 1 of this Quarterly Report on Form 10-Q, as well as the section entitled “Liquidity Capital Resources-Share Repurchase Program” in Part I, Item 2 of this Quarterly Report on Form 10-Q for information regarding our share repurchase program.</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020" w:type="dxa"/>
            <w:vAlign w:val="bottom"/>
            <w:gridSpan w:val="4"/>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Approximate Dollar Value</w:t>
            </w: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2020" w:type="dxa"/>
            <w:vAlign w:val="bottom"/>
            <w:gridSpan w:val="4"/>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of Shares that May Yet Be</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80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300" w:type="dxa"/>
            <w:vAlign w:val="bottom"/>
          </w:tcPr>
          <w:p>
            <w:pPr>
              <w:spacing w:after="0"/>
              <w:rPr>
                <w:sz w:val="12"/>
                <w:szCs w:val="12"/>
                <w:color w:val="auto"/>
              </w:rPr>
            </w:pPr>
          </w:p>
        </w:tc>
        <w:tc>
          <w:tcPr>
            <w:tcW w:w="1580" w:type="dxa"/>
            <w:vAlign w:val="bottom"/>
            <w:gridSpan w:val="2"/>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48"/>
        </w:trPr>
        <w:tc>
          <w:tcPr>
            <w:tcW w:w="35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8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260" w:type="dxa"/>
            <w:vAlign w:val="bottom"/>
          </w:tcPr>
          <w:p>
            <w:pPr>
              <w:spacing w:after="0"/>
              <w:rPr>
                <w:sz w:val="12"/>
                <w:szCs w:val="12"/>
                <w:color w:val="auto"/>
              </w:rPr>
            </w:pPr>
          </w:p>
        </w:tc>
        <w:tc>
          <w:tcPr>
            <w:tcW w:w="17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Program</w:t>
            </w:r>
          </w:p>
        </w:tc>
        <w:tc>
          <w:tcPr>
            <w:tcW w:w="0" w:type="dxa"/>
            <w:vAlign w:val="bottom"/>
          </w:tcPr>
          <w:p>
            <w:pPr>
              <w:spacing w:after="0"/>
              <w:rPr>
                <w:sz w:val="1"/>
                <w:szCs w:val="1"/>
                <w:color w:val="auto"/>
              </w:rPr>
            </w:pPr>
          </w:p>
        </w:tc>
      </w:tr>
      <w:tr>
        <w:trPr>
          <w:trHeight w:val="173"/>
        </w:trPr>
        <w:tc>
          <w:tcPr>
            <w:tcW w:w="3560" w:type="dxa"/>
            <w:vAlign w:val="bottom"/>
            <w:vMerge w:val="continue"/>
          </w:tcPr>
          <w:p>
            <w:pPr>
              <w:spacing w:after="0"/>
              <w:rPr>
                <w:sz w:val="15"/>
                <w:szCs w:val="15"/>
                <w:color w:val="auto"/>
              </w:rPr>
            </w:pPr>
          </w:p>
        </w:tc>
        <w:tc>
          <w:tcPr>
            <w:tcW w:w="18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 (1)</w:t>
            </w:r>
          </w:p>
        </w:tc>
        <w:tc>
          <w:tcPr>
            <w:tcW w:w="0" w:type="dxa"/>
            <w:vAlign w:val="bottom"/>
          </w:tcPr>
          <w:p>
            <w:pPr>
              <w:spacing w:after="0"/>
              <w:rPr>
                <w:sz w:val="1"/>
                <w:szCs w:val="1"/>
                <w:color w:val="auto"/>
              </w:rPr>
            </w:pPr>
          </w:p>
        </w:tc>
      </w:tr>
      <w:tr>
        <w:trPr>
          <w:trHeight w:val="210"/>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April 1 - 30</w:t>
            </w: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541,268</w:t>
            </w:r>
          </w:p>
        </w:tc>
        <w:tc>
          <w:tcPr>
            <w:tcW w:w="3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541,268</w:t>
            </w: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May 1 - 31</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June 1 - 30</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3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541,268</w:t>
            </w:r>
          </w:p>
        </w:tc>
        <w:tc>
          <w:tcPr>
            <w:tcW w:w="3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8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541,268</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5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-25400</wp:posOffset>
            </wp:positionV>
            <wp:extent cx="7747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-8255</wp:posOffset>
            </wp:positionV>
            <wp:extent cx="7747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-25400</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-8255</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5"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$20.6 million remained available for share repurchases under the Share Repurchase Program as of June 30, 2025.</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 directors or officers, as defined in Securities Exchange Act Rule 16a-1(f), adopted, modified, or terminated a “Rule 10b5-1 trading arrangement” or a “non-Rule 10b5-1 trading arrangement,” as defined in Item 408 of Regulation S-K, during the three months ended June 30, 2025.</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26" w:name="page27"/>
    <w:bookmarkEnd w:id="26"/>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3"/>
          <w:szCs w:val="23"/>
          <w:b w:val="1"/>
          <w:bCs w:val="1"/>
          <w:color w:val="auto"/>
        </w:rPr>
        <w:t>EXHIBIT INDEX</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Filed/</w:t>
            </w:r>
          </w:p>
        </w:tc>
      </w:tr>
      <w:tr>
        <w:trPr>
          <w:trHeight w:val="206"/>
        </w:trPr>
        <w:tc>
          <w:tcPr>
            <w:tcW w:w="8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2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Furnished</w:t>
            </w:r>
          </w:p>
        </w:tc>
      </w:tr>
      <w:tr>
        <w:trPr>
          <w:trHeight w:val="215"/>
        </w:trPr>
        <w:tc>
          <w:tcPr>
            <w:tcW w:w="8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20" w:type="dxa"/>
            <w:vAlign w:val="bottom"/>
          </w:tcPr>
          <w:p>
            <w:pPr>
              <w:spacing w:after="0"/>
              <w:rPr>
                <w:sz w:val="18"/>
                <w:szCs w:val="18"/>
                <w:color w:val="auto"/>
              </w:rPr>
            </w:pPr>
          </w:p>
        </w:tc>
        <w:tc>
          <w:tcPr>
            <w:tcW w:w="9180" w:type="dxa"/>
            <w:vAlign w:val="bottom"/>
            <w:tcBorders>
              <w:bottom w:val="single" w:sz="8" w:color="auto"/>
            </w:tcBorders>
            <w:gridSpan w:val="5"/>
          </w:tcPr>
          <w:p>
            <w:pPr>
              <w:ind w:left="392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r>
      <w:tr>
        <w:trPr>
          <w:trHeight w:val="381"/>
        </w:trPr>
        <w:tc>
          <w:tcPr>
            <w:tcW w:w="2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5"/>
                <w:szCs w:val="15"/>
                <w:color w:val="0000FF"/>
                <w:w w:val="98"/>
              </w:rPr>
              <w:t>31.</w:t>
            </w:r>
            <w:r>
              <w:rPr>
                <w:rFonts w:ascii="Times New Roman" w:cs="Times New Roman" w:eastAsia="Times New Roman" w:hAnsi="Times New Roman"/>
                <w:sz w:val="15"/>
                <w:szCs w:val="15"/>
                <w:u w:val="single" w:color="auto"/>
                <w:color w:val="0000FF"/>
                <w:w w:val="98"/>
              </w:rPr>
              <w:t>1</w:t>
            </w:r>
          </w:p>
        </w:tc>
        <w:tc>
          <w:tcPr>
            <w:tcW w:w="20" w:type="dxa"/>
            <w:vAlign w:val="bottom"/>
            <w:tcBorders>
              <w:bottom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1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Certification of Chief Executive Officer pursuant to Rule 13a-14(a)/15d-14(a).</w:t>
            </w:r>
          </w:p>
        </w:tc>
        <w:tc>
          <w:tcPr>
            <w:tcW w:w="11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w:t>
            </w:r>
          </w:p>
        </w:tc>
      </w:tr>
      <w:tr>
        <w:trPr>
          <w:trHeight w:val="196"/>
        </w:trPr>
        <w:tc>
          <w:tcPr>
            <w:tcW w:w="280" w:type="dxa"/>
            <w:vAlign w:val="bottom"/>
            <w:tcBorders>
              <w:bottom w:val="single" w:sz="8" w:color="0000FF"/>
            </w:tcBorders>
          </w:tcPr>
          <w:p>
            <w:pPr>
              <w:spacing w:after="0" w:line="169" w:lineRule="exact"/>
              <w:rPr>
                <w:sz w:val="20"/>
                <w:szCs w:val="20"/>
                <w:color w:val="auto"/>
              </w:rPr>
            </w:pPr>
            <w:r>
              <w:rPr>
                <w:rFonts w:ascii="Times New Roman" w:cs="Times New Roman" w:eastAsia="Times New Roman" w:hAnsi="Times New Roman"/>
                <w:sz w:val="15"/>
                <w:szCs w:val="15"/>
                <w:color w:val="0000FF"/>
                <w:w w:val="98"/>
              </w:rPr>
              <w:t>31.</w:t>
            </w:r>
            <w:r>
              <w:rPr>
                <w:rFonts w:ascii="Times New Roman" w:cs="Times New Roman" w:eastAsia="Times New Roman" w:hAnsi="Times New Roman"/>
                <w:sz w:val="15"/>
                <w:szCs w:val="15"/>
                <w:u w:val="single" w:color="auto"/>
                <w:color w:val="0000FF"/>
                <w:w w:val="98"/>
              </w:rPr>
              <w:t>2</w:t>
            </w:r>
          </w:p>
        </w:tc>
        <w:tc>
          <w:tcPr>
            <w:tcW w:w="20" w:type="dxa"/>
            <w:vAlign w:val="bottom"/>
            <w:tcBorders>
              <w:bottom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80" w:type="dxa"/>
            <w:vAlign w:val="bottom"/>
            <w:tcBorders>
              <w:top w:val="single" w:sz="8" w:color="0000FF"/>
              <w:bottom w:val="single" w:sz="8" w:color="0000FF"/>
            </w:tcBorders>
            <w:gridSpan w:val="4"/>
          </w:tcPr>
          <w:p>
            <w:pPr>
              <w:spacing w:after="0" w:line="183" w:lineRule="exact"/>
              <w:rPr>
                <w:sz w:val="20"/>
                <w:szCs w:val="20"/>
                <w:color w:val="auto"/>
              </w:rPr>
            </w:pPr>
            <w:r>
              <w:rPr>
                <w:rFonts w:ascii="Times New Roman" w:cs="Times New Roman" w:eastAsia="Times New Roman" w:hAnsi="Times New Roman"/>
                <w:sz w:val="17"/>
                <w:szCs w:val="17"/>
                <w:color w:val="0000FF"/>
              </w:rPr>
              <w:t>Certification of Chief Financial Officer pursuant to Rule 13a-14(a)/15d-14(a).</w:t>
            </w:r>
          </w:p>
        </w:tc>
        <w:tc>
          <w:tcPr>
            <w:tcW w:w="3800" w:type="dxa"/>
            <w:vAlign w:val="bottom"/>
          </w:tcPr>
          <w:p>
            <w:pPr>
              <w:spacing w:after="0"/>
              <w:rPr>
                <w:sz w:val="17"/>
                <w:szCs w:val="17"/>
                <w:color w:val="auto"/>
              </w:rPr>
            </w:pPr>
          </w:p>
        </w:tc>
        <w:tc>
          <w:tcPr>
            <w:tcW w:w="1140" w:type="dxa"/>
            <w:vAlign w:val="bottom"/>
            <w:gridSpan w:val="2"/>
          </w:tcPr>
          <w:p>
            <w:pPr>
              <w:jc w:val="center"/>
              <w:ind w:left="10"/>
              <w:spacing w:after="0" w:line="182" w:lineRule="exact"/>
              <w:rPr>
                <w:sz w:val="20"/>
                <w:szCs w:val="20"/>
                <w:color w:val="auto"/>
              </w:rPr>
            </w:pPr>
            <w:r>
              <w:rPr>
                <w:rFonts w:ascii="Times New Roman" w:cs="Times New Roman" w:eastAsia="Times New Roman" w:hAnsi="Times New Roman"/>
                <w:sz w:val="18"/>
                <w:szCs w:val="18"/>
                <w:color w:val="auto"/>
                <w:w w:val="88"/>
              </w:rPr>
              <w:t>*</w:t>
            </w:r>
          </w:p>
        </w:tc>
      </w:tr>
      <w:tr>
        <w:trPr>
          <w:trHeight w:val="196"/>
        </w:trPr>
        <w:tc>
          <w:tcPr>
            <w:tcW w:w="280" w:type="dxa"/>
            <w:vAlign w:val="bottom"/>
            <w:tcBorders>
              <w:bottom w:val="single" w:sz="8" w:color="0000FF"/>
            </w:tcBorders>
          </w:tcPr>
          <w:p>
            <w:pPr>
              <w:spacing w:after="0" w:line="169" w:lineRule="exact"/>
              <w:rPr>
                <w:sz w:val="20"/>
                <w:szCs w:val="20"/>
                <w:color w:val="auto"/>
              </w:rPr>
            </w:pPr>
            <w:r>
              <w:rPr>
                <w:rFonts w:ascii="Times New Roman" w:cs="Times New Roman" w:eastAsia="Times New Roman" w:hAnsi="Times New Roman"/>
                <w:sz w:val="15"/>
                <w:szCs w:val="15"/>
                <w:color w:val="0000FF"/>
                <w:w w:val="98"/>
              </w:rPr>
              <w:t>32.</w:t>
            </w:r>
            <w:r>
              <w:rPr>
                <w:rFonts w:ascii="Times New Roman" w:cs="Times New Roman" w:eastAsia="Times New Roman" w:hAnsi="Times New Roman"/>
                <w:sz w:val="15"/>
                <w:szCs w:val="15"/>
                <w:u w:val="single" w:color="auto"/>
                <w:color w:val="0000FF"/>
                <w:w w:val="98"/>
              </w:rPr>
              <w:t>1</w:t>
            </w:r>
          </w:p>
        </w:tc>
        <w:tc>
          <w:tcPr>
            <w:tcW w:w="20" w:type="dxa"/>
            <w:vAlign w:val="bottom"/>
            <w:tcBorders>
              <w:bottom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180" w:type="dxa"/>
            <w:vAlign w:val="bottom"/>
            <w:gridSpan w:val="5"/>
          </w:tcPr>
          <w:p>
            <w:pPr>
              <w:spacing w:after="0" w:line="183" w:lineRule="exact"/>
              <w:rPr>
                <w:sz w:val="20"/>
                <w:szCs w:val="20"/>
                <w:color w:val="auto"/>
              </w:rPr>
            </w:pPr>
            <w:r>
              <w:rPr>
                <w:rFonts w:ascii="Times New Roman" w:cs="Times New Roman" w:eastAsia="Times New Roman" w:hAnsi="Times New Roman"/>
                <w:sz w:val="17"/>
                <w:szCs w:val="17"/>
                <w:color w:val="0000FF"/>
              </w:rPr>
              <w:t>Certification of Chief Executive Officer pursuant to 18 U.S.C. Section 1350.</w:t>
            </w:r>
          </w:p>
        </w:tc>
        <w:tc>
          <w:tcPr>
            <w:tcW w:w="1140" w:type="dxa"/>
            <w:vAlign w:val="bottom"/>
            <w:gridSpan w:val="2"/>
          </w:tcPr>
          <w:p>
            <w:pPr>
              <w:jc w:val="center"/>
              <w:ind w:left="30"/>
              <w:spacing w:after="0" w:line="182" w:lineRule="exact"/>
              <w:rPr>
                <w:sz w:val="20"/>
                <w:szCs w:val="20"/>
                <w:color w:val="auto"/>
              </w:rPr>
            </w:pPr>
            <w:r>
              <w:rPr>
                <w:rFonts w:ascii="Times New Roman" w:cs="Times New Roman" w:eastAsia="Times New Roman" w:hAnsi="Times New Roman"/>
                <w:sz w:val="18"/>
                <w:szCs w:val="18"/>
                <w:color w:val="auto"/>
                <w:w w:val="99"/>
              </w:rPr>
              <w:t>**</w:t>
            </w:r>
          </w:p>
        </w:tc>
      </w:tr>
      <w:tr>
        <w:trPr>
          <w:trHeight w:val="196"/>
        </w:trPr>
        <w:tc>
          <w:tcPr>
            <w:tcW w:w="280" w:type="dxa"/>
            <w:vAlign w:val="bottom"/>
            <w:tcBorders>
              <w:bottom w:val="single" w:sz="8" w:color="0000FF"/>
            </w:tcBorders>
          </w:tcPr>
          <w:p>
            <w:pPr>
              <w:spacing w:after="0" w:line="169" w:lineRule="exact"/>
              <w:rPr>
                <w:sz w:val="20"/>
                <w:szCs w:val="20"/>
                <w:color w:val="auto"/>
              </w:rPr>
            </w:pPr>
            <w:r>
              <w:rPr>
                <w:rFonts w:ascii="Times New Roman" w:cs="Times New Roman" w:eastAsia="Times New Roman" w:hAnsi="Times New Roman"/>
                <w:sz w:val="15"/>
                <w:szCs w:val="15"/>
                <w:color w:val="0000FF"/>
                <w:w w:val="98"/>
              </w:rPr>
              <w:t>32.</w:t>
            </w:r>
            <w:r>
              <w:rPr>
                <w:rFonts w:ascii="Times New Roman" w:cs="Times New Roman" w:eastAsia="Times New Roman" w:hAnsi="Times New Roman"/>
                <w:sz w:val="15"/>
                <w:szCs w:val="15"/>
                <w:u w:val="single" w:color="auto"/>
                <w:color w:val="0000FF"/>
                <w:w w:val="98"/>
              </w:rPr>
              <w:t>2</w:t>
            </w:r>
          </w:p>
        </w:tc>
        <w:tc>
          <w:tcPr>
            <w:tcW w:w="20" w:type="dxa"/>
            <w:vAlign w:val="bottom"/>
            <w:tcBorders>
              <w:bottom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40" w:type="dxa"/>
            <w:vAlign w:val="bottom"/>
            <w:tcBorders>
              <w:top w:val="single" w:sz="8" w:color="0000FF"/>
              <w:bottom w:val="single" w:sz="8" w:color="0000FF"/>
            </w:tcBorders>
            <w:gridSpan w:val="2"/>
          </w:tcPr>
          <w:p>
            <w:pPr>
              <w:spacing w:after="0" w:line="183" w:lineRule="exact"/>
              <w:rPr>
                <w:sz w:val="20"/>
                <w:szCs w:val="20"/>
                <w:color w:val="auto"/>
              </w:rPr>
            </w:pPr>
            <w:r>
              <w:rPr>
                <w:rFonts w:ascii="Times New Roman" w:cs="Times New Roman" w:eastAsia="Times New Roman" w:hAnsi="Times New Roman"/>
                <w:sz w:val="17"/>
                <w:szCs w:val="17"/>
                <w:color w:val="0000FF"/>
              </w:rPr>
              <w:t>Certification of Chief Financial Officer pursuant to 18 U.S.C. Section 1350.</w:t>
            </w:r>
          </w:p>
        </w:tc>
        <w:tc>
          <w:tcPr>
            <w:tcW w:w="3940" w:type="dxa"/>
            <w:vAlign w:val="bottom"/>
            <w:gridSpan w:val="3"/>
          </w:tcPr>
          <w:p>
            <w:pPr>
              <w:spacing w:after="0"/>
              <w:rPr>
                <w:sz w:val="17"/>
                <w:szCs w:val="17"/>
                <w:color w:val="auto"/>
              </w:rPr>
            </w:pPr>
          </w:p>
        </w:tc>
        <w:tc>
          <w:tcPr>
            <w:tcW w:w="1140" w:type="dxa"/>
            <w:vAlign w:val="bottom"/>
            <w:gridSpan w:val="2"/>
          </w:tcPr>
          <w:p>
            <w:pPr>
              <w:jc w:val="center"/>
              <w:ind w:left="30"/>
              <w:spacing w:after="0" w:line="182" w:lineRule="exact"/>
              <w:rPr>
                <w:sz w:val="20"/>
                <w:szCs w:val="20"/>
                <w:color w:val="auto"/>
              </w:rPr>
            </w:pPr>
            <w:r>
              <w:rPr>
                <w:rFonts w:ascii="Times New Roman" w:cs="Times New Roman" w:eastAsia="Times New Roman" w:hAnsi="Times New Roman"/>
                <w:sz w:val="18"/>
                <w:szCs w:val="18"/>
                <w:color w:val="auto"/>
                <w:w w:val="99"/>
              </w:rPr>
              <w:t>**</w:t>
            </w:r>
          </w:p>
        </w:tc>
      </w:tr>
      <w:tr>
        <w:trPr>
          <w:trHeight w:val="208"/>
        </w:trPr>
        <w:tc>
          <w:tcPr>
            <w:tcW w:w="8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101.INS</w:t>
            </w:r>
          </w:p>
        </w:tc>
        <w:tc>
          <w:tcPr>
            <w:tcW w:w="120" w:type="dxa"/>
            <w:vAlign w:val="bottom"/>
          </w:tcPr>
          <w:p>
            <w:pPr>
              <w:spacing w:after="0"/>
              <w:rPr>
                <w:sz w:val="18"/>
                <w:szCs w:val="18"/>
                <w:color w:val="auto"/>
              </w:rPr>
            </w:pPr>
          </w:p>
        </w:tc>
        <w:tc>
          <w:tcPr>
            <w:tcW w:w="91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Inline XBRL Instance Document-the instance document does not appear in the Interactive Data file because its XBRL tags are</w:t>
            </w:r>
          </w:p>
        </w:tc>
        <w:tc>
          <w:tcPr>
            <w:tcW w:w="11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w:t>
            </w:r>
          </w:p>
        </w:tc>
      </w:tr>
      <w:tr>
        <w:trPr>
          <w:trHeight w:val="203"/>
        </w:trPr>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1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embedded within the Inline XBRL document.</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6"/>
        </w:trPr>
        <w:tc>
          <w:tcPr>
            <w:tcW w:w="8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101.SCH</w:t>
            </w:r>
          </w:p>
        </w:tc>
        <w:tc>
          <w:tcPr>
            <w:tcW w:w="120" w:type="dxa"/>
            <w:vAlign w:val="bottom"/>
          </w:tcPr>
          <w:p>
            <w:pPr>
              <w:spacing w:after="0"/>
              <w:rPr>
                <w:sz w:val="18"/>
                <w:szCs w:val="18"/>
                <w:color w:val="auto"/>
              </w:rPr>
            </w:pPr>
          </w:p>
        </w:tc>
        <w:tc>
          <w:tcPr>
            <w:tcW w:w="91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Inline XBRL Taxonomy Extension Schema with Embedded Linkbase Documents.</w:t>
            </w:r>
          </w:p>
        </w:tc>
        <w:tc>
          <w:tcPr>
            <w:tcW w:w="11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w:t>
            </w:r>
          </w:p>
        </w:tc>
      </w:tr>
      <w:tr>
        <w:trPr>
          <w:trHeight w:val="238"/>
        </w:trPr>
        <w:tc>
          <w:tcPr>
            <w:tcW w:w="280" w:type="dxa"/>
            <w:vAlign w:val="bottom"/>
          </w:tcPr>
          <w:p>
            <w:pPr>
              <w:spacing w:after="0"/>
              <w:rPr>
                <w:sz w:val="20"/>
                <w:szCs w:val="20"/>
                <w:color w:val="auto"/>
              </w:rPr>
            </w:pPr>
            <w:r>
              <w:rPr>
                <w:rFonts w:ascii="Times New Roman" w:cs="Times New Roman" w:eastAsia="Times New Roman" w:hAnsi="Times New Roman"/>
                <w:sz w:val="15"/>
                <w:szCs w:val="15"/>
                <w:color w:val="auto"/>
              </w:rPr>
              <w:t>104</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1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Cover Page Interactive Data File (as formatted as Inline XBRL and contained in Exhibit 101).</w:t>
            </w:r>
          </w:p>
        </w:tc>
        <w:tc>
          <w:tcPr>
            <w:tcW w:w="11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w:t>
            </w:r>
          </w:p>
        </w:tc>
      </w:tr>
    </w:tbl>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Filed herewith.</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Furnished herewith.</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7780" w:type="dxa"/>
            <w:vAlign w:val="bottom"/>
            <w:gridSpan w:val="2"/>
          </w:tcPr>
          <w:p>
            <w:pPr>
              <w:ind w:left="1860"/>
              <w:spacing w:after="0"/>
              <w:rPr>
                <w:sz w:val="20"/>
                <w:szCs w:val="20"/>
                <w:color w:val="auto"/>
              </w:rPr>
            </w:pPr>
            <w:r>
              <w:rPr>
                <w:rFonts w:ascii="Times New Roman" w:cs="Times New Roman" w:eastAsia="Times New Roman" w:hAnsi="Times New Roman"/>
                <w:sz w:val="18"/>
                <w:szCs w:val="18"/>
                <w:b w:val="1"/>
                <w:bCs w:val="1"/>
                <w:color w:val="auto"/>
              </w:rPr>
              <w:t>Talkspace, Inc.</w:t>
            </w:r>
          </w:p>
        </w:tc>
      </w:tr>
      <w:tr>
        <w:trPr>
          <w:trHeight w:val="43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8, 2025</w:t>
            </w:r>
          </w:p>
        </w:tc>
        <w:tc>
          <w:tcPr>
            <w:tcW w:w="27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 Cohen</w:t>
            </w:r>
          </w:p>
        </w:tc>
      </w:tr>
      <w:tr>
        <w:trPr>
          <w:trHeight w:val="191"/>
        </w:trPr>
        <w:tc>
          <w:tcPr>
            <w:tcW w:w="34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0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Jon Cohen</w:t>
            </w:r>
          </w:p>
        </w:tc>
      </w:tr>
      <w:tr>
        <w:trPr>
          <w:trHeight w:val="234"/>
        </w:trPr>
        <w:tc>
          <w:tcPr>
            <w:tcW w:w="34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8, 2025</w:t>
            </w:r>
          </w:p>
        </w:tc>
        <w:tc>
          <w:tcPr>
            <w:tcW w:w="27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Ian Harris</w:t>
            </w:r>
          </w:p>
        </w:tc>
      </w:tr>
      <w:tr>
        <w:trPr>
          <w:trHeight w:val="191"/>
        </w:trPr>
        <w:tc>
          <w:tcPr>
            <w:tcW w:w="34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0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Ian Harris</w:t>
            </w:r>
          </w:p>
        </w:tc>
      </w:tr>
      <w:tr>
        <w:trPr>
          <w:trHeight w:val="234"/>
        </w:trPr>
        <w:tc>
          <w:tcPr>
            <w:tcW w:w="34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540"/>
        </w:trPr>
        <w:tc>
          <w:tcPr>
            <w:tcW w:w="3460" w:type="dxa"/>
            <w:vAlign w:val="bottom"/>
          </w:tcPr>
          <w:p>
            <w:pPr>
              <w:spacing w:after="0"/>
              <w:rPr>
                <w:sz w:val="24"/>
                <w:szCs w:val="24"/>
                <w:color w:val="auto"/>
              </w:rPr>
            </w:pPr>
          </w:p>
        </w:tc>
        <w:tc>
          <w:tcPr>
            <w:tcW w:w="27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28</w:t>
            </w:r>
          </w:p>
        </w:tc>
        <w:tc>
          <w:tcPr>
            <w:tcW w:w="5080" w:type="dxa"/>
            <w:vAlign w:val="bottom"/>
          </w:tcPr>
          <w:p>
            <w:pPr>
              <w:spacing w:after="0"/>
              <w:rPr>
                <w:sz w:val="24"/>
                <w:szCs w:val="24"/>
                <w:color w:val="auto"/>
              </w:rPr>
            </w:pPr>
          </w:p>
        </w:tc>
      </w:tr>
      <w:tr>
        <w:trPr>
          <w:trHeight w:val="763"/>
        </w:trPr>
        <w:tc>
          <w:tcPr>
            <w:tcW w:w="346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 Cohen, certify that:</w:t>
      </w:r>
    </w:p>
    <w:p>
      <w:pPr>
        <w:spacing w:after="0" w:line="225"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Talkspace, Inc.;</w:t>
      </w:r>
    </w:p>
    <w:p>
      <w:pPr>
        <w:spacing w:after="0" w:line="225"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8, 2025</w:t>
            </w:r>
          </w:p>
        </w:tc>
        <w:tc>
          <w:tcPr>
            <w:tcW w:w="26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 Cohen</w:t>
            </w:r>
          </w:p>
        </w:tc>
      </w:tr>
      <w:tr>
        <w:trPr>
          <w:trHeight w:val="191"/>
        </w:trPr>
        <w:tc>
          <w:tcPr>
            <w:tcW w:w="34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50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Jon Cohen</w:t>
            </w:r>
          </w:p>
        </w:tc>
      </w:tr>
      <w:tr>
        <w:trPr>
          <w:trHeight w:val="234"/>
        </w:trPr>
        <w:tc>
          <w:tcPr>
            <w:tcW w:w="34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1195"/>
        </w:trPr>
        <w:tc>
          <w:tcPr>
            <w:tcW w:w="348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Ian Harris, certify that:</w:t>
      </w:r>
    </w:p>
    <w:p>
      <w:pPr>
        <w:spacing w:after="0" w:line="225"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Talkspace, Inc.;</w:t>
      </w:r>
    </w:p>
    <w:p>
      <w:pPr>
        <w:spacing w:after="0" w:line="225"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8, 2025</w:t>
            </w:r>
          </w:p>
        </w:tc>
        <w:tc>
          <w:tcPr>
            <w:tcW w:w="26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Ian Harris</w:t>
            </w:r>
          </w:p>
        </w:tc>
      </w:tr>
      <w:tr>
        <w:trPr>
          <w:trHeight w:val="191"/>
        </w:trPr>
        <w:tc>
          <w:tcPr>
            <w:tcW w:w="34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50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Ian Harris</w:t>
            </w:r>
          </w:p>
        </w:tc>
      </w:tr>
      <w:tr>
        <w:trPr>
          <w:trHeight w:val="234"/>
        </w:trPr>
        <w:tc>
          <w:tcPr>
            <w:tcW w:w="34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195"/>
        </w:trPr>
        <w:tc>
          <w:tcPr>
            <w:tcW w:w="348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Talkspace, Inc. (the “Company”) for the period ended June 30, 2025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900" w:hanging="359"/>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8, 2025</w:t>
            </w:r>
          </w:p>
        </w:tc>
        <w:tc>
          <w:tcPr>
            <w:tcW w:w="27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 Cohen</w:t>
            </w:r>
          </w:p>
        </w:tc>
      </w:tr>
      <w:tr>
        <w:trPr>
          <w:trHeight w:val="191"/>
        </w:trPr>
        <w:tc>
          <w:tcPr>
            <w:tcW w:w="34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50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Jon Cohen</w:t>
            </w:r>
          </w:p>
        </w:tc>
      </w:tr>
      <w:tr>
        <w:trPr>
          <w:trHeight w:val="234"/>
        </w:trPr>
        <w:tc>
          <w:tcPr>
            <w:tcW w:w="34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1195"/>
        </w:trPr>
        <w:tc>
          <w:tcPr>
            <w:tcW w:w="344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Talkspace, Inc. (the “Company”) for the period ended June 30, 2025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900" w:hanging="359"/>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8, 2025</w:t>
            </w:r>
          </w:p>
        </w:tc>
        <w:tc>
          <w:tcPr>
            <w:tcW w:w="270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Ian Harris</w:t>
            </w:r>
          </w:p>
        </w:tc>
      </w:tr>
      <w:tr>
        <w:trPr>
          <w:trHeight w:val="191"/>
        </w:trPr>
        <w:tc>
          <w:tcPr>
            <w:tcW w:w="34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0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Ian Harris</w:t>
            </w:r>
          </w:p>
        </w:tc>
      </w:tr>
      <w:tr>
        <w:trPr>
          <w:trHeight w:val="234"/>
        </w:trPr>
        <w:tc>
          <w:tcPr>
            <w:tcW w:w="34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411"/>
        </w:trPr>
        <w:tc>
          <w:tcPr>
            <w:tcW w:w="346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2" w:name="page33"/>
    <w:bookmarkEnd w:id="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2025-08-08T16:39:35Z</dcterms:created>
  <dcterms:modified xsi:type="dcterms:W3CDTF">2025-08-08T16:39:35Z</dcterms:modified>
</cp:coreProperties>
</file>