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320040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Talkspace,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tabs>
          <w:tab w:leader="none" w:pos="5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217170</wp:posOffset>
            </wp:positionV>
            <wp:extent cx="162877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622 Third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a special meeting of stockholders (such meeting, including any adjournment or postponement thereof, we refer to as the “special meeting”) of Talkspace, Inc., a Delaware corporation (which we refer to as the “Company”, “we”, “us” or “our”), to be held on May 29, 2026 at 9:00 a.m., Eastern time (unless the special meeting is adjourned or postponed). The special meeting will be completely virtual. You will be able to virtually attend and vote at the special meeting by visiting www.proxydocs.com/TALK and using the 12-digit control number included in the proxy materials. For purposes of attendance at the special meeting, all references in the enclosed proxy statement to “present” shall mean virtually present or represented by proxy at the special meeting.</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previously announced, on March 9, 2026, the Company entered into an Agreement and Plan of Merger (which we refer to as the “merger agreement”) with Universal Health Services, Inc., a Delaware corporation (which we refer to as “UHS”), and UHS Merger Subsidiary, Inc., a Delaware corporation and an indirect wholly owned subsidiary of UHS (which we refer to as “Merger Sub”). Subject to the terms and conditions of the merger agreement, Merger Sub will be merged with and into the Company (which we refer to as the “merger”), with the Company surviving the merger as an indirect wholly owned subsidiary of UHS (which we refer to as the “surviving corporation”).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merger agreement is adopted and the merger is consummated, at the time the merger is consummated (which we refer to as the “effective time”), you will be entitled to receive an amount in cash equal to $5.25 per share, without interest and subject to any required withholding taxes (which we refer to as the “merger consideration”), for each share of common stock, par value $0.0001, of the Company (which we refer to as the “Company common stock”) that you own as of immediately prior to the effective time (other than any shares of Company common stock as to which you properly and validly demand and perfect and have not validly withdrawn appraisal rights in accordance with Section 262 of the General Corporation Law of the State of Delaware (which we refer to as the “DGCL”) or any shares of Company common stock bearing a legend that such share is subject to forfeiture). If the merger agreement is adopted and the merger is consummated, the Company will become an indirect wholly owned subsidiary of UHS and you will not own shares in the surviving corporation.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at the effective time, each Company warrant (which we refer to as the “Company warrant”) that is issued and outstanding as of immediately prior to the effective time shall, immediately following the effective time, continue to be outstanding according to its terms; provided that, following the effective time, each Company warrant shall,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shares of Company common stock for which such Company warrant was exercisable for immediately prior to the effective time. Pursuant to the Warrant Agreement between Hudson Executive Investment Corp. and Continental Stock Transfer &amp; Trust Company, dated June 8, 2020 (which we refer to as the “warrant agreement”), if a holder properly exercises a Company warrant within 30 days following the Company’s public disclosure of the consummation of the merger in a Current Report on Form 8-K, then the exercise price per share under such Company warrant (which we refer to as the “warrant price”) with respect to such exercise shall be reduced by an amount (in dollars, and in no event less than zero) equal to the difference of (i) the warrant price in effect immediately prior to such reduction minus (ii) (A) the merger consideration minus (B) the Black-Scholes Warrant Value (as defined and determined in accordance with the warrant agreement).</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The board of directors of the Company (which we refer to as the “Board”) has carefully reviewed and considered the terms and conditions of the merger agreement, and the transactions contemplated by the merger agreement, including the merger. The Board has unanimously (i) approved (including for the purposes of Section 203 of the DGCL) and declared advisable the merger agreement, the execution, delivery and performance thereof and the consummation of the transactions contemplated thereby, including the merger, (ii) determined that the merger and the other transactions contemplated by the merger agreement are advisable and fair to, and in the best interests of, the Company and the Company stockholders, and</w:t>
      </w:r>
    </w:p>
    <w:p>
      <w:pPr>
        <w:spacing w:after="0" w:line="3" w:lineRule="exact"/>
        <w:rPr>
          <w:sz w:val="20"/>
          <w:szCs w:val="20"/>
          <w:color w:val="auto"/>
        </w:rPr>
      </w:pPr>
    </w:p>
    <w:p>
      <w:pPr>
        <w:ind w:left="120" w:right="660" w:hanging="4"/>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be submitted to the Company stockholders entitled to vote thereon and recommended that the Company stockholders vote their shares of Company common stock in favor of the adoption of the merger agreement at the special meeting.</w:t>
      </w:r>
    </w:p>
    <w:p>
      <w:pPr>
        <w:spacing w:after="0" w:line="18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At the special meeting, you will be asked to consider and vote on (i) a proposal to adopt the merger agreement (which we refer to as the “merger agreement proposal”), (ii) a proposal to approve, by advisory (non-binding) vote, the compensation that may be paid or become payable to the named executive officers of the Company in connection with the consummation of the merger (which we refer to as the “advisory compensation proposal”) and</w:t>
      </w:r>
    </w:p>
    <w:p>
      <w:pPr>
        <w:spacing w:after="0" w:line="2" w:lineRule="exact"/>
        <w:rPr>
          <w:sz w:val="20"/>
          <w:szCs w:val="20"/>
          <w:color w:val="auto"/>
        </w:rPr>
      </w:pPr>
    </w:p>
    <w:p>
      <w:pPr>
        <w:ind w:left="120" w:hanging="4"/>
        <w:spacing w:after="0" w:line="277" w:lineRule="auto"/>
        <w:tabs>
          <w:tab w:leader="none" w:pos="4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proposal to approve any adjournment of the special meeting, if necessary or appropriate, for the purpose of soliciting additional proxies if there are not sufficient votes at the special meeting to adopt the merger agreement (which we refer to as the “adjournment proposal”). </w:t>
      </w:r>
      <w:r>
        <w:rPr>
          <w:rFonts w:ascii="Times New Roman" w:cs="Times New Roman" w:eastAsia="Times New Roman" w:hAnsi="Times New Roman"/>
          <w:sz w:val="17"/>
          <w:szCs w:val="17"/>
          <w:b w:val="1"/>
          <w:bCs w:val="1"/>
          <w:color w:val="auto"/>
        </w:rPr>
        <w:t>The Board recommends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 vote “FOR” the merger agreement proposal, “FOR” the advisory compensation proposal and “FOR” the adjournment proposal.</w:t>
      </w:r>
    </w:p>
    <w:p>
      <w:pPr>
        <w:spacing w:after="0" w:line="16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proxy statement accompanying this letter provides you with more specific information concerning the special meeting, the merger agreement, and the transactions contemplated by the merger agreement, including the merger. The proxy statement also describes the actions and determinations of the Board in connection with its evaluation of the merger agreement, and the other transactions contemplated by the merger agreement, including the merger. We encourage you to carefully read the accompanying proxy statement and copy of the merger agreement attached as Annex A thereto, as they contain important information about, among other things, the merger and how it affects you.</w:t>
      </w:r>
    </w:p>
    <w:p>
      <w:pPr>
        <w:spacing w:after="0" w:line="17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regardless of the number of shares of Company common stock that you own. </w:t>
      </w:r>
      <w:r>
        <w:rPr>
          <w:rFonts w:ascii="Times New Roman" w:cs="Times New Roman" w:eastAsia="Times New Roman" w:hAnsi="Times New Roman"/>
          <w:sz w:val="18"/>
          <w:szCs w:val="18"/>
          <w:color w:val="auto"/>
        </w:rPr>
        <w:t>We cannot complete the merger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proposal is approved by the affirmative vote (in person or by proxy) of the holders of a majority of the outstanding shares of Company common stock entitled to vote thereon at the special meeting. Whether or not you plan to virtually attend the special meeting, we want to make sure your shares are represented at the special meeting. Please follow the voting instructions provided on the enclosed proxy card to submit your vote by the deadline provided therein. The failure to vote your shares of Company common stock on the merger agreement proposal or abstaining from the merger agreement proposal will have the same effect as a vote “AGAINST” the merger agreement proposal. If you hold your shares in “street name,” the failure to instruct your broker, bank or nominee on how to vote your shares will have the same effect as a vote “AGAINST” the merger agreement proposal.</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reading the accompanying proxy statement, please authorize a proxy to vote your shares of Company common stock by completing, dating, signing and returning your proxy card, grant your proxy electronically over the internet or telephonically as described in the accompanying proxy statement or vote your shares by virtually attending and voting at the special meeting. Instructions regarding the methods of authorizing your proxy are detailed in the section of the accompanying proxy statement entitled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34</w:t>
      </w:r>
      <w:r>
        <w:rPr>
          <w:rFonts w:ascii="Times New Roman" w:cs="Times New Roman" w:eastAsia="Times New Roman" w:hAnsi="Times New Roman"/>
          <w:sz w:val="18"/>
          <w:szCs w:val="18"/>
          <w:color w:val="auto"/>
        </w:rPr>
        <w:t>. If you virtually attend the special meeting and vote thereat, your vote will revoke any proxy that you have previously submitted. If you hold Company common stock through an account with a broker, bank or other nominee, please follow the instructions you receive from them to vote your shares of Company common stock. Your broker, bank or other nominee cannot vote on any of the proposals, including the merger agreement proposal, without your instructions. If you have any questions or need assistance voting, please contact our proxy solicitor:</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10022</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Stockholders may call toll-free: +1 (877) 750-5837 (U.S. and Canada)</w:t>
      </w:r>
    </w:p>
    <w:p>
      <w:pPr>
        <w:spacing w:after="0" w:line="27" w:lineRule="exact"/>
        <w:rPr>
          <w:sz w:val="20"/>
          <w:szCs w:val="20"/>
          <w:color w:val="auto"/>
        </w:rPr>
      </w:pPr>
    </w:p>
    <w:p>
      <w:pPr>
        <w:ind w:left="3900" w:right="2820" w:hanging="894"/>
        <w:spacing w:after="0" w:line="260" w:lineRule="auto"/>
        <w:tabs>
          <w:tab w:leader="none" w:pos="31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(412) 232-3651 (all other countries) Brokers and banks may call: +1 (212) 750-5833</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the Board, thank you for your support.</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By Order of the Board of Directors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25158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Douglas Braunstein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20, 2026</w:t>
      </w:r>
    </w:p>
    <w:p>
      <w:pPr>
        <w:spacing w:after="0" w:line="22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merger has not been approved or disapproved by the Securities and Exchange Commission or any state securities commission. Neither the Securities and Exchange Commission nor any state securities commission has passed upon the merits or fairness of the merger or upon the adequacy or accuracy of the information contained in this document or the accompanying proxy statement. Any representation to the contrary is a criminal offense.</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April 20, 2026, and, together with the enclosed form of proxy card, is first being mailed to the Company stockholders on or about April 20, 2026.</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217170</wp:posOffset>
            </wp:positionV>
            <wp:extent cx="162877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87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622 Third Avenue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MAY 29, 2026</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Notice is hereby given that a special meeting of stockholders (which meeting, including any adjournment or postponement thereof, we refer to as the “special meeting”) of Talkspace, Inc., a Delaware corporation (which we refer to as the “Company”, “we”, “us” or “our”), will be held on May 29, 2026 at 9:00 a.m., Eastern time (unless the special meeting is adjourned or postponed). The special meeting will be completely virtual. Company stockholders will be able to virtually attend and vote at the special meeting by visiting www.proxydocs.com/TALK. </w:t>
      </w:r>
      <w:r>
        <w:rPr>
          <w:rFonts w:ascii="Times New Roman" w:cs="Times New Roman" w:eastAsia="Times New Roman" w:hAnsi="Times New Roman"/>
          <w:sz w:val="18"/>
          <w:szCs w:val="18"/>
          <w:b w:val="1"/>
          <w:bCs w:val="1"/>
          <w:color w:val="auto"/>
        </w:rPr>
        <w:t>Whether or not you expect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virtually attend the special meeting, please complete, date, sign and return the proxy card, grant your proxy electronically over the internet or telephonically as described in the accompanying proxy statement, or vote over the telephone or the internet as instructed in these materials, as promptly as possible in order to ensure your representation at the special meeting. </w:t>
      </w:r>
      <w:r>
        <w:rPr>
          <w:rFonts w:ascii="Times New Roman" w:cs="Times New Roman" w:eastAsia="Times New Roman" w:hAnsi="Times New Roman"/>
          <w:sz w:val="18"/>
          <w:szCs w:val="18"/>
          <w:color w:val="auto"/>
        </w:rPr>
        <w:t>Even if you have voted by proxy, you may still vote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virtually attend the special meeting. Please note, however, that if your shares are held of record by a broker, bank or other nominee and you wish to vote online during the special meeting, you must obtain a 12-digit control number from such organization (typically found on their voting instruction form). For purposes of attendance at the special meeting, all references in the enclosed proxy statement to “present” shall mean virtually present or represented by proxy at the special meeting. The special meeting will be held for the following purposes:</w:t>
      </w:r>
    </w:p>
    <w:p>
      <w:pPr>
        <w:sectPr>
          <w:pgSz w:w="11900" w:h="16838" w:orient="portrait"/>
          <w:cols w:equalWidth="0" w:num="1">
            <w:col w:w="11120"/>
          </w:cols>
          <w:pgMar w:left="320" w:top="455" w:right="459" w:bottom="1440" w:gutter="0" w:footer="0" w:header="0"/>
        </w:sectPr>
      </w:pPr>
    </w:p>
    <w:p>
      <w:pPr>
        <w:spacing w:after="0" w:line="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hanging="44"/>
        <w:spacing w:after="0" w:line="255" w:lineRule="auto"/>
        <w:rPr>
          <w:sz w:val="20"/>
          <w:szCs w:val="20"/>
          <w:color w:val="auto"/>
        </w:rPr>
      </w:pPr>
      <w:r>
        <w:rPr>
          <w:rFonts w:ascii="Times New Roman" w:cs="Times New Roman" w:eastAsia="Times New Roman" w:hAnsi="Times New Roman"/>
          <w:sz w:val="18"/>
          <w:szCs w:val="18"/>
          <w:color w:val="auto"/>
        </w:rPr>
        <w:t> To consider and vote on a proposal to adopt the Agreement and Plan of Merger, dated as of March 9, 2026 (which we refer to as the “merger agreement”), by and among the Company, Universal Health Services, Inc., a Delaware corporation (which we refer to as “UHS”), UHS Merger Subsidiary, Inc., a Delaware corporation and an indirect wholly owned subsidiary of UHS (which we refer to as “Merger Sub”), pursuant to which and subject to the terms and conditions thereof, Merger Sub will be merged with and into the Company (which we refer to as the “merger”), with the Company continuing as the surviving corporation in the merger as an indirect wholly owned subsidiary of UHS. We refer to this proposal as the “merger agreement proposal”.</w:t>
      </w:r>
    </w:p>
    <w:p>
      <w:pPr>
        <w:spacing w:after="0" w:line="81" w:lineRule="exact"/>
        <w:rPr>
          <w:sz w:val="20"/>
          <w:szCs w:val="20"/>
          <w:color w:val="auto"/>
        </w:rPr>
      </w:pPr>
    </w:p>
    <w:p>
      <w:pPr>
        <w:sectPr>
          <w:pgSz w:w="11900" w:h="16838" w:orient="portrait"/>
          <w:cols w:equalWidth="0" w:num="3">
            <w:col w:w="1620" w:space="720"/>
            <w:col w:w="180" w:space="160"/>
            <w:col w:w="8440"/>
          </w:cols>
          <w:pgMar w:left="320" w:top="455" w:right="45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0"/>
          <w:szCs w:val="10"/>
          <w:color w:val="auto"/>
        </w:rPr>
        <w:t>2. </w:t>
      </w:r>
    </w:p>
    <w:p>
      <w:pPr>
        <w:spacing w:after="0" w:line="20" w:lineRule="exact"/>
        <w:rPr>
          <w:sz w:val="20"/>
          <w:szCs w:val="20"/>
          <w:color w:val="auto"/>
        </w:rPr>
      </w:pPr>
      <w:r>
        <w:rPr>
          <w:sz w:val="20"/>
          <w:szCs w:val="20"/>
          <w:color w:val="auto"/>
        </w:rPr>
        <w:br w:type="column"/>
      </w:r>
    </w:p>
    <w:p>
      <w:pPr>
        <w:jc w:val="both"/>
        <w:ind w:hanging="44"/>
        <w:spacing w:after="0" w:line="266" w:lineRule="auto"/>
        <w:rPr>
          <w:sz w:val="20"/>
          <w:szCs w:val="20"/>
          <w:color w:val="auto"/>
        </w:rPr>
      </w:pPr>
      <w:r>
        <w:rPr>
          <w:rFonts w:ascii="Times New Roman" w:cs="Times New Roman" w:eastAsia="Times New Roman" w:hAnsi="Times New Roman"/>
          <w:sz w:val="18"/>
          <w:szCs w:val="18"/>
          <w:color w:val="auto"/>
        </w:rPr>
        <w:t> To consider and vote on a proposal to approve, by advisory (non-binding) vote, the compensation that may be paid or become payable to our named executive officers in connection with the consummation of the merger, which proposal we refer to as the “advisory compensation proposal”.</w:t>
      </w:r>
    </w:p>
    <w:p>
      <w:pPr>
        <w:spacing w:after="0" w:line="68" w:lineRule="exact"/>
        <w:rPr>
          <w:sz w:val="20"/>
          <w:szCs w:val="20"/>
          <w:color w:val="auto"/>
        </w:rPr>
      </w:pPr>
    </w:p>
    <w:p>
      <w:pPr>
        <w:sectPr>
          <w:pgSz w:w="11900" w:h="16838" w:orient="portrait"/>
          <w:cols w:equalWidth="0" w:num="2">
            <w:col w:w="2520" w:space="160"/>
            <w:col w:w="8440"/>
          </w:cols>
          <w:pgMar w:left="320" w:top="455" w:right="45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0"/>
          <w:szCs w:val="10"/>
          <w:color w:val="auto"/>
        </w:rPr>
        <w:t>3. </w:t>
      </w:r>
    </w:p>
    <w:p>
      <w:pPr>
        <w:spacing w:after="0" w:line="20" w:lineRule="exact"/>
        <w:rPr>
          <w:sz w:val="20"/>
          <w:szCs w:val="20"/>
          <w:color w:val="auto"/>
        </w:rPr>
      </w:pPr>
      <w:r>
        <w:rPr>
          <w:sz w:val="20"/>
          <w:szCs w:val="20"/>
          <w:color w:val="auto"/>
        </w:rPr>
        <w:br w:type="column"/>
      </w:r>
    </w:p>
    <w:p>
      <w:pPr>
        <w:ind w:right="180" w:hanging="44"/>
        <w:spacing w:after="0" w:line="266" w:lineRule="auto"/>
        <w:rPr>
          <w:sz w:val="20"/>
          <w:szCs w:val="20"/>
          <w:color w:val="auto"/>
        </w:rPr>
      </w:pPr>
      <w:r>
        <w:rPr>
          <w:rFonts w:ascii="Times New Roman" w:cs="Times New Roman" w:eastAsia="Times New Roman" w:hAnsi="Times New Roman"/>
          <w:sz w:val="18"/>
          <w:szCs w:val="18"/>
          <w:color w:val="auto"/>
        </w:rPr>
        <w:t> To consider and vote on a proposal to approve any adjournment of the special meeting for the purpose of soliciting additional proxies if there are insufficient votes at the special meeting to adopt the merger agreement, which proposal we refer to as the “adjournment proposal”.</w:t>
      </w:r>
    </w:p>
    <w:p>
      <w:pPr>
        <w:spacing w:after="0" w:line="64" w:lineRule="exact"/>
        <w:rPr>
          <w:sz w:val="20"/>
          <w:szCs w:val="20"/>
          <w:color w:val="auto"/>
        </w:rPr>
      </w:pPr>
    </w:p>
    <w:p>
      <w:pPr>
        <w:sectPr>
          <w:pgSz w:w="11900" w:h="16838" w:orient="portrait"/>
          <w:cols w:equalWidth="0" w:num="2">
            <w:col w:w="2520" w:space="160"/>
            <w:col w:w="844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Only the Company stockholders of record at the close of business on April 13, 2026, the record date for the special meeting, will be entitled to notice of, and to vote at, the special meeting and any adjournment or postponement thereof. At the special meeting and for 10 days prior to the special meeting, the names of Company stockholders entitled to vote at the special meeting will be available for inspection by any Company stockholder, for any purpose germane to the meeting, between the hours of 9:00 a.m. and 5:00 p.m., Eastern time, at the Company’s principal executive offices located at 622 Third Avenue, New York, New York 10017, by contacting the Corporate Secretary of the Company. In addition, participating Company stockholders who log on to the special meeting using their 12-digit control number will be able to examine the stockholder list during the special meeting by following the instructions provided on the meeting website at www.proxydocs.com/TALK.</w:t>
      </w:r>
    </w:p>
    <w:p>
      <w:pPr>
        <w:sectPr>
          <w:pgSz w:w="11900" w:h="16838" w:orient="portrait"/>
          <w:cols w:equalWidth="0" w:num="2">
            <w:col w:w="1620" w:space="720"/>
            <w:col w:w="8780"/>
          </w:cols>
          <w:pgMar w:left="320" w:top="455" w:right="4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28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480" w:type="dxa"/>
            <w:vAlign w:val="bottom"/>
          </w:tcPr>
          <w:p>
            <w:pPr>
              <w:spacing w:after="0"/>
              <w:rPr>
                <w:sz w:val="24"/>
                <w:szCs w:val="24"/>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merger agreement proposal must be approved by the affirmative vote (in person or by proxy) of the holders of a</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majority of outstanding shares of Company common stock entitled to vote on the matter. Assuming a quorum is present,</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if you fail to authorize a proxy to vote your shares of Company common stock or vote at the special meeting, fail to</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instruct your broker, bank or other nominee on how to vote, or abstain from the merger agreement proposal, it will have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same effect as a vote “AGAINST” the merger agreement proposal. Accordingly, your vote is very important</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regardless of the number of shares of Company common stock that you own. Whether or not you plan to virtually attend</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special meeting, we request that you vote your shares of Company common stock. If you virtually attend the special</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meeting and you are a Company stockholder of record at the close of business on the record date, you may continue to</w:t>
            </w:r>
          </w:p>
        </w:tc>
      </w:tr>
      <w:tr>
        <w:trPr>
          <w:trHeight w:val="212"/>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have your shares of Company common stock voted as instructed in your proxy or you may withdraw your proxy and vote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your shares of Company common stock at the special meeting. </w:t>
            </w:r>
            <w:r>
              <w:rPr>
                <w:rFonts w:ascii="Times New Roman" w:cs="Times New Roman" w:eastAsia="Times New Roman" w:hAnsi="Times New Roman"/>
                <w:sz w:val="18"/>
                <w:szCs w:val="18"/>
                <w:b w:val="1"/>
                <w:bCs w:val="1"/>
                <w:color w:val="auto"/>
              </w:rPr>
              <w:t>If you fail to authorize a proxy to vote your shares of</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Company common stock or vote at the special meeting, or fail to instruct your broker, bank or other nominee on</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how to vote, the effect will be that the shares of Company common stock that you own will not be counted for</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purposes of determining whether a quorum is present at the special meeting and will have the same effect as a vote</w:t>
            </w:r>
          </w:p>
        </w:tc>
      </w:tr>
      <w:tr>
        <w:trPr>
          <w:trHeight w:val="238"/>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“AGAINST” the merger agreement proposal.</w:t>
            </w:r>
          </w:p>
        </w:tc>
      </w:tr>
      <w:tr>
        <w:trPr>
          <w:trHeight w:val="306"/>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approval of the advisory compensation proposal and the adjournment proposal each requires the affirmative vote (in</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person or by proxy) of the holders of a majority in voting power of the votes cast (excluding abstentions and broker</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non-votes) on such proposal. Assuming a quorum is present, if you fail to authorize a proxy to vote your shares of</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Company common stock or vote at the special meeting, or fail to instruct your bank, broker or other nominee on how to</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vote, it will have no effect on the outcome of these proposals. Abstentions will not be considered votes cast and therefore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will have no effect on the outcome of the advisory compensation proposal or the adjournment proposal. If a quorum is not</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or represented at the special meeting, then either (i) the person presiding over the meeting or (ii) a majority in</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voting power of the stockholders entitled to vote at the special meeting, present in person, or by remote communication,</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 represented by proxy, shall have the power to adjourn the special meeting from time to time until a quorum is present</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 represented. If a quorum is present and represented at the special meeting, the special meeting may be adjourned to</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another time and place to permit further solicitation of proxies, if necessary, to obtain additional votes to approve the</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merger agreement proposal.</w:t>
            </w:r>
          </w:p>
        </w:tc>
      </w:tr>
      <w:tr>
        <w:trPr>
          <w:trHeight w:val="306"/>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For Company stockholders of record, any proxy may be revoked at any time prior to its exercise by delivery of a properly</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executed, later-dated proxy card, by authorizing your proxy or voting instructions electronically over the internet or</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telephonically at a later date than your previously authorized proxy, by submitting a written revocation of your proxy to</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Corporate Secretary, or by voting at the special meeting. For Company stockholders that hold their shares in “street</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name”, you will need to revoke or resubmit your proxy in accordance with the instructions provided by your broker, bank</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 other nominee. Virtual attendance at the special meeting, in and of itself, will not be sufficient to revoke a previously</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authorized proxy.</w:t>
            </w:r>
          </w:p>
        </w:tc>
      </w:tr>
      <w:tr>
        <w:trPr>
          <w:trHeight w:val="306"/>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more information concerning the special meeting, the merger agreement, and the transactions contemplated by the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merger agreement, including the merger, please review the accompanying proxy statement and the copy of the merger</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agreement attached as Annex A thereto.</w:t>
            </w:r>
          </w:p>
        </w:tc>
      </w:tr>
      <w:tr>
        <w:trPr>
          <w:trHeight w:val="306"/>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board of directors of the Company (which we refer to as the “Board”) has carefully reviewed and considered the</w:t>
            </w: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terms and conditions of the merger agreement, and the transactions contemplated by the merger agreement, including the</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merger. The Board has</w:t>
            </w:r>
          </w:p>
        </w:tc>
      </w:tr>
    </w:tbl>
    <w:p>
      <w:pPr>
        <w:ind w:left="500"/>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340" w:right="300"/>
        <w:spacing w:after="0" w:line="270" w:lineRule="auto"/>
        <w:rPr>
          <w:sz w:val="20"/>
          <w:szCs w:val="20"/>
          <w:color w:val="auto"/>
        </w:rPr>
      </w:pPr>
      <w:r>
        <w:rPr>
          <w:rFonts w:ascii="Times New Roman" w:cs="Times New Roman" w:eastAsia="Times New Roman" w:hAnsi="Times New Roman"/>
          <w:sz w:val="17"/>
          <w:szCs w:val="17"/>
          <w:color w:val="auto"/>
        </w:rPr>
        <w:t>unanimously (i) approved (including for the purposes of Section 203 of the DGCL) and declared advisable the merger agreement, the execution, delivery and performance thereof and the consummation of the transactions contemplated thereby, including the merger, (ii) determined that the merger and the other transactions contemplated by the merger agreement are advisable and fair to, and in the best interests of, the Company and the Company stockholders, and</w:t>
      </w:r>
    </w:p>
    <w:p>
      <w:pPr>
        <w:spacing w:after="0" w:line="3" w:lineRule="exact"/>
        <w:rPr>
          <w:sz w:val="20"/>
          <w:szCs w:val="20"/>
          <w:color w:val="auto"/>
        </w:rPr>
      </w:pPr>
    </w:p>
    <w:p>
      <w:pPr>
        <w:ind w:left="2340" w:right="20" w:hanging="10"/>
        <w:spacing w:after="0" w:line="255" w:lineRule="auto"/>
        <w:tabs>
          <w:tab w:leader="none" w:pos="2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be submitted to the Company stockholders entitled to vote thereon and recommended that the Company stockholders vote their shares of Company common stock in favor of the adoption of the merger agreement at the special meeting.</w:t>
      </w:r>
    </w:p>
    <w:p>
      <w:pPr>
        <w:spacing w:after="0" w:line="74" w:lineRule="exact"/>
        <w:rPr>
          <w:sz w:val="20"/>
          <w:szCs w:val="20"/>
          <w:color w:val="auto"/>
        </w:rPr>
      </w:pPr>
    </w:p>
    <w:p>
      <w:pPr>
        <w:ind w:left="2340" w:right="780"/>
        <w:spacing w:after="0" w:line="286" w:lineRule="auto"/>
        <w:rPr>
          <w:sz w:val="20"/>
          <w:szCs w:val="20"/>
          <w:color w:val="auto"/>
        </w:rPr>
      </w:pPr>
      <w:r>
        <w:rPr>
          <w:rFonts w:ascii="Times New Roman" w:cs="Times New Roman" w:eastAsia="Times New Roman" w:hAnsi="Times New Roman"/>
          <w:sz w:val="18"/>
          <w:szCs w:val="18"/>
          <w:b w:val="1"/>
          <w:bCs w:val="1"/>
          <w:color w:val="auto"/>
        </w:rPr>
        <w:t>Accordingly, the Board recommends a vote “FOR” the merger agreement proposal, “FOR” the advisory compensation proposal and “FOR” the adjournment proposal.</w:t>
      </w:r>
    </w:p>
    <w:p>
      <w:pPr>
        <w:spacing w:after="0" w:line="51" w:lineRule="exact"/>
        <w:rPr>
          <w:sz w:val="20"/>
          <w:szCs w:val="20"/>
          <w:color w:val="auto"/>
        </w:rPr>
      </w:pPr>
    </w:p>
    <w:p>
      <w:pPr>
        <w:ind w:left="2340"/>
        <w:spacing w:after="0" w:line="253" w:lineRule="auto"/>
        <w:rPr>
          <w:sz w:val="20"/>
          <w:szCs w:val="20"/>
          <w:color w:val="auto"/>
        </w:rPr>
      </w:pPr>
      <w:r>
        <w:rPr>
          <w:rFonts w:ascii="Times New Roman" w:cs="Times New Roman" w:eastAsia="Times New Roman" w:hAnsi="Times New Roman"/>
          <w:sz w:val="18"/>
          <w:szCs w:val="18"/>
          <w:color w:val="auto"/>
        </w:rPr>
        <w:t>Whether or not you plan to virtually attend the special meeting, we want to make sure your shares are represented at the meeting. You may cast your vote by authorizing your proxy in advance of the special meeting by internet, telephone or mail. Please sign, date and return, as promptly as possible, the enclosed proxy card in the reply envelope provided or grant your proxy electronically over the internet or telephonically (in accordance with the instructions detailed in the section of this proxy statement entitled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34</w:t>
      </w:r>
      <w:r>
        <w:rPr>
          <w:rFonts w:ascii="Times New Roman" w:cs="Times New Roman" w:eastAsia="Times New Roman" w:hAnsi="Times New Roman"/>
          <w:sz w:val="18"/>
          <w:szCs w:val="18"/>
          <w:color w:val="auto"/>
        </w:rPr>
        <w:t xml:space="preserve">). If you virtually attend the special meeting and vote thereat, your vote will revoke any proxy that you have previously submitted. If you hold your shares in “street name”, you should instruct your broker, bank or other nominee how to vote your shares in accordance with the voting instruction form that you will receive from your broker, bank or other nominee. Your broker, bank or other nominee cannot vote on any of the proposals, including the merger agreement proposal, without your instructions. </w:t>
      </w:r>
      <w:r>
        <w:rPr>
          <w:rFonts w:ascii="Times New Roman" w:cs="Times New Roman" w:eastAsia="Times New Roman" w:hAnsi="Times New Roman"/>
          <w:sz w:val="18"/>
          <w:szCs w:val="18"/>
          <w:b w:val="1"/>
          <w:bCs w:val="1"/>
          <w:color w:val="auto"/>
        </w:rPr>
        <w:t>If you sign, date and mail your proxy card without indicating how you wish to vote, your proxy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counted as a vote “FOR” the merger agreement proposal, “FOR” the advisory compensation proposal and “FOR” the adjournment proposal.</w:t>
      </w:r>
    </w:p>
    <w:p>
      <w:pPr>
        <w:spacing w:after="0" w:line="82" w:lineRule="exact"/>
        <w:rPr>
          <w:sz w:val="20"/>
          <w:szCs w:val="20"/>
          <w:color w:val="auto"/>
        </w:rPr>
      </w:pPr>
    </w:p>
    <w:p>
      <w:pPr>
        <w:ind w:left="2340"/>
        <w:spacing w:after="0" w:line="282" w:lineRule="auto"/>
        <w:rPr>
          <w:sz w:val="20"/>
          <w:szCs w:val="20"/>
          <w:color w:val="auto"/>
        </w:rPr>
      </w:pPr>
      <w:r>
        <w:rPr>
          <w:rFonts w:ascii="Times New Roman" w:cs="Times New Roman" w:eastAsia="Times New Roman" w:hAnsi="Times New Roman"/>
          <w:sz w:val="18"/>
          <w:szCs w:val="18"/>
          <w:color w:val="auto"/>
        </w:rPr>
        <w:t>Before voting your shares, we urge you to read the accompanying proxy statement carefully, including its annexes and the documents incorporated by reference in the document. Your prompt attention is greatly appreciated.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Order of the Board of Directors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96925" cy="334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692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C. Reilly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Legal Officer, EVP Government Relations,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April 20, 2026</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9740" w:type="dxa"/>
            <w:vAlign w:val="bottom"/>
            <w:gridSpan w:val="37"/>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920" w:type="dxa"/>
            <w:vAlign w:val="bottom"/>
            <w:tcBorders>
              <w:bottom w:val="single" w:sz="8" w:color="0000EE"/>
            </w:tcBorders>
            <w:gridSpan w:val="2"/>
            <w:vMerge w:val="continue"/>
          </w:tcPr>
          <w:p>
            <w:pPr>
              <w:spacing w:after="0"/>
              <w:rPr>
                <w:sz w:val="13"/>
                <w:szCs w:val="13"/>
                <w:color w:val="auto"/>
              </w:rPr>
            </w:pPr>
          </w:p>
        </w:tc>
        <w:tc>
          <w:tcPr>
            <w:tcW w:w="9740" w:type="dxa"/>
            <w:vAlign w:val="bottom"/>
            <w:gridSpan w:val="3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The Parties</w:t>
            </w:r>
          </w:p>
        </w:tc>
        <w:tc>
          <w:tcPr>
            <w:tcW w:w="9480" w:type="dxa"/>
            <w:vAlign w:val="bottom"/>
            <w:gridSpan w:val="3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Certain Effects of the Merger; Consideration To Be Received in the Merger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The Special Meeting</w:t>
            </w:r>
          </w:p>
        </w:tc>
        <w:tc>
          <w:tcPr>
            <w:tcW w:w="3920" w:type="dxa"/>
            <w:vAlign w:val="bottom"/>
            <w:tcBorders>
              <w:top w:val="single" w:sz="8" w:color="0000EE"/>
            </w:tcBorders>
            <w:gridSpan w:val="23"/>
          </w:tcPr>
          <w:p>
            <w:pPr>
              <w:spacing w:after="0"/>
              <w:rPr>
                <w:sz w:val="17"/>
                <w:szCs w:val="17"/>
                <w:color w:val="auto"/>
              </w:rPr>
            </w:pPr>
          </w:p>
        </w:tc>
        <w:tc>
          <w:tcPr>
            <w:tcW w:w="48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Record Date and Stockholders Entitled to Vote; Vote Required to Approve Each Proposal</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by Company Directors, Executive Officers and Principal Securityholders</w:t>
            </w:r>
          </w:p>
        </w:tc>
        <w:tc>
          <w:tcPr>
            <w:tcW w:w="640" w:type="dxa"/>
            <w:vAlign w:val="bottom"/>
            <w:tcBorders>
              <w:top w:val="single" w:sz="8" w:color="0000EE"/>
            </w:tcBorders>
            <w:gridSpan w:val="3"/>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Voting Agreements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Merger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The Opinion of Wells Fargo Securities, LLC (Annex 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2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Effects on the Company if the Merger is not Consummated</w:t>
            </w:r>
          </w:p>
        </w:tc>
        <w:tc>
          <w:tcPr>
            <w:tcW w:w="60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Financing of the Merger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Interests of the Company’s Directors and Executive Officers in the Merger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34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49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54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 of the Merger</w:t>
            </w:r>
          </w:p>
        </w:tc>
        <w:tc>
          <w:tcPr>
            <w:tcW w:w="57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8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Regulatory Approvals in Connection with the Merger</w:t>
            </w:r>
          </w:p>
        </w:tc>
        <w:tc>
          <w:tcPr>
            <w:tcW w:w="64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908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No Solicitation; Change in Board Recommendation</w:t>
            </w:r>
          </w:p>
        </w:tc>
        <w:tc>
          <w:tcPr>
            <w:tcW w:w="65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Conditions of the Merger</w:t>
            </w:r>
          </w:p>
        </w:tc>
        <w:tc>
          <w:tcPr>
            <w:tcW w:w="848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7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Company Termination Fee</w:t>
            </w:r>
          </w:p>
        </w:tc>
        <w:tc>
          <w:tcPr>
            <w:tcW w:w="75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Current Price of Common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Additional Information</w:t>
            </w:r>
          </w:p>
        </w:tc>
        <w:tc>
          <w:tcPr>
            <w:tcW w:w="700" w:type="dxa"/>
            <w:vAlign w:val="bottom"/>
            <w:tcBorders>
              <w:top w:val="single" w:sz="8" w:color="0000EE"/>
            </w:tcBorders>
            <w:gridSpan w:val="9"/>
          </w:tcPr>
          <w:p>
            <w:pPr>
              <w:spacing w:after="0"/>
              <w:rPr>
                <w:sz w:val="17"/>
                <w:szCs w:val="17"/>
                <w:color w:val="auto"/>
              </w:rPr>
            </w:pPr>
          </w:p>
        </w:tc>
        <w:tc>
          <w:tcPr>
            <w:tcW w:w="792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4"/>
        </w:trPr>
        <w:tc>
          <w:tcPr>
            <w:tcW w:w="1066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 AND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6340" w:type="dxa"/>
            <w:vAlign w:val="bottom"/>
            <w:tcBorders>
              <w:top w:val="single" w:sz="8" w:color="0000EE"/>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00" w:type="dxa"/>
            <w:vAlign w:val="bottom"/>
            <w:tcBorders>
              <w:top w:val="single" w:sz="8" w:color="0000EE"/>
            </w:tcBorders>
          </w:tcPr>
          <w:p>
            <w:pPr>
              <w:spacing w:after="0"/>
              <w:rPr>
                <w:sz w:val="24"/>
                <w:szCs w:val="24"/>
                <w:color w:val="auto"/>
              </w:rPr>
            </w:pPr>
          </w:p>
        </w:tc>
        <w:tc>
          <w:tcPr>
            <w:tcW w:w="402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THE PARTIES</w:t>
            </w:r>
          </w:p>
        </w:tc>
        <w:tc>
          <w:tcPr>
            <w:tcW w:w="9540" w:type="dxa"/>
            <w:vAlign w:val="bottom"/>
            <w:gridSpan w:val="3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4"/>
              </w:rPr>
              <w:t>Talkspace, Inc.</w:t>
            </w:r>
          </w:p>
        </w:tc>
        <w:tc>
          <w:tcPr>
            <w:tcW w:w="922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7"/>
              </w:rPr>
              <w:t>Universal Health Services, Inc.</w:t>
            </w:r>
          </w:p>
        </w:tc>
        <w:tc>
          <w:tcPr>
            <w:tcW w:w="80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UHS Merger Subsidiary, Inc.</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THE SPECIAL MEETING</w:t>
            </w:r>
          </w:p>
        </w:tc>
        <w:tc>
          <w:tcPr>
            <w:tcW w:w="8680" w:type="dxa"/>
            <w:vAlign w:val="bottom"/>
            <w:gridSpan w:val="2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6"/>
              </w:rPr>
              <w:t>Date, Time and Place</w:t>
            </w:r>
          </w:p>
        </w:tc>
        <w:tc>
          <w:tcPr>
            <w:tcW w:w="87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2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Purpose of the Special Meeting</w:t>
            </w:r>
          </w:p>
        </w:tc>
        <w:tc>
          <w:tcPr>
            <w:tcW w:w="80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Registering for the Special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gridSpan w:val="9"/>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Record Date and Stockholders Entitled to Vote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Quorum</w:t>
            </w:r>
          </w:p>
        </w:tc>
        <w:tc>
          <w:tcPr>
            <w:tcW w:w="2760" w:type="dxa"/>
            <w:vAlign w:val="bottom"/>
            <w:tcBorders>
              <w:top w:val="single" w:sz="8" w:color="0000EE"/>
            </w:tcBorders>
            <w:gridSpan w:val="24"/>
          </w:tcPr>
          <w:p>
            <w:pPr>
              <w:spacing w:after="0"/>
              <w:rPr>
                <w:sz w:val="17"/>
                <w:szCs w:val="17"/>
                <w:color w:val="auto"/>
              </w:rPr>
            </w:pPr>
          </w:p>
        </w:tc>
        <w:tc>
          <w:tcPr>
            <w:tcW w:w="69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Vote Required</w:t>
            </w:r>
          </w:p>
        </w:tc>
        <w:tc>
          <w:tcPr>
            <w:tcW w:w="926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Procedures</w:t>
            </w:r>
          </w:p>
        </w:tc>
        <w:tc>
          <w:tcPr>
            <w:tcW w:w="89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How Proxies Are Voted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Revocation of Proxies</w:t>
            </w:r>
          </w:p>
        </w:tc>
        <w:tc>
          <w:tcPr>
            <w:tcW w:w="140" w:type="dxa"/>
            <w:vAlign w:val="bottom"/>
            <w:tcBorders>
              <w:top w:val="single" w:sz="8" w:color="0000EE"/>
            </w:tcBorders>
            <w:gridSpan w:val="3"/>
          </w:tcPr>
          <w:p>
            <w:pPr>
              <w:spacing w:after="0"/>
              <w:rPr>
                <w:sz w:val="17"/>
                <w:szCs w:val="17"/>
                <w:color w:val="auto"/>
              </w:rPr>
            </w:pPr>
          </w:p>
        </w:tc>
        <w:tc>
          <w:tcPr>
            <w:tcW w:w="856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Adjournments</w:t>
            </w:r>
          </w:p>
        </w:tc>
        <w:tc>
          <w:tcPr>
            <w:tcW w:w="870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9280" w:type="dxa"/>
            <w:vAlign w:val="bottom"/>
            <w:gridSpan w:val="3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7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by Company Directors, Executive Officers and Principal Securityholders</w:t>
            </w:r>
          </w:p>
        </w:tc>
        <w:tc>
          <w:tcPr>
            <w:tcW w:w="45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908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Assistance</w:t>
            </w:r>
          </w:p>
        </w:tc>
        <w:tc>
          <w:tcPr>
            <w:tcW w:w="928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7440" w:type="dxa"/>
            <w:vAlign w:val="bottom"/>
            <w:gridSpan w:val="43"/>
          </w:tcPr>
          <w:p>
            <w:pPr>
              <w:spacing w:after="0"/>
              <w:rPr>
                <w:sz w:val="17"/>
                <w:szCs w:val="17"/>
                <w:color w:val="auto"/>
              </w:rPr>
            </w:pPr>
          </w:p>
        </w:tc>
        <w:tc>
          <w:tcPr>
            <w:tcW w:w="2260" w:type="dxa"/>
            <w:vAlign w:val="bottom"/>
          </w:tcPr>
          <w:p>
            <w:pPr>
              <w:spacing w:after="0"/>
              <w:rPr>
                <w:sz w:val="17"/>
                <w:szCs w:val="17"/>
                <w:color w:val="auto"/>
              </w:rPr>
            </w:pPr>
          </w:p>
        </w:tc>
      </w:tr>
      <w:tr>
        <w:trPr>
          <w:trHeight w:val="507"/>
        </w:trPr>
        <w:tc>
          <w:tcPr>
            <w:tcW w:w="120" w:type="dxa"/>
            <w:vAlign w:val="bottom"/>
          </w:tcPr>
          <w:p>
            <w:pPr>
              <w:spacing w:after="0"/>
              <w:rPr>
                <w:sz w:val="24"/>
                <w:szCs w:val="24"/>
                <w:color w:val="auto"/>
              </w:rPr>
            </w:pPr>
          </w:p>
        </w:tc>
        <w:tc>
          <w:tcPr>
            <w:tcW w:w="402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w w:val="99"/>
              </w:rPr>
              <w:t>PROPOSAL 1: MERGER AGREEMENT PROPOSAL</w:t>
            </w:r>
          </w:p>
        </w:tc>
        <w:tc>
          <w:tcPr>
            <w:tcW w:w="4680" w:type="dxa"/>
            <w:vAlign w:val="bottom"/>
            <w:gridSpan w:val="10"/>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0" w:type="dxa"/>
            <w:vAlign w:val="bottom"/>
          </w:tcPr>
          <w:p>
            <w:pPr>
              <w:spacing w:after="0"/>
              <w:rPr>
                <w:sz w:val="24"/>
                <w:szCs w:val="24"/>
                <w:color w:val="auto"/>
              </w:rPr>
            </w:pPr>
          </w:p>
        </w:tc>
        <w:tc>
          <w:tcPr>
            <w:tcW w:w="8700" w:type="dxa"/>
            <w:vAlign w:val="bottom"/>
            <w:gridSpan w:val="48"/>
          </w:tcPr>
          <w:p>
            <w:pPr>
              <w:spacing w:after="0"/>
              <w:rPr>
                <w:sz w:val="20"/>
                <w:szCs w:val="20"/>
                <w:color w:val="auto"/>
              </w:rPr>
            </w:pPr>
            <w:r>
              <w:rPr>
                <w:rFonts w:ascii="Times New Roman" w:cs="Times New Roman" w:eastAsia="Times New Roman" w:hAnsi="Times New Roman"/>
                <w:sz w:val="18"/>
                <w:szCs w:val="18"/>
                <w:color w:val="0000EE"/>
              </w:rPr>
              <w:t>PROPOSAL 2: ADVISORY COMPENSATION PROPOSAL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120" w:type="dxa"/>
            <w:vAlign w:val="bottom"/>
          </w:tcPr>
          <w:p>
            <w:pPr>
              <w:spacing w:after="0"/>
              <w:rPr>
                <w:sz w:val="24"/>
                <w:szCs w:val="24"/>
                <w:color w:val="auto"/>
              </w:rPr>
            </w:pPr>
          </w:p>
        </w:tc>
        <w:tc>
          <w:tcPr>
            <w:tcW w:w="4460" w:type="dxa"/>
            <w:vAlign w:val="bottom"/>
            <w:tcBorders>
              <w:top w:val="single" w:sz="8" w:color="0000EE"/>
            </w:tcBorders>
            <w:gridSpan w:val="43"/>
          </w:tcPr>
          <w:p>
            <w:pPr>
              <w:spacing w:after="0"/>
              <w:rPr>
                <w:sz w:val="20"/>
                <w:szCs w:val="20"/>
                <w:color w:val="auto"/>
              </w:rPr>
            </w:pPr>
            <w:r>
              <w:rPr>
                <w:rFonts w:ascii="Times New Roman" w:cs="Times New Roman" w:eastAsia="Times New Roman" w:hAnsi="Times New Roman"/>
                <w:sz w:val="18"/>
                <w:szCs w:val="18"/>
                <w:color w:val="0000EE"/>
              </w:rPr>
              <w:t>PROPOSAL 3: ADJOURNMENT PROPOSAL</w:t>
            </w:r>
          </w:p>
        </w:tc>
        <w:tc>
          <w:tcPr>
            <w:tcW w:w="4240" w:type="dxa"/>
            <w:vAlign w:val="bottom"/>
            <w:gridSpan w:val="5"/>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120" w:type="dxa"/>
            <w:vAlign w:val="bottom"/>
          </w:tcPr>
          <w:p>
            <w:pPr>
              <w:spacing w:after="0"/>
              <w:rPr>
                <w:sz w:val="24"/>
                <w:szCs w:val="24"/>
                <w:color w:val="auto"/>
              </w:rPr>
            </w:pPr>
          </w:p>
        </w:tc>
        <w:tc>
          <w:tcPr>
            <w:tcW w:w="346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5240" w:type="dxa"/>
            <w:vAlign w:val="bottom"/>
            <w:gridSpan w:val="14"/>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7560" w:type="dxa"/>
            <w:vAlign w:val="bottom"/>
            <w:gridSpan w:val="4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Merger</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the Board</w:t>
            </w:r>
          </w:p>
        </w:tc>
        <w:tc>
          <w:tcPr>
            <w:tcW w:w="6120" w:type="dxa"/>
            <w:vAlign w:val="bottom"/>
            <w:gridSpan w:val="24"/>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Reasons for the Merger</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Unaudited Financial Forecasts</w:t>
            </w:r>
          </w:p>
        </w:tc>
        <w:tc>
          <w:tcPr>
            <w:tcW w:w="5580" w:type="dxa"/>
            <w:vAlign w:val="bottom"/>
            <w:gridSpan w:val="1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6"/>
              </w:rPr>
              <w:t>Opinion of Wells Fargo</w:t>
            </w:r>
          </w:p>
        </w:tc>
        <w:tc>
          <w:tcPr>
            <w:tcW w:w="6640" w:type="dxa"/>
            <w:vAlign w:val="bottom"/>
            <w:gridSpan w:val="34"/>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Certain Effects of the Merger</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4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Effects on the Company if the Merger is not Consummated</w:t>
            </w:r>
          </w:p>
        </w:tc>
        <w:tc>
          <w:tcPr>
            <w:tcW w:w="4080" w:type="dxa"/>
            <w:vAlign w:val="bottom"/>
            <w:gridSpan w:val="4"/>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Financing of the Merger</w:t>
            </w:r>
          </w:p>
        </w:tc>
        <w:tc>
          <w:tcPr>
            <w:tcW w:w="6580" w:type="dxa"/>
            <w:vAlign w:val="bottom"/>
            <w:gridSpan w:val="3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7120" w:type="dxa"/>
            <w:vAlign w:val="bottom"/>
            <w:gridSpan w:val="4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Interests of the Company’s Directors and Executive Officers in the Merger</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 of the Merger</w:t>
            </w:r>
          </w:p>
        </w:tc>
        <w:tc>
          <w:tcPr>
            <w:tcW w:w="800" w:type="dxa"/>
            <w:vAlign w:val="bottom"/>
            <w:tcBorders>
              <w:top w:val="single" w:sz="8" w:color="0000EE"/>
            </w:tcBorders>
          </w:tcPr>
          <w:p>
            <w:pPr>
              <w:spacing w:after="0"/>
              <w:rPr>
                <w:sz w:val="17"/>
                <w:szCs w:val="17"/>
                <w:color w:val="auto"/>
              </w:rPr>
            </w:pPr>
          </w:p>
        </w:tc>
        <w:tc>
          <w:tcPr>
            <w:tcW w:w="2980" w:type="dxa"/>
            <w:vAlign w:val="bottom"/>
            <w:gridSpan w:val="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Regulatory Approvals in Connection with the Merger</w:t>
            </w:r>
          </w:p>
        </w:tc>
        <w:tc>
          <w:tcPr>
            <w:tcW w:w="4480" w:type="dxa"/>
            <w:vAlign w:val="bottom"/>
            <w:gridSpan w:val="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Delisting and Deregistration of the Common Stock</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THE MERGER AGREEMENT</w:t>
            </w:r>
          </w:p>
        </w:tc>
        <w:tc>
          <w:tcPr>
            <w:tcW w:w="6400" w:type="dxa"/>
            <w:vAlign w:val="bottom"/>
            <w:gridSpan w:val="28"/>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4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Explanatory Note Regarding the Merger Agreement</w:t>
            </w:r>
          </w:p>
        </w:tc>
        <w:tc>
          <w:tcPr>
            <w:tcW w:w="4580" w:type="dxa"/>
            <w:vAlign w:val="bottom"/>
            <w:gridSpan w:val="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Effects of the Merger</w:t>
            </w:r>
          </w:p>
        </w:tc>
        <w:tc>
          <w:tcPr>
            <w:tcW w:w="6800" w:type="dxa"/>
            <w:vAlign w:val="bottom"/>
            <w:gridSpan w:val="3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Closing and Effective Time of the Merger</w:t>
            </w:r>
          </w:p>
        </w:tc>
        <w:tc>
          <w:tcPr>
            <w:tcW w:w="5320" w:type="dxa"/>
            <w:vAlign w:val="bottom"/>
            <w:gridSpan w:val="1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2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Directors and Officers of the Surviving Corporation</w:t>
            </w:r>
          </w:p>
        </w:tc>
        <w:tc>
          <w:tcPr>
            <w:tcW w:w="4600" w:type="dxa"/>
            <w:vAlign w:val="bottom"/>
            <w:gridSpan w:val="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Consideration To Be Received in the Merger</w:t>
            </w:r>
          </w:p>
        </w:tc>
        <w:tc>
          <w:tcPr>
            <w:tcW w:w="5120" w:type="dxa"/>
            <w:vAlign w:val="bottom"/>
            <w:gridSpan w:val="1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Canceled Shares</w:t>
            </w:r>
          </w:p>
        </w:tc>
        <w:tc>
          <w:tcPr>
            <w:tcW w:w="7140" w:type="dxa"/>
            <w:vAlign w:val="bottom"/>
            <w:gridSpan w:val="4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7"/>
              </w:rPr>
              <w:t>Treatment of Company Warrants</w:t>
            </w:r>
          </w:p>
        </w:tc>
        <w:tc>
          <w:tcPr>
            <w:tcW w:w="400" w:type="dxa"/>
            <w:vAlign w:val="bottom"/>
            <w:tcBorders>
              <w:top w:val="single" w:sz="8" w:color="0000EE"/>
            </w:tcBorders>
            <w:gridSpan w:val="4"/>
          </w:tcPr>
          <w:p>
            <w:pPr>
              <w:spacing w:after="0"/>
              <w:rPr>
                <w:sz w:val="17"/>
                <w:szCs w:val="17"/>
                <w:color w:val="auto"/>
              </w:rPr>
            </w:pPr>
          </w:p>
        </w:tc>
        <w:tc>
          <w:tcPr>
            <w:tcW w:w="5560" w:type="dxa"/>
            <w:vAlign w:val="bottom"/>
            <w:gridSpan w:val="1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Payment for Stock</w:t>
            </w:r>
          </w:p>
        </w:tc>
        <w:tc>
          <w:tcPr>
            <w:tcW w:w="7000" w:type="dxa"/>
            <w:vAlign w:val="bottom"/>
            <w:gridSpan w:val="3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Transfer Books; No Further Ownership Rights</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Lost, Stolen or Destroyed Certificates</w:t>
            </w:r>
          </w:p>
        </w:tc>
        <w:tc>
          <w:tcPr>
            <w:tcW w:w="620" w:type="dxa"/>
            <w:vAlign w:val="bottom"/>
            <w:tcBorders>
              <w:top w:val="single" w:sz="8" w:color="0000EE"/>
            </w:tcBorders>
            <w:gridSpan w:val="7"/>
          </w:tcPr>
          <w:p>
            <w:pPr>
              <w:spacing w:after="0"/>
              <w:rPr>
                <w:sz w:val="17"/>
                <w:szCs w:val="17"/>
                <w:color w:val="auto"/>
              </w:rPr>
            </w:pPr>
          </w:p>
        </w:tc>
        <w:tc>
          <w:tcPr>
            <w:tcW w:w="5000" w:type="dxa"/>
            <w:vAlign w:val="bottom"/>
            <w:gridSpan w:val="12"/>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7"/>
              </w:rPr>
              <w:t>Termination of Exchange Fund</w:t>
            </w:r>
          </w:p>
        </w:tc>
        <w:tc>
          <w:tcPr>
            <w:tcW w:w="6100" w:type="dxa"/>
            <w:vAlign w:val="bottom"/>
            <w:gridSpan w:val="2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No Liability</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7120" w:type="dxa"/>
            <w:vAlign w:val="bottom"/>
            <w:gridSpan w:val="4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2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Covenants Regarding Conduct of Business by the Company Pending the Effective Time</w:t>
            </w:r>
          </w:p>
        </w:tc>
        <w:tc>
          <w:tcPr>
            <w:tcW w:w="200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No Solicitation; Change in Board Recommendation</w:t>
            </w:r>
          </w:p>
        </w:tc>
        <w:tc>
          <w:tcPr>
            <w:tcW w:w="4620" w:type="dxa"/>
            <w:vAlign w:val="bottom"/>
            <w:gridSpan w:val="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Reasonable Best Efforts</w:t>
            </w:r>
          </w:p>
        </w:tc>
        <w:tc>
          <w:tcPr>
            <w:tcW w:w="6600" w:type="dxa"/>
            <w:vAlign w:val="bottom"/>
            <w:gridSpan w:val="3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and Insurance</w:t>
            </w:r>
          </w:p>
        </w:tc>
        <w:tc>
          <w:tcPr>
            <w:tcW w:w="6140" w:type="dxa"/>
            <w:vAlign w:val="bottom"/>
            <w:gridSpan w:val="2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Employee Matters</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980" w:type="dxa"/>
            <w:vAlign w:val="bottom"/>
            <w:gridSpan w:val="1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Certain Additional Covenants and Agreements</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Conditions of the Merger</w:t>
            </w:r>
          </w:p>
        </w:tc>
        <w:tc>
          <w:tcPr>
            <w:tcW w:w="1540" w:type="dxa"/>
            <w:vAlign w:val="bottom"/>
            <w:tcBorders>
              <w:top w:val="single" w:sz="8" w:color="0000EE"/>
            </w:tcBorders>
            <w:gridSpan w:val="20"/>
          </w:tcPr>
          <w:p>
            <w:pPr>
              <w:spacing w:after="0"/>
              <w:rPr>
                <w:sz w:val="17"/>
                <w:szCs w:val="17"/>
                <w:color w:val="auto"/>
              </w:rPr>
            </w:pPr>
          </w:p>
        </w:tc>
        <w:tc>
          <w:tcPr>
            <w:tcW w:w="4980" w:type="dxa"/>
            <w:vAlign w:val="bottom"/>
            <w:gridSpan w:val="1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Company Termination Fee</w:t>
            </w:r>
          </w:p>
        </w:tc>
        <w:tc>
          <w:tcPr>
            <w:tcW w:w="5600" w:type="dxa"/>
            <w:vAlign w:val="bottom"/>
            <w:gridSpan w:val="1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Limitation of Liability</w:t>
            </w:r>
          </w:p>
        </w:tc>
        <w:tc>
          <w:tcPr>
            <w:tcW w:w="240" w:type="dxa"/>
            <w:vAlign w:val="bottom"/>
            <w:tcBorders>
              <w:top w:val="single" w:sz="8" w:color="0000EE"/>
            </w:tcBorders>
            <w:gridSpan w:val="6"/>
          </w:tcPr>
          <w:p>
            <w:pPr>
              <w:spacing w:after="0"/>
              <w:rPr>
                <w:sz w:val="17"/>
                <w:szCs w:val="17"/>
                <w:color w:val="auto"/>
              </w:rPr>
            </w:pPr>
          </w:p>
        </w:tc>
        <w:tc>
          <w:tcPr>
            <w:tcW w:w="6420" w:type="dxa"/>
            <w:vAlign w:val="bottom"/>
            <w:gridSpan w:val="29"/>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Fees and Expenses</w:t>
            </w:r>
          </w:p>
        </w:tc>
        <w:tc>
          <w:tcPr>
            <w:tcW w:w="6980" w:type="dxa"/>
            <w:vAlign w:val="bottom"/>
            <w:gridSpan w:val="3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Withholding Taxes</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60" w:type="dxa"/>
            <w:vAlign w:val="bottom"/>
            <w:gridSpan w:val="2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Amendment or Supplement</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60" w:type="dxa"/>
            <w:vAlign w:val="bottom"/>
            <w:gridSpan w:val="2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7"/>
              </w:rPr>
              <w:t>Extension of Time, Waiver, etc.</w:t>
            </w:r>
          </w:p>
        </w:tc>
        <w:tc>
          <w:tcPr>
            <w:tcW w:w="6060" w:type="dxa"/>
            <w:vAlign w:val="bottom"/>
            <w:gridSpan w:val="21"/>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Governing Law; Jurisdiction</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Specific Enforcement</w:t>
            </w:r>
          </w:p>
        </w:tc>
        <w:tc>
          <w:tcPr>
            <w:tcW w:w="540" w:type="dxa"/>
            <w:vAlign w:val="bottom"/>
            <w:tcBorders>
              <w:top w:val="single" w:sz="8" w:color="0000EE"/>
            </w:tcBorders>
            <w:gridSpan w:val="10"/>
          </w:tcPr>
          <w:p>
            <w:pPr>
              <w:spacing w:after="0"/>
              <w:rPr>
                <w:sz w:val="17"/>
                <w:szCs w:val="17"/>
                <w:color w:val="auto"/>
              </w:rPr>
            </w:pPr>
          </w:p>
        </w:tc>
        <w:tc>
          <w:tcPr>
            <w:tcW w:w="6240" w:type="dxa"/>
            <w:vAlign w:val="bottom"/>
            <w:gridSpan w:val="2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UHS Undertaking</w:t>
            </w:r>
          </w:p>
        </w:tc>
        <w:tc>
          <w:tcPr>
            <w:tcW w:w="2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06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19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VOTING AGREEMENTS</w:t>
            </w:r>
          </w:p>
        </w:tc>
        <w:tc>
          <w:tcPr>
            <w:tcW w:w="8540" w:type="dxa"/>
            <w:vAlign w:val="bottom"/>
            <w:gridSpan w:val="9"/>
          </w:tcPr>
          <w:p>
            <w:pPr>
              <w:spacing w:after="0"/>
              <w:rPr>
                <w:sz w:val="24"/>
                <w:szCs w:val="24"/>
                <w:color w:val="auto"/>
              </w:rPr>
            </w:pPr>
          </w:p>
        </w:tc>
        <w:tc>
          <w:tcPr>
            <w:tcW w:w="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118</w:t>
            </w:r>
          </w:p>
        </w:tc>
      </w:tr>
      <w:tr>
        <w:trPr>
          <w:trHeight w:val="304"/>
        </w:trPr>
        <w:tc>
          <w:tcPr>
            <w:tcW w:w="120" w:type="dxa"/>
            <w:vAlign w:val="bottom"/>
          </w:tcPr>
          <w:p>
            <w:pPr>
              <w:spacing w:after="0"/>
              <w:rPr>
                <w:sz w:val="24"/>
                <w:szCs w:val="24"/>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MANAGEMENT AND DIRECTORS</w:t>
            </w:r>
          </w:p>
        </w:tc>
        <w:tc>
          <w:tcPr>
            <w:tcW w:w="4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120</w:t>
            </w:r>
          </w:p>
        </w:tc>
      </w:tr>
      <w:tr>
        <w:trPr>
          <w:trHeight w:val="304"/>
        </w:trPr>
        <w:tc>
          <w:tcPr>
            <w:tcW w:w="12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3840" w:type="dxa"/>
            <w:vAlign w:val="bottom"/>
            <w:tcBorders>
              <w:top w:val="single" w:sz="8" w:color="0000EE"/>
            </w:tcBorders>
            <w:gridSpan w:val="3"/>
          </w:tcPr>
          <w:p>
            <w:pPr>
              <w:spacing w:after="0"/>
              <w:rPr>
                <w:sz w:val="24"/>
                <w:szCs w:val="24"/>
                <w:color w:val="auto"/>
              </w:rPr>
            </w:pPr>
          </w:p>
        </w:tc>
        <w:tc>
          <w:tcPr>
            <w:tcW w:w="2680" w:type="dxa"/>
            <w:vAlign w:val="bottom"/>
            <w:gridSpan w:val="3"/>
          </w:tcPr>
          <w:p>
            <w:pPr>
              <w:spacing w:after="0"/>
              <w:rPr>
                <w:sz w:val="24"/>
                <w:szCs w:val="24"/>
                <w:color w:val="auto"/>
              </w:rPr>
            </w:pPr>
          </w:p>
        </w:tc>
        <w:tc>
          <w:tcPr>
            <w:tcW w:w="4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123</w:t>
            </w:r>
          </w:p>
        </w:tc>
      </w:tr>
      <w:tr>
        <w:trPr>
          <w:trHeight w:val="304"/>
        </w:trPr>
        <w:tc>
          <w:tcPr>
            <w:tcW w:w="120" w:type="dxa"/>
            <w:vAlign w:val="bottom"/>
          </w:tcPr>
          <w:p>
            <w:pPr>
              <w:spacing w:after="0"/>
              <w:rPr>
                <w:sz w:val="24"/>
                <w:szCs w:val="24"/>
                <w:color w:val="auto"/>
              </w:rPr>
            </w:pPr>
          </w:p>
        </w:tc>
        <w:tc>
          <w:tcPr>
            <w:tcW w:w="1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HOUSEHOLDING</w:t>
            </w:r>
          </w:p>
        </w:tc>
        <w:tc>
          <w:tcPr>
            <w:tcW w:w="9060" w:type="dxa"/>
            <w:vAlign w:val="bottom"/>
            <w:gridSpan w:val="11"/>
          </w:tcPr>
          <w:p>
            <w:pPr>
              <w:spacing w:after="0"/>
              <w:rPr>
                <w:sz w:val="24"/>
                <w:szCs w:val="24"/>
                <w:color w:val="auto"/>
              </w:rPr>
            </w:pPr>
          </w:p>
        </w:tc>
        <w:tc>
          <w:tcPr>
            <w:tcW w:w="4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120" w:type="dxa"/>
            <w:vAlign w:val="bottom"/>
          </w:tcPr>
          <w:p>
            <w:pPr>
              <w:spacing w:after="0"/>
              <w:rPr>
                <w:sz w:val="24"/>
                <w:szCs w:val="24"/>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FUTURE STOCKHOLDER PROPOSALS</w:t>
            </w:r>
          </w:p>
        </w:tc>
        <w:tc>
          <w:tcPr>
            <w:tcW w:w="4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6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6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Annex A</w:t>
            </w: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8"/>
              </w:rPr>
              <w:t>Agreement and Plan of Merger, by and among Universal Health Services, Inc., UHS Merger Subsidiary, Inc. and Talkspace, Inc.,</w:t>
            </w: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dated as of March 9, 2026</w:t>
            </w:r>
          </w:p>
        </w:tc>
        <w:tc>
          <w:tcPr>
            <w:tcW w:w="7360" w:type="dxa"/>
            <w:vAlign w:val="bottom"/>
            <w:tcBorders>
              <w:top w:val="single" w:sz="8" w:color="0000EE"/>
            </w:tcBorders>
            <w:gridSpan w:val="8"/>
          </w:tcPr>
          <w:p>
            <w:pPr>
              <w:spacing w:after="0"/>
              <w:rPr>
                <w:sz w:val="17"/>
                <w:szCs w:val="17"/>
                <w:color w:val="auto"/>
              </w:rPr>
            </w:pPr>
          </w:p>
        </w:tc>
        <w:tc>
          <w:tcPr>
            <w:tcW w:w="48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A-1</w:t>
            </w:r>
          </w:p>
        </w:tc>
      </w:tr>
      <w:tr>
        <w:trPr>
          <w:trHeight w:val="304"/>
        </w:trPr>
        <w:tc>
          <w:tcPr>
            <w:tcW w:w="1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Annex B</w:t>
            </w: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Voting Agreement, by and among Universal Health Services, Inc., HEC Master Fund LP, Douglas L. Braunstein and Braunstein</w:t>
            </w: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2015 Trust, dated as of March 9, 2026</w:t>
            </w:r>
          </w:p>
        </w:tc>
        <w:tc>
          <w:tcPr>
            <w:tcW w:w="80" w:type="dxa"/>
            <w:vAlign w:val="bottom"/>
            <w:gridSpan w:val="2"/>
          </w:tcPr>
          <w:p>
            <w:pPr>
              <w:spacing w:after="0"/>
              <w:rPr>
                <w:sz w:val="17"/>
                <w:szCs w:val="17"/>
                <w:color w:val="auto"/>
              </w:rPr>
            </w:pPr>
          </w:p>
        </w:tc>
        <w:tc>
          <w:tcPr>
            <w:tcW w:w="48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Annex C</w:t>
            </w: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8"/>
              </w:rPr>
              <w:t>Voting Agreement, by and among Universal Health Services, Inc., Qumra Capital II, L.P. and Erez Shachar, dated as of March 9,</w:t>
            </w: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2026</w:t>
            </w:r>
          </w:p>
        </w:tc>
        <w:tc>
          <w:tcPr>
            <w:tcW w:w="3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304"/>
        </w:trPr>
        <w:tc>
          <w:tcPr>
            <w:tcW w:w="1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Annex D</w:t>
            </w:r>
          </w:p>
        </w:tc>
        <w:tc>
          <w:tcPr>
            <w:tcW w:w="58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Opinion of Wells Fargo Securities, LLC, dated as of March 6, 2026</w:t>
            </w:r>
          </w:p>
        </w:tc>
        <w:tc>
          <w:tcPr>
            <w:tcW w:w="4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D-1</w:t>
            </w:r>
          </w:p>
        </w:tc>
      </w:tr>
      <w:tr>
        <w:trPr>
          <w:trHeight w:val="385"/>
        </w:trPr>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ind w:left="1020"/>
              <w:spacing w:after="0"/>
              <w:rPr>
                <w:sz w:val="20"/>
                <w:szCs w:val="20"/>
                <w:color w:val="auto"/>
              </w:rPr>
            </w:pPr>
            <w:r>
              <w:rPr>
                <w:rFonts w:ascii="Times New Roman" w:cs="Times New Roman" w:eastAsia="Times New Roman" w:hAnsi="Times New Roman"/>
                <w:sz w:val="18"/>
                <w:szCs w:val="18"/>
                <w:color w:val="auto"/>
              </w:rPr>
              <w:t>iii</w:t>
            </w:r>
          </w:p>
        </w:tc>
        <w:tc>
          <w:tcPr>
            <w:tcW w:w="444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622 Third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MAY 29, 2026</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relating to a virtual special meeting of stockholders (which meeting, including any adjournment or postponement thereof, we refer to as the “special meeting”) of Talkspace, Inc., a Delaware corporation (which we refer to as the “Company”, “we”, “us” or “our”). All references to “UHS” refer to Universal Health Services, Inc., a Delaware corporation; and all references to “Merger Sub” refer to UHS Merger Subsidiary, Inc., a Delaware corporation and an indirect wholly owned subsidiary of UHS. In addition, throughout this proxy statement we refer to the Agreement and Plan of Merger, dated as of March 9, 2026, by and among the Company, UHS and Merger Sub, as the “merger agreement”.</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special meeting will be held on May 29, 2026, at 9:00 a.m., Eastern time (unless the special meeting is postponed or adjourned), in a virtual-only meeting format. The Company stockholders will be able to virtually attend and vote at the special meeting by visiting www.proxydocs.com/TALK and using the 12-digit control number included in the proxy materials. We are furnishing this proxy statement to holders (which we refer to as the “Company stockholders”) of common stock, par value $0.0001 per share, of the Company (which we refer to as “Company common stock”) as part of the solicitation of proxies by the Company’s board of directors (which we refer to as the “Board”), for exercise at the special meeting and at any adjournments or postponements thereof. This proxy statement is dated April 20, 2026, and is first being mailed to Company stockholders on or about April 20, 2026.</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in this proxy statement and may not contain all of the information about the merger agreement, the merger or the other transactions contemplated by the merger agreement that is important to you. We have included page references in parentheses to direct you to more complete descriptions of the topics presented in this summary. You should carefully read this proxy statement in its entirety, including the annexes hereto and the other documents to which we have referred you, for a more complete understanding of the matters being considered at the special meeting, including, without limitation, the merger agreement, attached as Annex A to this proxy statement, which we incorporate by reference into this proxy statement. You may obtain, without charge, copies of documents incorporated by reference into this proxy statement by following the instructions under the section of this proxy statement entitled “Where You Can Find Additional Information” beginning on </w:t>
      </w:r>
      <w:r>
        <w:rPr>
          <w:rFonts w:ascii="Times New Roman" w:cs="Times New Roman" w:eastAsia="Times New Roman" w:hAnsi="Times New Roman"/>
          <w:sz w:val="18"/>
          <w:szCs w:val="18"/>
          <w:i w:val="1"/>
          <w:iCs w:val="1"/>
          <w:u w:val="single" w:color="auto"/>
          <w:color w:val="0000EE"/>
        </w:rPr>
        <w:t>page 126</w:t>
      </w:r>
      <w:r>
        <w:rPr>
          <w:rFonts w:ascii="Times New Roman" w:cs="Times New Roman" w:eastAsia="Times New Roman" w:hAnsi="Times New Roman"/>
          <w:sz w:val="18"/>
          <w:szCs w:val="18"/>
          <w:i w:val="1"/>
          <w:iCs w:val="1"/>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30</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Talkspace, Inc.</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Company is a leading virtual behavioral healthcare provider committed to helping people lead healthier, happier lives through access to high-quality mental healthcare. The Company pioneered the ability to text with a licensed therapist from anywhere and now offers a comprehensive suite of mental health services, including therapy for individuals, teens, and couples, as well as psychiatric treatment and medication management (18+). With the Company’s core therapy offerings, members are matched with one of thousands of licensed therapists within days and can engage in live video, audio, or chat sessions, and/or unlimited asynchronous text messaging sessions. All care offered at the Company is delivered through an easy-to-use, fully encrypted web and mobile platform that meets HIPAA, federal, and state regulatory requirements. Most Americans have access to the Company’s services through their health insurance plans, employee assistance programs, their partnerships with leading healthcare companies, or as a free benefit through their employer, school, or government agency. The Company’s principal executive offices are located at 622 Third Avenue, New York, New York 10017 and its telephone number is (212) 284-7206. Shares of Company common stock are listed on the NASDAQ Global Select Market (which we refer to as “NASDAQ”) under the trading symbol “TALK” and warrants to purchase Company common stock are listed on NASDAQ under the trading symbol “TALKW”.</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Universal Health Services, Inc.</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UHS is one of the nation’s largest and most respected providers of hospital and healthcare services. UHS’s principal business is owning and operating, through their subsidiaries, acute care hospitals and outpatient facilities and behavioral health care facilities. UHS’s services provided by their hospitals include general and specialty surgery, internal medicine, obstetrics, emergency room care, radiology, oncology, diagnostic care, coronary care, pediatric services, pharmacy services and/or behavioral health services. UHS, through its wholly owned subsidiary UHS of Delaware, Inc., provides capital resources as well as a variety of administrative services to their facilities, including central purchasing, information services, finance and control systems, facilities planning, physician recruitment services, administrative personnel management, marketing and public relations. As of February 25, 2026, UHS owned and/or operated 346 inpatient behavioral health facilities and 168 outpatient and other facilities and various other related services located in 40 states, Washington, D.C., the United Kingdom and Puerto Rico. UHS’s principal executive offices are located at Universal Corporate Center, 367 South Gulph Road, P.O. Box 61558, King of Prussia, Pennsylvania 19406 and its telephone number is (610) 768-3300. Shares of UHS’s common stock are listed on NYSE under the trading symbol “UHS”.</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10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UHS Merger Subsidiary, Inc.</w:t>
      </w:r>
    </w:p>
    <w:p>
      <w:pPr>
        <w:spacing w:after="0" w:line="121" w:lineRule="exact"/>
        <w:rPr>
          <w:sz w:val="20"/>
          <w:szCs w:val="20"/>
          <w:color w:val="auto"/>
        </w:rPr>
      </w:pPr>
    </w:p>
    <w:p>
      <w:pPr>
        <w:ind w:left="300" w:right="180" w:firstLine="426"/>
        <w:spacing w:after="0" w:line="269" w:lineRule="auto"/>
        <w:rPr>
          <w:sz w:val="20"/>
          <w:szCs w:val="20"/>
          <w:color w:val="auto"/>
        </w:rPr>
      </w:pPr>
      <w:r>
        <w:rPr>
          <w:rFonts w:ascii="Times New Roman" w:cs="Times New Roman" w:eastAsia="Times New Roman" w:hAnsi="Times New Roman"/>
          <w:sz w:val="17"/>
          <w:szCs w:val="17"/>
          <w:color w:val="auto"/>
        </w:rPr>
        <w:t>Merger Sub was formed on March 2, 2026 as a Delaware corporation, solely for the purpose of entering into the merger agreement and related agreements and consummating the transactions contemplated by the merger agreement. Merger Sub has not conducted any business other than in connection with its formation and the transactions contemplated by the merger agreement. Merger Sub is an indirect, wholly owned subsidiary of UHS. Upon consummation of the merger, Merger Sub will cease to exist. Merger Sub’s principal executive offices are located at Universal Corporate Center, 367 South Gulph Road, P.O. Box 61558, King of Prussia, Pennsylvania 19406 and its telephone number is (610)</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768-3300.</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Effects of the Merger; Consideration To Be Received in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70</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page 92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On March 9, 2026, the Company entered into the merger agreement with UHS and Merger Sub. Subject to the terms and conditions of the merger agreement, at the time the merger is consummated (which we refer to as the “effective time”), Merger Sub will be merged with and into the Company (which we refer to as the “merger”), with the Company surviving the merger as an indirect wholly owned subsidiary (which we refer to as the “surviving corporation”) of UHS. A copy of the merger agreement is attached to this proxy statement as Annex A. If the merger is consummated, at the effective time, each holder of issued and outstanding shares of Company common stock (other than canceled shares and appraisal shares, each as defined below) will be entitled to receive, for each share of Company common stock that they own as of the effective time, an amount in cash equal to $5.25 per share, without interest and subject to any required withholding taxes (which we refer to as the “merger consideration”).</w:t>
      </w:r>
    </w:p>
    <w:p>
      <w:pPr>
        <w:spacing w:after="0" w:line="19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At the effective time, each issued and outstanding share of Company common stock as of immediately prior to the effective time, other than shares of Company common stock that (x) are owned by the Company as a treasury share immediately prior to the effective time or then held by UHS or Merger Sub or any of their respective direct or indirect wholly owned subsidiaries as of immediately prior to the effective time, which will be canceled and will cease to exist, and no consideration will be delivered or deliverable in exchange therefor, (y) bear a legend that such shares are subject to forfeiture that are, or have been, forfeited pursuant to Section 1.9(c) of that certain Sponsor Support Agreement, dated as of January 12, 2021, by and among HEC Sponsor LLC, the persons set forth on Schedule I thereto, Hudson Executive Investment Corp., and Groop Internet Platform, Inc. (which we refer to as the “sponsor support agreement”), which will automatically be canceled and will cease to exist, and no consideration will be delivered or deliverable in exchange therefor (which shares in clauses (x) and (y) we refer to as the “canceled shares”) or</w:t>
      </w:r>
    </w:p>
    <w:p>
      <w:pPr>
        <w:spacing w:after="0" w:line="1" w:lineRule="exact"/>
        <w:rPr>
          <w:sz w:val="20"/>
          <w:szCs w:val="20"/>
          <w:color w:val="auto"/>
        </w:rPr>
      </w:pPr>
    </w:p>
    <w:p>
      <w:pPr>
        <w:ind w:left="300" w:right="140" w:hanging="2"/>
        <w:spacing w:after="0" w:line="277" w:lineRule="auto"/>
        <w:tabs>
          <w:tab w:leader="none" w:pos="5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by Company stockholders who have properly and validly demanded and perfected and not validly withdrawn appraisal rights in accordance with Section 262 of the General Corporation Law of the State of Delaware (which we refer to as the “DGCL”) (which shares we refer to as the “appraisal shares”), will be converted automatically into, and will thereafter represent only, the right to receive the merger consideration.</w:t>
      </w:r>
    </w:p>
    <w:p>
      <w:pPr>
        <w:spacing w:after="0" w:line="169"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If the merger is consummated, UHS will use reasonable best efforts (and the Company will reasonably cooperate with UHS) to cause the Company common stock to be delisted from NASDAQ and deregistered under the Securities Exchange Act of 1934, as amended (which we refer to as the “Exchange Act”), as soon as reasonably practicable following the effective time, and, accordingly, the Company common stock will no longer be publicly traded, and the Company will no longer be subject to the reporting requirements under the Exchange Act.</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31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special meeting of Company stockholders will be held on May 29, 2026, at 9:00 a.m., Eastern time (unless the special meeting is adjourned or postponed). The special meeting will be completely virtual. Company stockholders will be able to virtually attend and vote at the special meeting by visiting www.proxydocs.com/TALK and using the 12-digit control number included in the proxy materials. All Company stockholders are entitled to virtually attend the special meeting; however, you will only be entitled to vote at the special meeting if you were a stockholder of record at the close of business on April 13, 2026, the record date for the special meeting (which we refer to as the “record date”), or if you were a beneficial owner of Company common stock as of the record date. At the special meeting, holders of Company common stock will be asked to, among other things, vote on the adoption of the merger agreement. For purposes of attendance at the special meeting, all references in this proxy statement to “present in person” or “in person” shall mean virtually present at the special meeting. Please see the section of this proxy statement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 for additional information on the special meeting, including how to vote your shares of Company common stock.</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Stockholders Entitled to Vote; Vote Required to Approve Each Proposal</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32</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page 33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Only Company stockholders of record at the close of business on April 13, 2026, the record date, will be entitled to notice of, and to vote at, the special meeting and any adjournment or postponement thereof. As of the close of business on the record date, there were 167,512,566 shares of Company common stock outstanding and entitled to vote. Each Company stockholder is entitled to one vote per share of Company common stock held by such Company stockholder on the record date on each of the proposals presented in this proxy statement.</w:t>
      </w:r>
    </w:p>
    <w:p>
      <w:pPr>
        <w:spacing w:after="0" w:line="18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A quorum of Company stockholders is necessary to hold the special meeting. The presence, in person, or by remote communication, or represented by proxy, at the special meeting of the holders of a majority in voting power of the shares of the Company common stock issued and outstanding and entitled to vote in person, or by remote communication, or represented by proxy, constitutes a quorum for the transaction of business at the special meeting. Virtual attendance at the special meeting constitutes presence in person for quorum purposes at the special meeting. Abstentions and broker non-votes will be counted toward the quorum requirement.</w:t>
      </w:r>
    </w:p>
    <w:p>
      <w:pPr>
        <w:spacing w:after="0" w:line="183" w:lineRule="exact"/>
        <w:rPr>
          <w:sz w:val="20"/>
          <w:szCs w:val="20"/>
          <w:color w:val="auto"/>
        </w:rPr>
      </w:pPr>
    </w:p>
    <w:p>
      <w:pPr>
        <w:ind w:left="300" w:right="20" w:firstLine="426"/>
        <w:spacing w:after="0" w:line="252" w:lineRule="auto"/>
        <w:rPr>
          <w:sz w:val="20"/>
          <w:szCs w:val="20"/>
          <w:color w:val="auto"/>
        </w:rPr>
      </w:pPr>
      <w:r>
        <w:rPr>
          <w:rFonts w:ascii="Times New Roman" w:cs="Times New Roman" w:eastAsia="Times New Roman" w:hAnsi="Times New Roman"/>
          <w:sz w:val="18"/>
          <w:szCs w:val="18"/>
          <w:color w:val="auto"/>
        </w:rPr>
        <w:t>The approval of the proposal of the Company stockholders to adopt the merger agreement (which we refer to as the “merger agreement proposal”) requires the affirmative vote (in person or by proxy) of the holders of a majority of the outstanding shares of Company common stock entitled to vote on the matter (which we refer to as the “Company stockholder approval”). Under Delaware law and the merger agreement, the receipt of such required vote is a condition to the consummation of the merger. The approval of the proposal to approve, by advisory (non-binding) vote, the compensation that may be paid or become payable to our named executive officers in connection with the consummation of the merger (which we refer to as the “advisory compensation proposal”) requires the affirmative vote (in person or by proxy) of the holders of a majority in voting power of the votes cast (excluding abstentions and broker non-votes) on such proposal at the special meeting. The approval of the proposal to approve any adjournment or postponement of the special meeting, if necessary or appropriate, for the purpose of soliciting additional proxies if there are insufficient votes at the special meeting to adopt the merger agreement (which we refer to as the “adjournment proposal”) requires the affirmative vote (in person or by proxy) of the holders of a majority in voting power of the votes cast (excluding abstentions and broker non-votes) on such proposal at the special meeting (whether or not a quorum is present). Approval of the advisory compensation proposal and the adjournment proposal is not a condition to the consummation of the merger. The vote on each of the advisory compensation proposal and the adjournment proposal is a vote separate and apart from the vote to approve the merger agreement proposal. Accordingly, you may vote to approve the merger agreement proposal and vote not to approve the advisory compensation proposal or the adjournment proposal and vice versa.</w:t>
      </w: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If you fail to (i) return your proxy card, (ii) grant your proxy electronically over the internet or by telephone, or (iii) vote by virtual ballot in person at the special meeting, it will have the same effect as if you voted “AGAINST” the merger agreement proposal, but it will have no effect on the advisory compensation proposal or the adjournment proposal.</w:t>
      </w:r>
    </w:p>
    <w:p>
      <w:pPr>
        <w:spacing w:after="0" w:line="176"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18"/>
          <w:szCs w:val="18"/>
          <w:color w:val="auto"/>
        </w:rPr>
        <w:t>If you abstain from voting, it will have the same effect as if you voted “AGAINST” the merger agreement proposal, but will not be considered to be a vote “for or against”, and therefore will have no effect on, the advisory compensation proposal or the adjournment proposal.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Company Directors, Executive Officers and Principal Securityholders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36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As of April 13, 2026, the directors and executive officers of the Company beneficially owned in the aggregate 42,265,090 shares of Company common stock, or approximately 23.32% of the outstanding shares of Company common stock.</w:t>
      </w:r>
    </w:p>
    <w:p>
      <w:pPr>
        <w:spacing w:after="0" w:line="160"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As described in the section of this proxy statement entitled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118</w:t>
      </w:r>
      <w:r>
        <w:rPr>
          <w:rFonts w:ascii="Times New Roman" w:cs="Times New Roman" w:eastAsia="Times New Roman" w:hAnsi="Times New Roman"/>
          <w:sz w:val="18"/>
          <w:szCs w:val="18"/>
          <w:color w:val="auto"/>
        </w:rPr>
        <w:t>, Mr. Douglas L. Braunstein, Chairman of the Board, and certain affiliates of Mr. Braunstein that are Company stockholders (which we refer to, collectively, as “Mr. Braunstein and his stockholder affiliates”) and Mr. Erez Shachar, director of the Board, and certain affiliates of Mr. Shachar that are Company stockholders (which we refer to, collectively, as “Mr. Shachar and his stockholder affiliates” and, collectively, with Mr. Braunstein and his stockholder affiliates, the “voting agreement stockholders”) have committed to vote in favor of the approval of the merger agreement proposal. Although none of the other directors or executive officers are obligated to vote to approve the merger agreement proposal, we currently expect that each of these individuals will vote all of his or her shares of Company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to be presented at the special meeting.</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118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As a condition to UHS entering into the merger agreement, the voting agreement stockholders have each executed and delivered to UHS a voting agreement, dated March 9, 2026 (which we refer to, collectively, as the “voting agreements”). At the close of business on April 13, 2026, the record date of the special meeting, (i) Mr. Braunstein and his stockholder affiliates collectively beneficially owned and held voting power over 15,650,295 shares of Company common stock (which we refer to as “Mr. Braunstein’s subject shares”), which represented approximately 9.34% of the total outstanding voting power of the Company common stock as of the record date and (ii) Mr. Shachar and his stockholder affiliates collectively beneficially owned and held voting power over 8,937,495 shares of Company common stock (which we refer to as “Mr. Shachar’s subject shares”), which represented approximately 5.33% of the total outstanding voting power of the Company common stock as of the record date. Pursuant to the voting agreements, the voting agreement stockholders agreed, among other things, to vote or cause to vote all of</w:t>
      </w:r>
    </w:p>
    <w:p>
      <w:pPr>
        <w:spacing w:after="0" w:line="1" w:lineRule="exact"/>
        <w:rPr>
          <w:sz w:val="20"/>
          <w:szCs w:val="20"/>
          <w:color w:val="auto"/>
        </w:rPr>
      </w:pPr>
    </w:p>
    <w:p>
      <w:pPr>
        <w:ind w:left="300" w:right="60"/>
        <w:spacing w:after="0" w:line="251" w:lineRule="auto"/>
        <w:rPr>
          <w:sz w:val="20"/>
          <w:szCs w:val="20"/>
          <w:color w:val="auto"/>
        </w:rPr>
      </w:pPr>
      <w:r>
        <w:rPr>
          <w:rFonts w:ascii="Times New Roman" w:cs="Times New Roman" w:eastAsia="Times New Roman" w:hAnsi="Times New Roman"/>
          <w:sz w:val="18"/>
          <w:szCs w:val="18"/>
          <w:color w:val="auto"/>
        </w:rPr>
        <w:t>Mr. Braunstein’s subject shares and Mr. Shachar’s subject shares, as applicable, (i) in favor of adopting the merger agreement; (ii) against any alternative takeover proposal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from a third party; and (iii) against any action, proposal, transaction or agreement involving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any of the entities that provide professional medical, psychology, or other therapy services and to which the Company or any of its subsidiaries provides comprehensive administrative and back office support services under a management or administrative services agreement (which we refer to as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 The voting agreements are attached to this proxy statement as Annex B and Annex C.</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42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A description of the process we undertook that led to the proposed merger, including our discussions with the representatives of UHS, is included in the section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55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Board has carefully reviewed and considered the terms and conditions of the merger agreement and the transactions contemplated by the merger agreement, including the merger. The Board has unanimously (i) approved (including for the purposes of Section 203 of the DGCL) and declared advisable the merger agreement, the execution, delivery and performance thereof and the consummation of the transactions contemplated thereby, including the merger, (ii) determined that the merger and the other transactions contemplated by the merger agreement are advisable and fair to, and in the best interests of, the Company and the Company stockholders, and (iii) directed that the merger agreement be submitted to the Company stockholders entitled to vote at the special meeting and recommended that the Company stockholders vote in favor of the adoption of the merger agreement at the special meeting. Accordingly,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For a discussion of the factors that the Board considered in determining to recommend the approval of the merger agreement proposal, please see the section of this proxy statement entitled “</w:t>
      </w:r>
      <w:r>
        <w:rPr>
          <w:rFonts w:ascii="Times New Roman" w:cs="Times New Roman" w:eastAsia="Times New Roman" w:hAnsi="Times New Roman"/>
          <w:sz w:val="18"/>
          <w:szCs w:val="18"/>
          <w:i w:val="1"/>
          <w:iCs w:val="1"/>
          <w:color w:val="auto"/>
        </w:rPr>
        <w:t>The Merger—Reasons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55</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Prior to the approval of the merger agreement proposal by the Company stockholders, under certain circumstances, and in compliance with certain obligations contained in the merger agreement, the Board (or any duly authorized committee thereof) may effect an adverse recommendation change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including by withdrawing or withholding the foregoing recommendation, in response to an intervening event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of this proxy statement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or in response to a superior proposal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if the Board complies with certain procedures in the merger agreement.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Opinion of Wells Fargo Securities, LLC (Annex 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Wells Fargo</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63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The Company engaged Wells Fargo Securities, LLC (which we refer to as “Wells Fargo”) as its financial advisor in connection with the merger. On March 6, 2026, Wells Fargo rendered its oral opinion to the Board (which was subsequently confirmed in writing by delivery of Wells Fargo’s written opinion addressed to the Board dated the same date) to the effect that, as of such date and based upon and subject to the various assumptions made, procedures followed, matters considered, and qualifications and limitations on the scope of the review undertaken by Wells Fargo in preparing the opinion, the merger consideration to be paid to the holders of Company common stock (other than canceled shares and appraisal shares) in the merger was fair, from a financial point of view, to such holders.</w:t>
      </w:r>
    </w:p>
    <w:p>
      <w:pPr>
        <w:spacing w:after="0" w:line="183" w:lineRule="exact"/>
        <w:rPr>
          <w:sz w:val="20"/>
          <w:szCs w:val="20"/>
          <w:color w:val="auto"/>
        </w:rPr>
      </w:pPr>
    </w:p>
    <w:p>
      <w:pPr>
        <w:ind w:left="300" w:right="160" w:firstLine="426"/>
        <w:spacing w:after="0" w:line="262" w:lineRule="auto"/>
        <w:rPr>
          <w:sz w:val="20"/>
          <w:szCs w:val="20"/>
          <w:color w:val="auto"/>
        </w:rPr>
      </w:pPr>
      <w:r>
        <w:rPr>
          <w:rFonts w:ascii="Times New Roman" w:cs="Times New Roman" w:eastAsia="Times New Roman" w:hAnsi="Times New Roman"/>
          <w:sz w:val="18"/>
          <w:szCs w:val="18"/>
          <w:b w:val="1"/>
          <w:bCs w:val="1"/>
          <w:color w:val="auto"/>
        </w:rPr>
        <w:t>The full text of Wells Fargo’s written opinion, which describes, among other things, the assumptions made, procedures followed, matters considered and qualifications and limitations on the scope of review undertaken, is attached as Annex D to this proxy statement. The summary of Wells Fargo’s opinion contained in this proxy statement is qualified in its entirety by reference to the full text of the opinion.</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5"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b w:val="1"/>
          <w:bCs w:val="1"/>
          <w:color w:val="auto"/>
        </w:rPr>
        <w:t>Wells Fargo’s opinion was for the information and use of the Board (in its capacity as such) in connection with its evaluation of the merger and addressed only the fairness, from a financial point of view, of the merger consideration to be paid to the holders of Company common stock (other than canceled shares and appraisal shares) in the proposed merger. Wells Fargo’s opinion did not address any other aspect or implication of the merger (financial or otherwise). Wells Fargo’s opinion did not address the relative merits of the merger as compared to any alternative transactions or strategies that might be available to the Company, nor did it address the underlying business decision of the Board or the Company to proceed with or effect the merger. Wells Fargo’s opinion is not intended to be and does not constitute a recommendation to any stockholder of the Company or any other person as to how to vote or act on any matter relating to the merger or any other matter.</w:t>
      </w:r>
    </w:p>
    <w:p>
      <w:pPr>
        <w:spacing w:after="0" w:line="187" w:lineRule="exact"/>
        <w:rPr>
          <w:sz w:val="20"/>
          <w:szCs w:val="20"/>
          <w:color w:val="auto"/>
        </w:rPr>
      </w:pPr>
    </w:p>
    <w:p>
      <w:pPr>
        <w:ind w:left="300" w:right="24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see Annex D to the proxy statement and the section of this proxy statement entitled “</w:t>
      </w:r>
      <w:r>
        <w:rPr>
          <w:rFonts w:ascii="Times New Roman" w:cs="Times New Roman" w:eastAsia="Times New Roman" w:hAnsi="Times New Roman"/>
          <w:sz w:val="18"/>
          <w:szCs w:val="18"/>
          <w:i w:val="1"/>
          <w:iCs w:val="1"/>
          <w:color w:val="auto"/>
        </w:rPr>
        <w:t>The Merger—Opinion of Wells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Fargo</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Consummated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71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In the event that the Company stockholder approval is not obtained or if the merger is not consummated for any other reason, Company stockholders will not receive any payment for their shares of Company common stock in connection with the merger. Instead, the Company will remain an independent public company, the Company common stock will continue to be listed and traded on NASDAQ, the Company common stock will continue to be registered under the Exchange Act, the Company will continue to file periodic reports with the U.S. Securities and Exchange Commission (which we refer to as the “SEC”) and Company stockholders will continue to own their shares of Company common stock and will continue to be subject to the same general risks and opportunities as they currently are with respect to ownership of the Company common stock, including, among other things, general industry, economic and market conditions.</w:t>
      </w:r>
    </w:p>
    <w:p>
      <w:pPr>
        <w:spacing w:after="0" w:line="189"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Under certain circumstances, if the merger agreement is terminated, the Company may be obligated to pay to UHS a $32,394,000 termination fee, as described in the section of this proxy statement entitled “</w:t>
      </w:r>
      <w:r>
        <w:rPr>
          <w:rFonts w:ascii="Times New Roman" w:cs="Times New Roman" w:eastAsia="Times New Roman" w:hAnsi="Times New Roman"/>
          <w:sz w:val="17"/>
          <w:szCs w:val="17"/>
          <w:i w:val="1"/>
          <w:iCs w:val="1"/>
          <w:color w:val="auto"/>
        </w:rPr>
        <w:t>The Merger Agreement—Company Termination Fee</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115</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71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There is no financing condition to the consummation of the merger. UHS has represented in the merger agreement that it has the funds sufficient to enable Merger Sub and the surviving corporation to pay the merger consideration and any other amounts required to be paid in connection with the consummation of the transactions contemplated by the merger agreement and to pay all related fees and expenses and that there is no restriction on the use of cash for such purpose and to perform its obligations under the merger agreement. UHS has also represented it has the financial resources and capabilities to fully perform all of its obligations under the merger agreement.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Company’s directors and executive officers have interests in the merger that may be different from, or in addition to, the interests of Company stockholders generally. The members of the Board were aware of and considered these interests in reaching the determination to approve and declare advisable the merger agreement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8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40"/>
        <w:spacing w:after="0" w:line="282" w:lineRule="auto"/>
        <w:rPr>
          <w:sz w:val="20"/>
          <w:szCs w:val="20"/>
          <w:color w:val="auto"/>
        </w:rPr>
      </w:pPr>
      <w:r>
        <w:rPr>
          <w:rFonts w:ascii="Times New Roman" w:cs="Times New Roman" w:eastAsia="Times New Roman" w:hAnsi="Times New Roman"/>
          <w:sz w:val="18"/>
          <w:szCs w:val="18"/>
          <w:color w:val="auto"/>
        </w:rPr>
        <w:t>and the consummation of the transactions contemplated by the merger agreement, including the merger, and to recommend that Company stockholders approve the merger agreement proposal. These interests may include:</w:t>
      </w:r>
    </w:p>
    <w:p>
      <w:pPr>
        <w:spacing w:after="0" w:line="67" w:lineRule="exact"/>
        <w:rPr>
          <w:sz w:val="20"/>
          <w:szCs w:val="20"/>
          <w:color w:val="auto"/>
        </w:rPr>
      </w:pPr>
    </w:p>
    <w:p>
      <w:pPr>
        <w:ind w:left="1240" w:right="14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Company equity awards as provided under the merger agreement (as described in the section of this proxy statement entitled “</w:t>
      </w:r>
      <w:r>
        <w:rPr>
          <w:rFonts w:ascii="Times New Roman" w:cs="Times New Roman" w:eastAsia="Times New Roman" w:hAnsi="Times New Roman"/>
          <w:sz w:val="18"/>
          <w:szCs w:val="18"/>
          <w:i w:val="1"/>
          <w:iCs w:val="1"/>
          <w:color w:val="auto"/>
        </w:rPr>
        <w:t>The Merger Agreement—Treatment of Company Equity Awards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other benefits payable in the case of certain qualifying terminations of employment under the terms of individual agreements and the Company’s Executive Severance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cash retention or sign-on bonuses;</w:t>
      </w:r>
    </w:p>
    <w:p>
      <w:pPr>
        <w:spacing w:after="0" w:line="130" w:lineRule="exact"/>
        <w:rPr>
          <w:rFonts w:ascii="Times New Roman" w:cs="Times New Roman" w:eastAsia="Times New Roman" w:hAnsi="Times New Roman"/>
          <w:sz w:val="18"/>
          <w:szCs w:val="18"/>
          <w:color w:val="auto"/>
        </w:rPr>
      </w:pPr>
    </w:p>
    <w:p>
      <w:pPr>
        <w:jc w:val="both"/>
        <w:ind w:left="1240" w:right="8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members of the Company’s senior management, entry into new employment offer term sheets with UHS, providing for the terms and conditions of continued employment with the Company following the effective time, or other individual arrangements with UHS;</w:t>
      </w:r>
    </w:p>
    <w:p>
      <w:pPr>
        <w:spacing w:after="0" w:line="81" w:lineRule="exact"/>
        <w:rPr>
          <w:rFonts w:ascii="Times New Roman" w:cs="Times New Roman" w:eastAsia="Times New Roman" w:hAnsi="Times New Roman"/>
          <w:sz w:val="18"/>
          <w:szCs w:val="18"/>
          <w:color w:val="auto"/>
        </w:rPr>
      </w:pPr>
    </w:p>
    <w:p>
      <w:pPr>
        <w:jc w:val="both"/>
        <w:ind w:left="1240" w:right="8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Ian Harris, a tax reimbursement for any excise tax incurred by Mr. Harris under Section 4999 of the Internal Revenue Code of 1986 (which we refer to as the “Code”) in accordance with the terms of an agreement entered into between Mr. Harris and UHS prior to the execution of the merger agreement;</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non-employee directors of the Company, eligibility to receive any unpaid cash retainers for the calendar quarter in which the effective time occurs (without proration) and acceleration of unpaid equity awards; and</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and insurance coverage under the merger agreement, the organizational documents of the Company and its subsidiaries and indemnification agreements the Company and any of its subsidiaries have entered into with each of their directors and executive officers.</w:t>
      </w:r>
    </w:p>
    <w:p>
      <w:pPr>
        <w:spacing w:after="0" w:line="174" w:lineRule="exact"/>
        <w:rPr>
          <w:sz w:val="20"/>
          <w:szCs w:val="20"/>
          <w:color w:val="auto"/>
        </w:rPr>
      </w:pPr>
    </w:p>
    <w:p>
      <w:pPr>
        <w:ind w:left="300" w:right="100" w:firstLine="426"/>
        <w:spacing w:after="0" w:line="284" w:lineRule="auto"/>
        <w:rPr>
          <w:sz w:val="20"/>
          <w:szCs w:val="20"/>
          <w:color w:val="auto"/>
        </w:rPr>
      </w:pPr>
      <w:r>
        <w:rPr>
          <w:rFonts w:ascii="Times New Roman" w:cs="Times New Roman" w:eastAsia="Times New Roman" w:hAnsi="Times New Roman"/>
          <w:sz w:val="18"/>
          <w:szCs w:val="18"/>
          <w:color w:val="auto"/>
        </w:rPr>
        <w:t>These interests are described in more detail, and certain of them are quantified, in the section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the Company’s Directors and Executive Officers in the 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77</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93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At the effective time, each restricted stock unit in respect of Company common stock (each of which we refer to as a “Company RSU”) outstanding as of immediately prior to the effective time and that is or becomes vested as of the effective time will be canceled and converted into the right to receive an amount in cash (without interest) equal to the product (rounded up to the nearest cent) of (i) the aggregate number of shares of Company common stock underlying such vested Company RSU and (ii) the merger consideration.</w:t>
      </w:r>
    </w:p>
    <w:p>
      <w:pPr>
        <w:spacing w:after="0" w:line="180" w:lineRule="exact"/>
        <w:rPr>
          <w:sz w:val="20"/>
          <w:szCs w:val="20"/>
          <w:color w:val="auto"/>
        </w:rPr>
      </w:pPr>
    </w:p>
    <w:p>
      <w:pPr>
        <w:ind w:left="300" w:right="200" w:firstLine="426"/>
        <w:spacing w:after="0" w:line="270" w:lineRule="auto"/>
        <w:rPr>
          <w:sz w:val="20"/>
          <w:szCs w:val="20"/>
          <w:color w:val="auto"/>
        </w:rPr>
      </w:pPr>
      <w:r>
        <w:rPr>
          <w:rFonts w:ascii="Times New Roman" w:cs="Times New Roman" w:eastAsia="Times New Roman" w:hAnsi="Times New Roman"/>
          <w:sz w:val="17"/>
          <w:szCs w:val="17"/>
          <w:color w:val="auto"/>
        </w:rPr>
        <w:t>At the effective time, each option to acquire Company common stock (each of which we refer to as a “Company option” and together with the Company RSUs, “Company equity awards”) outstanding and unexercised as of immediately prior to the effective time and that is or becomes vested as of the effective time will be canceled and converted into the right to receive an amount in cash (without interest) equal to the product (rounded up to the nearest cent) of (i) the aggregate number of shares of Company common stock subject to such vested Company option, and</w:t>
      </w:r>
    </w:p>
    <w:p>
      <w:pPr>
        <w:spacing w:after="0" w:line="3" w:lineRule="exact"/>
        <w:rPr>
          <w:sz w:val="20"/>
          <w:szCs w:val="20"/>
          <w:color w:val="auto"/>
        </w:rPr>
      </w:pPr>
    </w:p>
    <w:p>
      <w:pPr>
        <w:ind w:left="300" w:hanging="2"/>
        <w:spacing w:after="0" w:line="255" w:lineRule="auto"/>
        <w:tabs>
          <w:tab w:leader="none" w:pos="5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excess, if any, of (A) the merger consideration over (B) the per share exercise price of such vested Company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vested Company option with a per share exercise price that is equal to or greater than the merger consideration shall be canceled for no consideration.</w:t>
      </w: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Company RSUs and Company options that are unvested (and in the case of Company options, unexercised) at the effective time will generally be canceled and converted into equivalent UHS equity awards, with the same terms and conditions that applied to such award immediately prior to the effective time (including with respect to vesting, effect of termination of employment and, in the case of Company RSUs, dividend equivalents). The number of shares of Class B common stock, par value $0.01 per share, of UHS (which we refer to as the “UHS Class B shares”) subject to each converted equity award will be equal to the exchange ratio multiplied by the number of shares of Company common stock subject to such award immediately prior to the effective time, with the exercise price of each converted Company option equal to the exercise price of the applicable Company option divided by the exchange ratio. The “exchange ratio” is determined by dividing (i) the closing price of Company common stock on the last day on which Company common stock is traded that is immediately prior to the date of the effective time by (ii) the closing price of a UHS Class B share on the last day on which Company common stock is traded that is immediately prior to the date of the effective time.</w:t>
      </w:r>
    </w:p>
    <w:p>
      <w:pPr>
        <w:spacing w:after="0" w:line="194"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Immediately prior to the effective time, the Company may fully accelerate the vesting of any Company RSUs and Company options held by non-employee directors of the Company.</w:t>
      </w:r>
    </w:p>
    <w:p>
      <w:pPr>
        <w:spacing w:after="0" w:line="162"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With respect to the vested Company equity awards, the payment of the merger consideration will be made, subject to any applicable withholding taxes, as promptly as reasonably practicable following the effective time (and in no event later than the first regularly scheduled payroll date that occurs more than five business days following the effective time).</w:t>
      </w:r>
    </w:p>
    <w:p>
      <w:pPr>
        <w:spacing w:after="0" w:line="176"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Finally, the Company 2021 Employee Stock Purchase Plan (which we refer to as the “Company ESPP”) will be terminated and all accumulated contributions of each participant thereunder will be used to purchase shares of Company common stock immediately following the conclusion of any ongoing purchase period or, if earlier, two business days prior to the effective time.</w:t>
      </w:r>
    </w:p>
    <w:p>
      <w:pPr>
        <w:spacing w:after="0" w:line="174" w:lineRule="exact"/>
        <w:rPr>
          <w:sz w:val="20"/>
          <w:szCs w:val="20"/>
          <w:color w:val="auto"/>
        </w:rPr>
      </w:pPr>
    </w:p>
    <w:p>
      <w:pPr>
        <w:ind w:left="300" w:right="58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 of this proxy statement entitled “</w:t>
      </w:r>
      <w:r>
        <w:rPr>
          <w:rFonts w:ascii="Times New Roman" w:cs="Times New Roman" w:eastAsia="Times New Roman" w:hAnsi="Times New Roman"/>
          <w:sz w:val="18"/>
          <w:szCs w:val="18"/>
          <w:i w:val="1"/>
          <w:iCs w:val="1"/>
          <w:color w:val="auto"/>
        </w:rPr>
        <w:t>The Merger Agreement—Treatment of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93</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86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receipt of cash pursuant to the merger will be a taxable transaction for U.S. federal income tax purposes. Generally, for U.S. federal income tax purposes, if you are a holder of Company common stock who is a U.S. holder (as defined below in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you will recognize capital gain or loss equal to the difference between the amount of cash you receive in the merger and your adjusted tax basis in your shares of Company common stock converted into cash in the merger. If you are a holder of Company common stock who is a non-U.S. holder (as defined below in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the merger will generally not be taxable to you under U.S. federal income tax laws unless you have certain connections to the United States or the Company common stock constitutes a USRPI (as defined below in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and certain other conditions are met.</w:t>
      </w:r>
    </w:p>
    <w:p>
      <w:pPr>
        <w:spacing w:after="0" w:line="186" w:lineRule="exact"/>
        <w:rPr>
          <w:sz w:val="20"/>
          <w:szCs w:val="20"/>
          <w:color w:val="auto"/>
        </w:rPr>
      </w:pPr>
    </w:p>
    <w:p>
      <w:pPr>
        <w:jc w:val="both"/>
        <w:ind w:left="300" w:firstLine="426"/>
        <w:spacing w:after="0" w:line="267" w:lineRule="auto"/>
        <w:rPr>
          <w:sz w:val="20"/>
          <w:szCs w:val="20"/>
          <w:color w:val="auto"/>
        </w:rPr>
      </w:pPr>
      <w:r>
        <w:rPr>
          <w:rFonts w:ascii="Times New Roman" w:cs="Times New Roman" w:eastAsia="Times New Roman" w:hAnsi="Times New Roman"/>
          <w:sz w:val="18"/>
          <w:szCs w:val="18"/>
          <w:color w:val="auto"/>
        </w:rPr>
        <w:t>You should read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86</w:t>
      </w:r>
      <w:r>
        <w:rPr>
          <w:rFonts w:ascii="Times New Roman" w:cs="Times New Roman" w:eastAsia="Times New Roman" w:hAnsi="Times New Roman"/>
          <w:sz w:val="18"/>
          <w:szCs w:val="18"/>
          <w:color w:val="auto"/>
        </w:rPr>
        <w:t xml:space="preserve"> for a more complete discussion of the material U.S. federal income tax consequences of the merger. You should consult your own tax advisor for a full understanding of how the merger will affect your federal, state, local and/or non-U.S. taxes.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88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the Company has received two demand letters (which we refer to as the “demand letters”) from purported stockholders of the Company alleging disclosure deficiencies in the preliminary proxy statement filed by the Company with the SEC on April 7, 2026. The demand letters demand that the Company and the Board issue certain corrective or supplemental disclosures. The Company believes that the disclosures set forth in the preliminary proxy statement comply with applicable law and that the allegations asserted in the demand letters are without merit.</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Company is not aware of the filing of lawsuits challenging the merger or the preliminary proxy statement; however, such lawsuits or additional demand letters relating to the merger or the preliminary proxy statement may be filed or received in the future. For a further description of litigation relating to the merger, see the section of this proxy statement entitled “</w:t>
      </w:r>
      <w:r>
        <w:rPr>
          <w:rFonts w:ascii="Times New Roman" w:cs="Times New Roman" w:eastAsia="Times New Roman" w:hAnsi="Times New Roman"/>
          <w:sz w:val="18"/>
          <w:szCs w:val="18"/>
          <w:i w:val="1"/>
          <w:iCs w:val="1"/>
          <w:color w:val="auto"/>
        </w:rPr>
        <w:t>The Merger—Litigation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the 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88</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in Connection with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89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parties to the merger agreement intend to, and are obligated to, coordinate and cooperate with each other and use reasonable best efforts to, as promptly as reasonably practicable, among other things, (i) obtain all approvals, consents, registrations, waivers, permits, authorizations, exemptions, clearances, orders and other confirmations from any governmental authority necessary, proper or advisable to consummate and make effective, in the most expeditious manner reasonably practicable, the transactions contemplated by the merger agreement and (ii) defend or contest in good faith any action or judgment that would otherwise prevent or impede, interfere with, hinder or delay in any material respect the consummation of the transactions contemplated by the merger agreement, in each case, as described in the section of this proxy statement entitled “</w:t>
      </w:r>
      <w:r>
        <w:rPr>
          <w:rFonts w:ascii="Times New Roman" w:cs="Times New Roman" w:eastAsia="Times New Roman" w:hAnsi="Times New Roman"/>
          <w:sz w:val="18"/>
          <w:szCs w:val="18"/>
          <w:i w:val="1"/>
          <w:iCs w:val="1"/>
          <w:color w:val="auto"/>
        </w:rPr>
        <w:t>The Merger Agreement—Reasonable Best Efforts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107</w:t>
      </w:r>
      <w:r>
        <w:rPr>
          <w:rFonts w:ascii="Times New Roman" w:cs="Times New Roman" w:eastAsia="Times New Roman" w:hAnsi="Times New Roman"/>
          <w:sz w:val="18"/>
          <w:szCs w:val="18"/>
          <w:color w:val="auto"/>
        </w:rPr>
        <w:t>. The Company and UHS currently believe that the necessary regulatory approvals can be obtained during the third quarter of 2026; however, there can be no assurances that such approvals will be obtained in accordance with this timing or at all.</w:t>
      </w:r>
    </w:p>
    <w:p>
      <w:pPr>
        <w:spacing w:after="0" w:line="188"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Consummation of the merger is subject to the requirements of the Hart-Scott-Rodino Antitrust Improvements Act of 1976 and the rules and regulations promulgated thereunder (which we refer to as the “HSR Act”) and the rules promulgated by the Federal Trade Commission (which we refer to as the “FTC”), which prevent transactions such as the merger from being consummated until (i) certain information and materials are furnished to the Department of Justice (which we refer to as the “DOJ”) and FTC and (ii) the applicable waiting period under the HSR Act has expired or been terminated. The Company and UHS filed their respective Notification and Report Forms with the FTC and the Antitrust Division of the DOJ on March 27, 2026. The required 30-day waiting period under the HSR Act will expire at 11:59 p.m. Eastern time on April 27, 2026.</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Consummation of the merger is also subject to the approval, termination or expiration of any waiting periods and any required approvals or authorizations applicable to the consummation of the merger under certain state healthcare laws as set forth in the confidential disclosure schedules to the merger agreement delivered to UHS and Merger Sub. The parties have filed and will file notices, applications and other statements, as required by any applicable healthcare laws and regulations of each applicable state. State regulatory and governmental authorities may take actions under the laws of their jurisdictions, which could include seeking to enjoin the consummation of the merger. For more information about regulatory approvals relating to the merger, see the section of this proxy statement entitled “</w:t>
      </w:r>
      <w:r>
        <w:rPr>
          <w:rFonts w:ascii="Times New Roman" w:cs="Times New Roman" w:eastAsia="Times New Roman" w:hAnsi="Times New Roman"/>
          <w:sz w:val="18"/>
          <w:szCs w:val="18"/>
          <w:i w:val="1"/>
          <w:iCs w:val="1"/>
          <w:color w:val="auto"/>
        </w:rPr>
        <w:t>The Merger Agreement—Conditions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112</w:t>
      </w:r>
      <w:r>
        <w:rPr>
          <w:rFonts w:ascii="Times New Roman" w:cs="Times New Roman" w:eastAsia="Times New Roman" w:hAnsi="Times New Roman"/>
          <w:sz w:val="18"/>
          <w:szCs w:val="18"/>
          <w:color w:val="000000"/>
        </w:rPr>
        <w:t>.</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72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If the merger is consummated, holders of record and beneficial owners of shares of Company common stock who do not vote in favor of the merger agreement proposal and who do not wish to accept the merger consideration will have the right to demand an appraisal of their shares of Company common stock under Section 262 of the DGCL (which we refer to as “Section 262”) and, if all procedures described in Section 262 are strictly complied with, to receive an amount in cash equal to the fair value of their shares of Company common stock exclusive of any element of value arising from the accomplishment or expectation of the merger, as determined by the Delaware Court of Chancery (which we refer to as the “Delaware Court”), together with interest (unless the Delaware Court in its discretion determines otherwise for good cause shown) to be paid upon the amount determined to be the fair value in lieu of receiving the merger consideration.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w:t>
      </w:r>
    </w:p>
    <w:p>
      <w:pPr>
        <w:spacing w:after="0" w:line="190"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b w:val="1"/>
          <w:bCs w:val="1"/>
          <w:color w:val="auto"/>
        </w:rPr>
        <w:t>Company stockholders who properly demand, and do not otherwise lose, withdraw or waive, appraisal rights under Section 262 will not receive the merger consideration they would otherwise be entitled to receive pursuant to the merger agreement. Instead, they will receive an amount determined to be the “fair value” of their shares of Company common stock following petition to, and an appraisal by, the Delaware Court. Company stockholders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Company stockholders wishing to exercise appraisal rights are urged to consult their legal and financial advisors before attempting to exercise such rights.</w:t>
      </w:r>
    </w:p>
    <w:p>
      <w:pPr>
        <w:spacing w:after="0" w:line="192"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 holder of record or a beneficial owner of shares of Company common stock who (i) continuously holds such shares on and from the date of the making of the demand through the effective time, (ii) properly submits a written demand for appraisal of their applicable shares of Company common stock to the Company before the vote is taken on the merger agreement proposal at the special meeting, (iii) has not consented to or otherwise voted in favor of the merger (including by executing and returning a proxy) or otherwise withdrawn, lost or waived appraisal rights,</w:t>
      </w:r>
    </w:p>
    <w:p>
      <w:pPr>
        <w:spacing w:after="0" w:line="3" w:lineRule="exact"/>
        <w:rPr>
          <w:sz w:val="20"/>
          <w:szCs w:val="20"/>
          <w:color w:val="auto"/>
        </w:rPr>
      </w:pPr>
    </w:p>
    <w:p>
      <w:pPr>
        <w:ind w:left="300" w:right="60" w:hanging="2"/>
        <w:spacing w:after="0" w:line="265" w:lineRule="auto"/>
        <w:tabs>
          <w:tab w:leader="none" w:pos="60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strictly complies with all other procedures for exercising appraisal rights under Section 262, (v) does not thereafter fail to perfect or effectively withdraw his, her or its demand for appraisal of such shares or otherwise lose his, her or its rights to seek appraisal and (vi) in the case of a beneficial owner, a person who (A) reasonably identifies in his, her or its demand the holder of record of the shares for which the demand is made,</w:t>
      </w:r>
    </w:p>
    <w:p>
      <w:pPr>
        <w:ind w:left="30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in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will be entitled to have their shares of Company common stock appraised by the Delaware Court and to receive payment in cash of the fair value of his, her or its shares of Company common stock exclusive of any element of value arising from the accomplishment or expectation of the merger, as determined by the Delaware Court, together with interest (unless the Delaware Court in its discretion determines otherwise for good cause shown) to be paid upon the amount determined to be the fair value from the effective time of the merger through the date of payment of the judgment. The summary included herein does not constitute legal or other advice, nor does it constitute a recommendation that persons seek to exercise their appraisal rights under Section 262. Failure to</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comply timely and properly with the requirements of Section 262 will result in the loss of a person’s appraisal rights under the DGCL. A person who loses his, her or its appraisal rights will be entitled to receive the merger consideration under the merger agreement.</w:t>
      </w:r>
    </w:p>
    <w:p>
      <w:pPr>
        <w:spacing w:after="0" w:line="16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 copy of Section 262 may be accessed without subscription or cost at the following publicly available website: https://delcode.delaware.gov/title8/c001/sc09/index.html#262. The summary included herein is not a complete statement of the law relating to appraisal rights and is qualified in its entirety by reference to Section 262 and any amendments thereto after the date of this proxy statement. Any person who desires to exercise his, her or its appraisal rights should review carefully Section 262 and is urged to consult his, her or its legal and financial advisors before electing or attempting to exercise such rights. For more information, please see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Change in Board Recommendation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103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merger agreement generally restricts the Company’s ability to directly or indirectly solicit takeover proposals (as defined below under the section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from third parties (including by furnishing non-public information), participate in discussions or negotiations with third parties regarding any takeover proposal, approve, adopt, endorse or recommend or enter into any agreement providing for or relating to or reasonably expected to lead to a takeover proposal or waive, release or amend any standstill or other similar obligation. Under certain circumstances, however, and in compliance with certain obligations contained in the merger agreement, the Company is permitted to engage in negotiations with, and provide information to, third parties that have made an unsolicited written bona fide takeover proposal upon the Board’s (or any duly authorized Board committee’s) determination in good faith, after consultation with its financial advisors and outside legal counsel, that such takeover proposal constitutes, or would reasonably be expected to result in, a superior proposal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and that the failure to take such action would reasonably be expected to be inconsistent with the directors’ fiduciary duties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law. See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300" w:right="120" w:firstLine="426"/>
        <w:spacing w:after="0" w:line="252" w:lineRule="auto"/>
        <w:rPr>
          <w:sz w:val="20"/>
          <w:szCs w:val="20"/>
          <w:color w:val="auto"/>
        </w:rPr>
      </w:pPr>
      <w:r>
        <w:rPr>
          <w:rFonts w:ascii="Times New Roman" w:cs="Times New Roman" w:eastAsia="Times New Roman" w:hAnsi="Times New Roman"/>
          <w:sz w:val="18"/>
          <w:szCs w:val="18"/>
          <w:color w:val="auto"/>
        </w:rPr>
        <w:t>The Board (or any duly authorized committee thereof) generally is not permitted under the merger agreement to change the Board’s recommendation that the Company stockholders adopt the merger agreement or enter into a Company acquisition agreement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However, prior to receipt of the Company stockholder approval, under certain circumstances and in compliance with certain obligations contained in the merger agreement, the Board (or any duly authorized committee thereof) may (i) make an adverse recommendation change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in response to an intervening event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or in response to a superior proposal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which such superior proposal did not result from a material breach of the non-solicitation restrictions under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(ii) cause the Company to enter into a Company acquisition agreement with respect to a takeover proposal (where such takeover proposal constitutes a superior proposal, which such superior proposal did not result from a material breach of the non-solicitation restrictions under the merger agreement) and terminate the merger agreement in accordance with the terms thereof, in either case, if the Board (or any duly authorized committee) thereof has determined in good faith, after consultation with its financial advisors and outside legal counsel, that the failure to take such action would reasonably be expected to be inconsistent with the directors’ fiduciary duties under applicable law, in each case, subject to certain notice and matching rights in favor of UHS.</w:t>
      </w: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of the Merger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112</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Mutual Closing Conditions</w:t>
      </w:r>
    </w:p>
    <w:p>
      <w:pPr>
        <w:spacing w:after="0" w:line="121"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Each party’s obligations to effect the merger are subject to the satisfaction (or written waiver by each party to the merger agreement, if permissible under applicable law), at or prior to the closing date of the merger, of certain conditions, including:</w:t>
      </w:r>
    </w:p>
    <w:p>
      <w:pPr>
        <w:spacing w:after="0" w:line="67" w:lineRule="exact"/>
        <w:rPr>
          <w:sz w:val="20"/>
          <w:szCs w:val="20"/>
          <w:color w:val="auto"/>
        </w:rPr>
      </w:pPr>
    </w:p>
    <w:p>
      <w:pPr>
        <w:ind w:left="1240" w:right="60" w:hanging="415"/>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or judgment enacted, promulgated, issued, entered, amended or enforced by any governmental authority of competent jurisdiction (which we refer to, collectively, as “restraints”) in the U.S. will be in effect enjoining, restraining or otherwise making illegal, preventing or prohibiting the consummation of the merger;</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(and any extension thereof) applicable to the consummation of the merger under the HSR Act will have expired or been terminated;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will have been obtained; and</w:t>
      </w:r>
    </w:p>
    <w:p>
      <w:pPr>
        <w:spacing w:after="0" w:line="130" w:lineRule="exact"/>
        <w:rPr>
          <w:rFonts w:ascii="Times New Roman" w:cs="Times New Roman" w:eastAsia="Times New Roman" w:hAnsi="Times New Roman"/>
          <w:sz w:val="18"/>
          <w:szCs w:val="18"/>
          <w:color w:val="auto"/>
        </w:rPr>
      </w:pPr>
    </w:p>
    <w:p>
      <w:pPr>
        <w:jc w:val="both"/>
        <w:ind w:left="1240" w:right="180" w:hanging="415"/>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periods (and any extension thereof) and any required approvals or authorizations applicable to the consummation of the merger under state healthcare laws set forth in the confidential disclosure schedules to the merger agreement delivered to UHS and Merger Sub will have expired or been terminated or been obtained, respectively.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of UHS and Merger Sub to Closing</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UHS and Merger Sub to effect the merger are subject to the satisfaction (or written waiver by UHS, if permissible under applicable law) on or prior to the closing date of the merger of certain additional conditions, including:</w:t>
      </w:r>
    </w:p>
    <w:p>
      <w:pPr>
        <w:spacing w:after="0" w:line="67" w:lineRule="exact"/>
        <w:rPr>
          <w:sz w:val="20"/>
          <w:szCs w:val="20"/>
          <w:color w:val="auto"/>
        </w:rPr>
      </w:pPr>
    </w:p>
    <w:p>
      <w:pPr>
        <w:ind w:left="1240" w:right="4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materiality qualifiers, the truthfulness and correctness of representations and warranties of the Company to the extent specified in the merger agreement;</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complied with or performed in all material respects its obligations required to be complied with or performed by it at or prior to the effective time under the merger agreement; and</w:t>
      </w:r>
    </w:p>
    <w:p>
      <w:pPr>
        <w:spacing w:after="0" w:line="65" w:lineRule="exact"/>
        <w:rPr>
          <w:rFonts w:ascii="Times New Roman" w:cs="Times New Roman" w:eastAsia="Times New Roman" w:hAnsi="Times New Roman"/>
          <w:sz w:val="18"/>
          <w:szCs w:val="18"/>
          <w:color w:val="auto"/>
        </w:rPr>
      </w:pPr>
    </w:p>
    <w:p>
      <w:pPr>
        <w:ind w:left="1240" w:right="440" w:hanging="415"/>
        <w:spacing w:after="0" w:line="28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Material Adverse Effect (as defined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having occurred and being continuing.</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of the Company to Closing</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are subject to the satisfaction (or written waiver by the Company, if permissible under applicable law) on or prior to the closing date of the merger of certain additional conditions, including:</w:t>
      </w:r>
    </w:p>
    <w:p>
      <w:pPr>
        <w:spacing w:after="0" w:line="67" w:lineRule="exact"/>
        <w:rPr>
          <w:sz w:val="20"/>
          <w:szCs w:val="20"/>
          <w:color w:val="auto"/>
        </w:rPr>
      </w:pPr>
    </w:p>
    <w:p>
      <w:pPr>
        <w:ind w:left="1240" w:right="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materiality qualifiers, the truthfulness and correctness of representations and warranties of UHS and Merger Sub to the extent specified in the merger agreement; and</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UHS and Merger Sub having complied with or performed in all material respects their obligations required to be complied with or performed by them at or prior to the effective time under the merger agreement.</w:t>
      </w:r>
    </w:p>
    <w:p>
      <w:pPr>
        <w:spacing w:after="0" w:line="162"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consummation of the merger and the transactions is not conditioned upon UHS’s receipt of financing. Each party may waive any of the conditions to its obligations to consummate the merger except where waiver is not permitted by law.</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320" w:top="455"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113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transactions abandoned, at any time prior to the effective time (except as otherwise provided in the merger agreement), by the mutual written consent of the Company and UHS.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Either the Company or UHS</w:t>
      </w:r>
    </w:p>
    <w:p>
      <w:pPr>
        <w:spacing w:after="0" w:line="121"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In addition, the Company, on the one hand, or UHS, on the other hand, may terminate the merger agreement and abandon the merger at any time prior to the effective time (except as otherwise provided in the merger agreement), if:</w:t>
      </w:r>
    </w:p>
    <w:p>
      <w:pPr>
        <w:spacing w:after="0" w:line="65" w:lineRule="exact"/>
        <w:rPr>
          <w:sz w:val="20"/>
          <w:szCs w:val="20"/>
          <w:color w:val="auto"/>
        </w:rPr>
      </w:pPr>
    </w:p>
    <w:p>
      <w:pPr>
        <w:ind w:left="1240" w:right="20" w:hanging="415"/>
        <w:spacing w:after="0" w:line="258"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the outside date (as defined in the section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 of the Merger Agreement—Termination by Either the Company or UHS</w:t>
      </w:r>
      <w:r>
        <w:rPr>
          <w:rFonts w:ascii="Times New Roman" w:cs="Times New Roman" w:eastAsia="Times New Roman" w:hAnsi="Times New Roman"/>
          <w:sz w:val="18"/>
          <w:szCs w:val="18"/>
          <w:color w:val="auto"/>
        </w:rPr>
        <w:t>”); provided that this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the merger agreement will not be available to any party if the failure to consummate the merger by the outside date was principally caused by or is the result of a material breach of the merger agreement by such party (treating UHS and Merger Sub as one party);</w:t>
      </w:r>
    </w:p>
    <w:p>
      <w:pPr>
        <w:spacing w:after="0" w:line="88" w:lineRule="exact"/>
        <w:rPr>
          <w:rFonts w:ascii="Times New Roman" w:cs="Times New Roman" w:eastAsia="Times New Roman" w:hAnsi="Times New Roman"/>
          <w:sz w:val="18"/>
          <w:szCs w:val="18"/>
          <w:color w:val="auto"/>
        </w:rPr>
      </w:pPr>
    </w:p>
    <w:p>
      <w:pPr>
        <w:ind w:left="1240" w:right="160" w:hanging="415"/>
        <w:spacing w:after="0" w:line="257"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restraint having the effect described under the first bullet point described in the section of this proxy statement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Agreement—Conditions of the Merger—Mutual Closing Conditions</w:t>
      </w:r>
      <w:r>
        <w:rPr>
          <w:rFonts w:ascii="Times New Roman" w:cs="Times New Roman" w:eastAsia="Times New Roman" w:hAnsi="Times New Roman"/>
          <w:sz w:val="18"/>
          <w:szCs w:val="18"/>
          <w:color w:val="auto"/>
        </w:rPr>
        <w:t>” has become final and non-appealable; provided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seeking to terminate the merger agreement pursuant to this bullet point has used the required efforts to prevent the entry of and to remove such restraint in accordance with its obligations under the merger agreement, has not breached in any material respect its respective obligations under the regulatory efforts covenant under the merger agreement and has not been the primary cause of such restraint due to a failure to perform any such obligations; or</w:t>
      </w:r>
    </w:p>
    <w:p>
      <w:pPr>
        <w:spacing w:after="0" w:line="89"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(including any adjournments or postponements thereof) was concluded and Company stockholder approval was not obtained.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UHS</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UHS may also terminate the merger agreement and abandon the transactions by written notice to the Company at any time prior to the effective time (except as otherwise provided in the merger agreement):</w:t>
      </w:r>
    </w:p>
    <w:p>
      <w:pPr>
        <w:spacing w:after="0" w:line="67" w:lineRule="exact"/>
        <w:rPr>
          <w:sz w:val="20"/>
          <w:szCs w:val="20"/>
          <w:color w:val="auto"/>
        </w:rPr>
      </w:pPr>
    </w:p>
    <w:p>
      <w:pPr>
        <w:ind w:left="1240" w:hanging="415"/>
        <w:spacing w:after="0" w:line="254"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breached any of its representations or warranties or failed to perform any of its covenants or agreements set forth in the merger agreement, which breach or failure to perform (i) would give rise to the failure of a condition set forth under the first and second bullet points described in the section of this proxy statement entitled “</w:t>
      </w:r>
      <w:r>
        <w:rPr>
          <w:rFonts w:ascii="Times New Roman" w:cs="Times New Roman" w:eastAsia="Times New Roman" w:hAnsi="Times New Roman"/>
          <w:sz w:val="18"/>
          <w:szCs w:val="18"/>
          <w:i w:val="1"/>
          <w:iCs w:val="1"/>
          <w:color w:val="auto"/>
        </w:rPr>
        <w:t>The Merger Agreement—Conditions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of UHS and Merger Sub to Closing</w:t>
      </w:r>
      <w:r>
        <w:rPr>
          <w:rFonts w:ascii="Times New Roman" w:cs="Times New Roman" w:eastAsia="Times New Roman" w:hAnsi="Times New Roman"/>
          <w:sz w:val="18"/>
          <w:szCs w:val="18"/>
          <w:color w:val="auto"/>
        </w:rPr>
        <w:t>” and (ii) is incapable of being cured or, if capable of being cured by the outside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been cured by the Company prior to the earlier of the outside date or the thirtieth calendar day following receipt by the Company of written notice of such breach or failure to perform from UHS describing such breach or failure to perform and stating UHS’s intention to terminate the merger agreement pursuant to this bullet point; provided that UHS will not have the right to terminate the merger agreement pursuant to this bullet point if UHS or Merger Sub is then in material breach of any of its representations, warranties, covenants or agreements under the merger agreement (which breach has not been cured); or</w:t>
      </w:r>
    </w:p>
    <w:p>
      <w:pPr>
        <w:spacing w:after="0" w:line="93"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special meeting (including any adjournments or postponements thereof), if the Board has made or effected an adverse recommendation change.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w:t>
      </w:r>
    </w:p>
    <w:p>
      <w:pPr>
        <w:spacing w:after="0" w:line="121"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The Company may also terminate the merger agreement and abandon the transactions by written notice to UHS at any time prior to the effective time (except as otherwise provided in the merger agreement):</w:t>
      </w:r>
    </w:p>
    <w:p>
      <w:pPr>
        <w:spacing w:after="0" w:line="67" w:lineRule="exact"/>
        <w:rPr>
          <w:sz w:val="20"/>
          <w:szCs w:val="20"/>
          <w:color w:val="auto"/>
        </w:rPr>
      </w:pPr>
    </w:p>
    <w:p>
      <w:pPr>
        <w:ind w:left="1240" w:right="20" w:hanging="415"/>
        <w:spacing w:after="0" w:line="254"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UHS or Merger Sub has breached any of its representations or warranties or failed to perform any of its covenants or agreements set forth in the merger agreement, which breach or failure to perform (i) would give rise to the failure of a condition set forth under the first and second bullet points described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of the Merger—Conditions of the Company to Closing</w:t>
      </w:r>
      <w:r>
        <w:rPr>
          <w:rFonts w:ascii="Times New Roman" w:cs="Times New Roman" w:eastAsia="Times New Roman" w:hAnsi="Times New Roman"/>
          <w:sz w:val="18"/>
          <w:szCs w:val="18"/>
          <w:color w:val="auto"/>
        </w:rPr>
        <w:t>” and (ii) is incapable of being cured or, if capable of being cured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outside date, has not been cured by UHS prior to the earlier of the outside date or the thirtieth calendar day following receipt by UHS of written notice of such breach or failure to perform from the Company describing such breach or failure to perform and stating the Company’s intention to terminate the merger agreement pursuant to this bullet point; provided that the Company will not have the right to terminate the merger agreement pursuant to this bullet point if the Company is then in material breach of any of its representations, warranties, covenants or agreements under the merger agreement, which breach has not been cured; or</w:t>
      </w:r>
    </w:p>
    <w:p>
      <w:pPr>
        <w:spacing w:after="0" w:line="93" w:lineRule="exact"/>
        <w:rPr>
          <w:rFonts w:ascii="Times New Roman" w:cs="Times New Roman" w:eastAsia="Times New Roman" w:hAnsi="Times New Roman"/>
          <w:sz w:val="18"/>
          <w:szCs w:val="18"/>
          <w:color w:val="auto"/>
        </w:rPr>
      </w:pPr>
    </w:p>
    <w:p>
      <w:pPr>
        <w:ind w:left="1240" w:right="60" w:hanging="415"/>
        <w:spacing w:after="0" w:line="255"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Company stockholder approval, in connection with entering into a Company acquisition agreement (as defined in the section of this proxy statement entitled “</w:t>
      </w:r>
      <w:r>
        <w:rPr>
          <w:rFonts w:ascii="Times New Roman" w:cs="Times New Roman" w:eastAsia="Times New Roman" w:hAnsi="Times New Roman"/>
          <w:sz w:val="18"/>
          <w:szCs w:val="18"/>
          <w:i w:val="1"/>
          <w:iCs w:val="1"/>
          <w:color w:val="auto"/>
        </w:rPr>
        <w:t>The Merger Agreement—No Solicitation; Change in Board Recommendation</w:t>
      </w:r>
      <w:r>
        <w:rPr>
          <w:rFonts w:ascii="Times New Roman" w:cs="Times New Roman" w:eastAsia="Times New Roman" w:hAnsi="Times New Roman"/>
          <w:sz w:val="18"/>
          <w:szCs w:val="18"/>
          <w:color w:val="auto"/>
        </w:rPr>
        <w:t>”) providing for a superior proposal (as defined in the section of this proxy statement entitled “</w:t>
      </w:r>
      <w:r>
        <w:rPr>
          <w:rFonts w:ascii="Times New Roman" w:cs="Times New Roman" w:eastAsia="Times New Roman" w:hAnsi="Times New Roman"/>
          <w:sz w:val="18"/>
          <w:szCs w:val="18"/>
          <w:i w:val="1"/>
          <w:iCs w:val="1"/>
          <w:color w:val="auto"/>
        </w:rPr>
        <w:t>The Merger Agreement—No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Board Recommendation</w:t>
      </w:r>
      <w:r>
        <w:rPr>
          <w:rFonts w:ascii="Times New Roman" w:cs="Times New Roman" w:eastAsia="Times New Roman" w:hAnsi="Times New Roman"/>
          <w:sz w:val="18"/>
          <w:szCs w:val="18"/>
          <w:color w:val="auto"/>
        </w:rPr>
        <w:t>”) in accordance with the terms of the merger agreement, including the non-solicitation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merger agreement, which Company acquisition agreement is entered into immediately following such termination; provided that prior to or concurrently with such termination the Company pays or causes to be paid the termination fee of $32,394,000 to the extent due and payable under the merger agreement.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Termination Fee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115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 will be required to pay to UHS a termination fee of $32,394,000 if:</w:t>
      </w:r>
    </w:p>
    <w:p>
      <w:pPr>
        <w:spacing w:after="0" w:line="131" w:lineRule="exact"/>
        <w:rPr>
          <w:sz w:val="20"/>
          <w:szCs w:val="20"/>
          <w:color w:val="auto"/>
        </w:rPr>
      </w:pPr>
    </w:p>
    <w:p>
      <w:pPr>
        <w:ind w:left="1240" w:hanging="415"/>
        <w:spacing w:after="0" w:line="25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or UHS pursuant to the provisions described in the first or third bullet point described above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by Either the Company or UHS</w:t>
      </w:r>
      <w:r>
        <w:rPr>
          <w:rFonts w:ascii="Times New Roman" w:cs="Times New Roman" w:eastAsia="Times New Roman" w:hAnsi="Times New Roman"/>
          <w:sz w:val="18"/>
          <w:szCs w:val="18"/>
          <w:color w:val="auto"/>
        </w:rPr>
        <w:t>” or the merger agreement is terminated by UHS pursuant to the provision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bullet point described above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 by UHS</w:t>
      </w:r>
      <w:r>
        <w:rPr>
          <w:rFonts w:ascii="Times New Roman" w:cs="Times New Roman" w:eastAsia="Times New Roman" w:hAnsi="Times New Roman"/>
          <w:sz w:val="18"/>
          <w:szCs w:val="18"/>
          <w:color w:val="auto"/>
        </w:rPr>
        <w:t>”; provided that (i) a bona fide takeover proposal has been publicly made, proposed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communicated by a third-party (or such takeover proposal has otherwise been made known to the Board and has become publicly known) (x) in the case of a termination pursuant to the provisions described in the first or third bullet point described above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the Merger Agreement—Termination by Either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or UHS</w:t>
      </w:r>
      <w:r>
        <w:rPr>
          <w:rFonts w:ascii="Times New Roman" w:cs="Times New Roman" w:eastAsia="Times New Roman" w:hAnsi="Times New Roman"/>
          <w:sz w:val="18"/>
          <w:szCs w:val="18"/>
          <w:color w:val="auto"/>
        </w:rPr>
        <w:t>”, after the date of the merger agreement, or (y) in the case of a termination pursuant to the provision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bullet point described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 by UHS</w:t>
      </w:r>
      <w:r>
        <w:rPr>
          <w:rFonts w:ascii="Times New Roman" w:cs="Times New Roman" w:eastAsia="Times New Roman" w:hAnsi="Times New Roman"/>
          <w:sz w:val="18"/>
          <w:szCs w:val="18"/>
          <w:color w:val="auto"/>
        </w:rPr>
        <w:t>”, prior to the date of the applicable breach and, in the case of a termination pursuant to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third bullet point described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Agreement—Termination by Either the Company or UHS</w:t>
      </w:r>
      <w:r>
        <w:rPr>
          <w:rFonts w:ascii="Times New Roman" w:cs="Times New Roman" w:eastAsia="Times New Roman" w:hAnsi="Times New Roman"/>
          <w:sz w:val="18"/>
          <w:szCs w:val="18"/>
          <w:color w:val="auto"/>
        </w:rPr>
        <w:t>”, such takeover proposal has not been publicly withdrawn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time the merger agreement is terminated and (ii) within 12 months of the date the merger agreement is terminated, the Company consummates a takeover proposal (or enters</w:t>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24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3124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61" w:lineRule="auto"/>
        <w:rPr>
          <w:sz w:val="20"/>
          <w:szCs w:val="20"/>
          <w:color w:val="auto"/>
        </w:rPr>
      </w:pPr>
      <w:r>
        <w:rPr>
          <w:rFonts w:ascii="Times New Roman" w:cs="Times New Roman" w:eastAsia="Times New Roman" w:hAnsi="Times New Roman"/>
          <w:sz w:val="18"/>
          <w:szCs w:val="18"/>
          <w:color w:val="auto"/>
        </w:rPr>
        <w:t>into a definitive written agreement with respect to any transaction included within the definition of takeover proposal and such transaction is subsequently consummated at any time with the person or persons that made the takeover proposal referred to in clause (i); provided that, for purposes of clause (ii) of this bullet point, the references to “25%” in the definition of takeover proposal are deemed to be references to “50%”; or</w:t>
      </w:r>
    </w:p>
    <w:p>
      <w:pPr>
        <w:spacing w:after="0" w:line="85" w:lineRule="exact"/>
        <w:rPr>
          <w:sz w:val="20"/>
          <w:szCs w:val="20"/>
          <w:color w:val="auto"/>
        </w:rPr>
      </w:pPr>
    </w:p>
    <w:p>
      <w:pPr>
        <w:jc w:val="both"/>
        <w:ind w:left="1240" w:right="20" w:hanging="415"/>
        <w:spacing w:after="0" w:line="261"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(i) by UHS pursuant to the provision described in the second bullet point described in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the Merger Agreement—Termination by UHS</w:t>
      </w:r>
      <w:r>
        <w:rPr>
          <w:rFonts w:ascii="Times New Roman" w:cs="Times New Roman" w:eastAsia="Times New Roman" w:hAnsi="Times New Roman"/>
          <w:sz w:val="18"/>
          <w:szCs w:val="18"/>
          <w:color w:val="auto"/>
        </w:rPr>
        <w:t>” or (ii) by the Company pursuant to the provision described in the second bullet point described in the section of this proxy statement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the Merger Agreement—Termination by the Company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Current Price of Common Stock</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On April 17, 2026, the latest practicable trading day before the filing of this proxy statement, the reported closing price for shares of Company common stock on NASDAQ was $5.18. You are encouraged to obtain current market quotations for shares of Company common stock in connection with voting your Company common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0000EE"/>
        </w:rPr>
        <w:t>page 126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You can find more information about the Company in the periodic reports and other information we file with the SEC. Our SEC filings are available over the internet through the SEC’s website at www.sec.gov.</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320" w:top="455" w:right="7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THE MERGER</w:t>
      </w:r>
    </w:p>
    <w:p>
      <w:pPr>
        <w:spacing w:after="0" w:line="227"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questions and answers are intended to briefly address some commonly asked questions regarding the special meeting, the merger, and the merger agreement. These questions and answers may not address all questions that may be important to you as a stockholder. You should read the more detailed information contained elsewhere in this proxy statement, the annexes to this proxy statement and the documents referred to or incorporated by reference in this proxy statement. You may obtain, without charge, copies of documents incorporated by reference into this proxy statement by following the instructions under the section of this proxy statement entitled “Where You Can Find Additional Information” beginning on </w:t>
      </w:r>
      <w:r>
        <w:rPr>
          <w:rFonts w:ascii="Times New Roman" w:cs="Times New Roman" w:eastAsia="Times New Roman" w:hAnsi="Times New Roman"/>
          <w:sz w:val="18"/>
          <w:szCs w:val="18"/>
          <w:i w:val="1"/>
          <w:iCs w:val="1"/>
          <w:u w:val="single" w:color="auto"/>
          <w:color w:val="0000EE"/>
        </w:rPr>
        <w:t>page 126</w:t>
      </w:r>
      <w:r>
        <w:rPr>
          <w:rFonts w:ascii="Times New Roman" w:cs="Times New Roman" w:eastAsia="Times New Roman" w:hAnsi="Times New Roman"/>
          <w:sz w:val="18"/>
          <w:szCs w:val="18"/>
          <w:i w:val="1"/>
          <w:iCs w:val="1"/>
          <w:color w:val="000000"/>
        </w:rPr>
        <w:t>.</w:t>
      </w:r>
    </w:p>
    <w:p>
      <w:pPr>
        <w:spacing w:after="0" w:line="329"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w:t>
      </w:r>
    </w:p>
    <w:p>
      <w:pPr>
        <w:spacing w:after="0" w:line="135" w:lineRule="exact"/>
        <w:rPr>
          <w:sz w:val="20"/>
          <w:szCs w:val="20"/>
          <w:color w:val="auto"/>
        </w:rPr>
      </w:pPr>
    </w:p>
    <w:p>
      <w:pPr>
        <w:ind w:left="540" w:right="26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2026, the Company entered into the merger agreement with UHS and Merger Sub. Pursuant to the merger agreement, Merger Sub will be merged with and into the Company with the Company surviving the merger as an indirect wholly owned subsidiary of UHS.</w:t>
      </w:r>
    </w:p>
    <w:p>
      <w:pPr>
        <w:spacing w:after="0" w:line="53" w:lineRule="exact"/>
        <w:rPr>
          <w:rFonts w:ascii="Times New Roman" w:cs="Times New Roman" w:eastAsia="Times New Roman" w:hAnsi="Times New Roman"/>
          <w:sz w:val="18"/>
          <w:szCs w:val="18"/>
          <w:color w:val="auto"/>
        </w:rPr>
      </w:pPr>
    </w:p>
    <w:p>
      <w:pPr>
        <w:ind w:left="5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are receiving this proxy statement in connection with the solicitation of proxies by the Board in favor of the merger agreement proposal and the other matters to be voted on at the special meeting described below under </w:t>
      </w:r>
      <w:r>
        <w:rPr>
          <w:rFonts w:ascii="Times New Roman" w:cs="Times New Roman" w:eastAsia="Times New Roman" w:hAnsi="Times New Roman"/>
          <w:sz w:val="18"/>
          <w:szCs w:val="18"/>
          <w:i w:val="1"/>
          <w:iCs w:val="1"/>
          <w:color w:val="auto"/>
        </w:rPr>
        <w:t>“What proposals will be considered at the special meeting?</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19</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35" w:lineRule="exact"/>
        <w:rPr>
          <w:sz w:val="20"/>
          <w:szCs w:val="20"/>
          <w:color w:val="auto"/>
        </w:rPr>
      </w:pPr>
    </w:p>
    <w:p>
      <w:pPr>
        <w:ind w:left="540" w:right="180" w:hanging="424"/>
        <w:spacing w:after="0" w:line="258"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a Company stockholder’s legal designation of another person to vote shares owned by such Company stockholder on their behalf. If you hold your shares of Company common stock as a stockholder of record, you can vote by proxy over the internet, by telephone or by mail by following the instructions provided in the enclosed proxy card. If you hold shares of Company common stock beneficially in “street name”, you should follow the voting instructions provided by your broker, bank or other nominee. Jon Cohen, Ian Harris and John Reilly, each of them with full power of substitution, have been designated as proxies for the special meeting.</w:t>
      </w:r>
    </w:p>
    <w:p>
      <w:pPr>
        <w:spacing w:after="0" w:line="328"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holder of Company common stock, what will I receive if the merger is completed?</w:t>
      </w:r>
    </w:p>
    <w:p>
      <w:pPr>
        <w:spacing w:after="0" w:line="135" w:lineRule="exact"/>
        <w:rPr>
          <w:sz w:val="20"/>
          <w:szCs w:val="20"/>
          <w:color w:val="auto"/>
        </w:rPr>
      </w:pPr>
    </w:p>
    <w:p>
      <w:pPr>
        <w:ind w:left="540" w:hanging="424"/>
        <w:spacing w:after="0" w:line="25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consummated, for each share of Company common stock that you own as of immediately prior to the effective time, you will be entitled to receive the merger consideration of $5.25 in cash, without interest and subject to any applicable withholding taxes, unless you have properly exercised, perfected and not validly withdrawn or otherwise lost your appraisal rights under the DGCL with respect to such shares of Company common stock, and certain other conditions under the DGCL are satisfied (as described in more detail in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 If the merger is consummated, you will not own shares in the surviving corporation.</w:t>
      </w:r>
    </w:p>
    <w:p>
      <w:pPr>
        <w:spacing w:after="0" w:line="79" w:lineRule="exact"/>
        <w:rPr>
          <w:rFonts w:ascii="Times New Roman" w:cs="Times New Roman" w:eastAsia="Times New Roman" w:hAnsi="Times New Roman"/>
          <w:sz w:val="18"/>
          <w:szCs w:val="18"/>
          <w:color w:val="auto"/>
        </w:rPr>
      </w:pPr>
    </w:p>
    <w:p>
      <w:pPr>
        <w:ind w:left="56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merger consideration pursuant to the merger agreement will be a taxable transaction for U.S. federal income tax purposes. Please see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86</w:t>
      </w:r>
      <w:r>
        <w:rPr>
          <w:rFonts w:ascii="Times New Roman" w:cs="Times New Roman" w:eastAsia="Times New Roman" w:hAnsi="Times New Roman"/>
          <w:sz w:val="18"/>
          <w:szCs w:val="18"/>
          <w:color w:val="auto"/>
        </w:rPr>
        <w:t xml:space="preserve"> for a more detailed description of the U.S. federal income tax consequences of the merger. You should consult your own tax advisor for a full understanding of how the merger will affect your U.S. federal, state and local and/or non-U.S. taxes.</w:t>
      </w:r>
    </w:p>
    <w:p>
      <w:pPr>
        <w:spacing w:after="0" w:line="324"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 of our stockholders?</w:t>
      </w:r>
    </w:p>
    <w:p>
      <w:pPr>
        <w:spacing w:after="0" w:line="135" w:lineRule="exact"/>
        <w:rPr>
          <w:sz w:val="20"/>
          <w:szCs w:val="20"/>
          <w:color w:val="auto"/>
        </w:rPr>
      </w:pPr>
    </w:p>
    <w:p>
      <w:pPr>
        <w:ind w:left="540" w:right="60" w:hanging="424"/>
        <w:spacing w:after="0" w:line="258"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of Company stockholders will be held on May 29, 2026 at 9:00 a.m., Eastern time (unless the special meeting is adjourned or postponed). The special meeting will be completely virtual. Company stockholders will be able to virtually attend and vote at the special meeting by visiting www.proxydocs.com/TALK and using the 12-digit control number included in the notice, proxy card or instructions that accompanied the proxy materials. We encourage you to access the special meeting before the start time of 9:00 a.m., Eastern time. Please allow ample time to log into the special meeting and test your computer systems.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virtually attend and vote at the special meeting?</w:t>
      </w:r>
    </w:p>
    <w:p>
      <w:pPr>
        <w:spacing w:after="0" w:line="135" w:lineRule="exact"/>
        <w:rPr>
          <w:sz w:val="20"/>
          <w:szCs w:val="20"/>
          <w:color w:val="auto"/>
        </w:rPr>
      </w:pPr>
    </w:p>
    <w:p>
      <w:pPr>
        <w:ind w:left="54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Company stockholders of record at the close of business on April 13, 2026, the record date for the special meeting, or those with a valid proxy from a broker that held shares of Company common stock on the record date, will be entitled to notice of, and to vote at, the special meeting and any adjournment or postponement thereof. As of the close of business on the record date, there were 167,512,566 shares of Company common stock issued and outstanding and entitled to vote. Each Company stockholder is entitled to one vote per share of Company common stock held by such Company stockholder on the record date on each of the proposals presented in this proxy statement.</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at the close of business on April 13, 2026, you were a “record” holder of Company common stock </w:t>
      </w:r>
      <w:r>
        <w:rPr>
          <w:rFonts w:ascii="Times New Roman" w:cs="Times New Roman" w:eastAsia="Times New Roman" w:hAnsi="Times New Roman"/>
          <w:sz w:val="18"/>
          <w:szCs w:val="18"/>
          <w:color w:val="auto"/>
        </w:rPr>
        <w:t>(in other words, if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registered directly in your name with the transfer agent, Vinyl Equity, Inc.), you may vote at the special meeting or vote by proxy. Whether or not you plan to virtually attend the special meeting, we encourage you to vote by proxy over the telephone or on the internet as instructed below or, if applicable, complete, date, sign and return the proxy card mailed to you to ensure your vote is counted.</w:t>
      </w:r>
    </w:p>
    <w:p>
      <w:pPr>
        <w:spacing w:after="0" w:line="81"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at the close of business on April 13, 2026, you were the beneficial owner of Company common stock held in “street name”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words, if your Company common stock is held in the name of your broker, bank or other nominee), the proxy materials should be forwarded to you by your broker, bank or other nominee. The broker, bank or other nominee is considered the stockholder of record for purposes of voting your shares at the special meeting. As a beneficial owner, you have the right to direct your broker, bank or other nominee on how to vote the shares in your account. You are also invited to virtually attend the special meeting. However, since you are not the stockholder of record, you may not vote your shares at the special meeting unless you request and obtain, and present at the special meeting, a legal proxy from your broker, bank or other nominee.</w:t>
      </w:r>
    </w:p>
    <w:p>
      <w:pPr>
        <w:spacing w:after="0" w:line="77" w:lineRule="exact"/>
        <w:rPr>
          <w:sz w:val="20"/>
          <w:szCs w:val="20"/>
          <w:color w:val="auto"/>
        </w:rPr>
      </w:pPr>
    </w:p>
    <w:p>
      <w:pPr>
        <w:ind w:left="560" w:right="240"/>
        <w:spacing w:after="0" w:line="284" w:lineRule="auto"/>
        <w:rPr>
          <w:sz w:val="20"/>
          <w:szCs w:val="20"/>
          <w:color w:val="auto"/>
        </w:rPr>
      </w:pPr>
      <w:r>
        <w:rPr>
          <w:rFonts w:ascii="Times New Roman" w:cs="Times New Roman" w:eastAsia="Times New Roman" w:hAnsi="Times New Roman"/>
          <w:sz w:val="18"/>
          <w:szCs w:val="18"/>
          <w:color w:val="auto"/>
        </w:rPr>
        <w:t>For additional information on how to vote at the special meeting, please see the section of this proxy statement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Procedures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34</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At the special meeting and for 10 days prior to the special meeting, the names of Company stockholders entitled to vote at the special meeting will be available for inspection by any Company stockholder, for any purpose germane to the meeting, between the hours of 9:00 a.m. and 5:00 p.m., Eastern time, at the Company’s principal executive offices located at 622 Third Avenue, New York, New York 10017, by contacting the Corporate Secretary of the Company. Participating Company stockholders who log on to the special meeting using their 12-digit control number will be able to examine the stockholder list during the special meeting by following the instructions provided on the meeting website at www.proxydocs.com/TALK.</w:t>
      </w:r>
    </w:p>
    <w:p>
      <w:pPr>
        <w:spacing w:after="0" w:line="332"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virtually attend the special meeting?</w:t>
      </w:r>
    </w:p>
    <w:p>
      <w:pPr>
        <w:spacing w:after="0" w:line="135" w:lineRule="exact"/>
        <w:rPr>
          <w:sz w:val="20"/>
          <w:szCs w:val="20"/>
          <w:color w:val="auto"/>
        </w:rPr>
      </w:pPr>
    </w:p>
    <w:p>
      <w:pPr>
        <w:ind w:left="540" w:right="20" w:hanging="424"/>
        <w:spacing w:after="0" w:line="25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a completely virtual meeting of stockholders and will be conducted via live webcast. You are entitled to virtually attend the special meeting only if you were a stockholder of record or were the beneficial owner of Company common stock held in “street name” at the close of business on April 13, 2026, the record date for the special meeting. Company stockholders of record will be able to virtually attend and vote at the special meeting by visiting www.proxydocs.com/TALK and using the 12-digit control number included in the notice, proxy card or instructions that accompanied the proxy materials. Beneficial owners of Company common stock held in “street name” may virtually attend the special meeting, but may vote online at the special meeting only if they obtain a 12-digit control number from their broker (typically found on their voting instruction form). If you hold your shares in street name and want to participate in the special meeting but did not receive a 12-digit control number, you must contact your broker for instructions to access the special meeting.</w:t>
      </w:r>
    </w:p>
    <w:p>
      <w:pPr>
        <w:spacing w:after="0" w:line="83" w:lineRule="exact"/>
        <w:rPr>
          <w:rFonts w:ascii="Times New Roman" w:cs="Times New Roman" w:eastAsia="Times New Roman" w:hAnsi="Times New Roman"/>
          <w:sz w:val="18"/>
          <w:szCs w:val="18"/>
          <w:color w:val="auto"/>
        </w:rPr>
      </w:pPr>
    </w:p>
    <w:p>
      <w:pPr>
        <w:ind w:left="5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webcast will begin promptly at 9:00 a.m., Eastern time on May 29, 2026. Online access will begin at 8:45 a.m., Eastern time, and we encourage you to access the special meeting prior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the start time. The virtual meeting platform is fully supported across browsers and devices (desktops, laptops, tablets and cell phones) running the most updated version of applicable software and plugins. We will have technicians ready to assist you with any technical difficulties you may have. You will have the ability to test the systems before the special meeting starts, and a technical support phone number will be provided when the meeting opens.</w:t>
      </w:r>
    </w:p>
    <w:p>
      <w:pPr>
        <w:spacing w:after="0" w:line="324"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proposals will be considered at the special meeting?</w:t>
      </w:r>
    </w:p>
    <w:p>
      <w:pPr>
        <w:spacing w:after="0" w:line="135"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Company stockholders will be asked to consider and vote on the following proposals: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compensation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additional information on the proposals, please see the sections of this proxy statement that describe each proposal beginning on </w:t>
      </w:r>
      <w:r>
        <w:rPr>
          <w:rFonts w:ascii="Times New Roman" w:cs="Times New Roman" w:eastAsia="Times New Roman" w:hAnsi="Times New Roman"/>
          <w:sz w:val="18"/>
          <w:szCs w:val="18"/>
          <w:u w:val="single" w:color="auto"/>
          <w:color w:val="0000EE"/>
        </w:rPr>
        <w:t>page 39</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purposes of the special meeting?</w:t>
      </w:r>
    </w:p>
    <w:p>
      <w:pPr>
        <w:spacing w:after="0" w:line="135" w:lineRule="exact"/>
        <w:rPr>
          <w:sz w:val="20"/>
          <w:szCs w:val="20"/>
          <w:color w:val="auto"/>
        </w:rPr>
      </w:pPr>
    </w:p>
    <w:p>
      <w:pPr>
        <w:ind w:left="540" w:right="100" w:hanging="424"/>
        <w:spacing w:after="0" w:line="254"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special meeting of the holders of a majority in voting power of the shares of the capital stock of the Company issued and outstanding and entitled to vote in person, or by remote communication, or represented by proxy, constitutes a quorum for the transaction of business at the special meeting. Virtual attendance at the special meeting constitutes presence in person for quorum purposes at the special meeting. Abstentions and broker non-votes will be counted toward the quorum requirement. If a quorum is not present or represented by proxy at the special meeting, then either (i) the person presiding over the meeting or (ii) a majority in voting power of the stockholders entitled to vote at the special meeting, present in person, or by remote communication or represented by proxy, shall have the power to adjourn the special meeting from time to time until a quorum is present or represented. At such adjourned special meeting at which a quorum is present or represented, any business may be transacted that might have been transacted at the special meeting as originally noticed.</w:t>
      </w:r>
    </w:p>
    <w:p>
      <w:pPr>
        <w:spacing w:after="0" w:line="336"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during the check-in time or during the meeting I have technical difficulties or trouble accessing the virtual meeting website?</w:t>
      </w:r>
    </w:p>
    <w:p>
      <w:pPr>
        <w:spacing w:after="0" w:line="135" w:lineRule="exact"/>
        <w:rPr>
          <w:sz w:val="20"/>
          <w:szCs w:val="20"/>
          <w:color w:val="auto"/>
        </w:rPr>
      </w:pPr>
    </w:p>
    <w:p>
      <w:pPr>
        <w:ind w:left="540" w:right="140" w:hanging="424"/>
        <w:spacing w:after="0" w:line="28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encounter technical difficulties accessing the special meeting during the check-in time or during the special meeting, a support line will be available on the login page of the virtual meeting website.</w:t>
      </w:r>
    </w:p>
    <w:p>
      <w:pPr>
        <w:spacing w:after="0" w:line="306"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Company stockholders is required to approve each of the proposals?</w:t>
      </w:r>
    </w:p>
    <w:p>
      <w:pPr>
        <w:spacing w:after="0" w:line="135" w:lineRule="exact"/>
        <w:rPr>
          <w:sz w:val="20"/>
          <w:szCs w:val="20"/>
          <w:color w:val="auto"/>
        </w:rPr>
      </w:pPr>
    </w:p>
    <w:p>
      <w:pPr>
        <w:ind w:left="540" w:hanging="424"/>
        <w:spacing w:after="0" w:line="25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proposal requires the affirmative vote (in person or by proxy) of the holders of a majority of the outstanding shares of Company common stock entitled to vote on the matter. Under Delaware law and the merger agreement, the receipt of such required vote is a condition to the consummation of the merger. Note that you may vote to approve the merger agreement proposal and vote not to approve the advisory compensation proposal or adjournment proposal and vice versa. Assuming a quorum is present at the special meeting, abstentions, failures to vote (including a failure to authorize a proxy to vote on a Company stockholder’s behalf) and broker non-votes will have the same effect as a vote “AGAINST” the merger agreement proposal.</w:t>
      </w:r>
    </w:p>
    <w:p>
      <w:pPr>
        <w:spacing w:after="0" w:line="79"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advisory compensation proposal requires the affirmative vote (in person or by proxy) of the holders of a majority in voting power of the votes cast (excluding abstentions and broker non-votes) on such proposal at the special meeting. Assuming a quorum is present at the special meeting, abstentions, failures to vote (including a failure to authorize a proxy to vote on a Company stockholder’s behalf) and broker non-votes will have no effect on the outcome of the advisory compensation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2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(in person or by proxy) of the holders of a majority in voting power of the votes cast (excluding abstentions and broker non-votes) on such proposal at the special meeting (whether or not a quorum is present). Assuming a quorum is present at the special meeting, abstentions, failures to vote (including a failure to authorize a proxy to vote on a Company stockholder’s behalf) and broker non-votes will have no effect on the outcome of the adjournment proposal. The Company does not intend to call a vote on this proposal if the merger agreement proposal is approved at the special meeting.</w:t>
      </w:r>
    </w:p>
    <w:p>
      <w:pPr>
        <w:spacing w:after="0" w:line="75"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nominee does not have discretionary voting power with respect to that item and has not received voting instructions from the beneficial owner, but does have discretionary voting power over other “routine” items and submits votes for those matters. Because none of the proposals to be voted on at the special meeting is a routine matter for which nominees may have discretionary authority to vote, the Company does not expect any broker non-votes at the special meeting. As a result, no bank, broker or other nominee will be permitted to vote your shares of Company common stock at the special meeting without receiving instructions. You should consult your bank, broker or other nominee holder if you have questions about this. If there are any broker non-votes, they would have the effect of a vote “AGAINST” the merger agreement proposal and have no effect on the advisory compensation proposal and the adjournment proposal.</w:t>
      </w:r>
    </w:p>
    <w:p>
      <w:pPr>
        <w:spacing w:after="0" w:line="336"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w:t>
      </w:r>
    </w:p>
    <w:p>
      <w:pPr>
        <w:spacing w:after="0" w:line="135"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Company stockholders vote:</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17" w:lineRule="exact"/>
        <w:rPr>
          <w:sz w:val="20"/>
          <w:szCs w:val="20"/>
          <w:color w:val="auto"/>
        </w:rPr>
      </w:pPr>
    </w:p>
    <w:p>
      <w:pPr>
        <w:ind w:left="560" w:right="280"/>
        <w:spacing w:after="0" w:line="286" w:lineRule="auto"/>
        <w:rPr>
          <w:sz w:val="20"/>
          <w:szCs w:val="20"/>
          <w:color w:val="auto"/>
        </w:rPr>
      </w:pPr>
      <w:r>
        <w:rPr>
          <w:rFonts w:ascii="Times New Roman" w:cs="Times New Roman" w:eastAsia="Times New Roman" w:hAnsi="Times New Roman"/>
          <w:sz w:val="18"/>
          <w:szCs w:val="18"/>
          <w:color w:val="auto"/>
        </w:rPr>
        <w:t>For a discussion of the factors that the Board considered in determining to recommend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merger agreement proposal, please see the section of this proxy statement entitled “</w:t>
      </w:r>
      <w:r>
        <w:rPr>
          <w:rFonts w:ascii="Times New Roman" w:cs="Times New Roman" w:eastAsia="Times New Roman" w:hAnsi="Times New Roman"/>
          <w:sz w:val="18"/>
          <w:szCs w:val="18"/>
          <w:i w:val="1"/>
          <w:iCs w:val="1"/>
          <w:color w:val="auto"/>
        </w:rPr>
        <w:t>The Merger—Reasons for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55</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In addition, in considering the recommendation of the Board with respect to the merger agreement, you should be aware that some of the Company’s directors and executive officers have interests that may be different from, or in addition to, the interests of the Company stockholders generally. Please see the section of this proxy statement entitled “</w:t>
      </w:r>
      <w:r>
        <w:rPr>
          <w:rFonts w:ascii="Times New Roman" w:cs="Times New Roman" w:eastAsia="Times New Roman" w:hAnsi="Times New Roman"/>
          <w:sz w:val="18"/>
          <w:szCs w:val="18"/>
          <w:i w:val="1"/>
          <w:iCs w:val="1"/>
          <w:color w:val="auto"/>
        </w:rPr>
        <w:t>The Merger—Interests of the Company’s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77</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Company’s directors and executive officers intend to vote?</w:t>
      </w:r>
    </w:p>
    <w:p>
      <w:pPr>
        <w:spacing w:after="0" w:line="135" w:lineRule="exact"/>
        <w:rPr>
          <w:sz w:val="20"/>
          <w:szCs w:val="20"/>
          <w:color w:val="auto"/>
        </w:rPr>
      </w:pPr>
    </w:p>
    <w:p>
      <w:pPr>
        <w:ind w:left="540" w:right="340" w:hanging="424"/>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13, 2026, the directors and executive officers of the Company beneficially owned in the aggregate 42,265,090 shares of Company common stock, or approximately 23.32% of the outstanding shares of Company common stock.</w:t>
      </w:r>
    </w:p>
    <w:p>
      <w:pPr>
        <w:spacing w:after="0" w:line="51" w:lineRule="exact"/>
        <w:rPr>
          <w:rFonts w:ascii="Times New Roman" w:cs="Times New Roman" w:eastAsia="Times New Roman" w:hAnsi="Times New Roman"/>
          <w:sz w:val="18"/>
          <w:szCs w:val="18"/>
          <w:color w:val="auto"/>
        </w:rPr>
      </w:pPr>
    </w:p>
    <w:p>
      <w:pPr>
        <w:ind w:left="5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the section of this proxy statement entitled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118</w:t>
      </w:r>
      <w:r>
        <w:rPr>
          <w:rFonts w:ascii="Times New Roman" w:cs="Times New Roman" w:eastAsia="Times New Roman" w:hAnsi="Times New Roman"/>
          <w:sz w:val="18"/>
          <w:szCs w:val="18"/>
          <w:color w:val="auto"/>
        </w:rPr>
        <w:t>, the voting agreement stockholders have committed to vote in favor of the approval of the merger agreement proposal. Although none of the other directors or executive officers are obligated to vote to approve the merger agreement proposal, we currently expect that each of these individuals will vote all of his or her shares of Company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to be presented at the special meeting.</w:t>
      </w:r>
    </w:p>
    <w:p>
      <w:pPr>
        <w:spacing w:after="0" w:line="71" w:lineRule="exact"/>
        <w:rPr>
          <w:rFonts w:ascii="Times New Roman" w:cs="Times New Roman" w:eastAsia="Times New Roman" w:hAnsi="Times New Roman"/>
          <w:sz w:val="18"/>
          <w:szCs w:val="18"/>
          <w:color w:val="auto"/>
        </w:rPr>
      </w:pPr>
    </w:p>
    <w:p>
      <w:pPr>
        <w:ind w:left="560" w:right="1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termination rights as described in the section of this proxy statement entitled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the voting agreement stockholders entered into voting agreements with UHS pursuant to which the voting agreement stockholders agreed, among other things, to vote or cause to be voted all of Mr. Braunstein’s subject shares and Mr. Shachar’s subject shares, as applicable, (i) in favor of adopting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7" w:lineRule="auto"/>
        <w:rPr>
          <w:sz w:val="20"/>
          <w:szCs w:val="20"/>
          <w:color w:val="auto"/>
        </w:rPr>
      </w:pPr>
      <w:r>
        <w:rPr>
          <w:rFonts w:ascii="Times New Roman" w:cs="Times New Roman" w:eastAsia="Times New Roman" w:hAnsi="Times New Roman"/>
          <w:sz w:val="17"/>
          <w:szCs w:val="17"/>
          <w:color w:val="auto"/>
        </w:rPr>
        <w:t>merger agreement and any other actions contemplated by the merger agreement in respect of which the approval of the Company stockholders is requested; (ii) against any alternative takeover proposal from a third party, whether or not constituting a superior proposal; and (iii) against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 The voting agreements will terminate automatically, without any notice or other action by any person, upon the earliest of: (A) the effective time; (B) the valid termination of the merger agreement in accordance with its terms; (C) the entry, without the prior written consent of the voting agreement stockholders, into any material modification or amendment to the merger agreement that reduces the amount, changes the form or otherwise adversely affects the consideration payable to any of the voting agreement stockholders pursuant to the merger agreement as in effect on March 9, 2026; and (D) the mutual written agreement of all of the parties to the voting agreement. At the close of business on April 13, 2026, the record date of the special meeting,</w:t>
      </w:r>
    </w:p>
    <w:p>
      <w:pPr>
        <w:spacing w:after="0" w:line="4" w:lineRule="exact"/>
        <w:rPr>
          <w:sz w:val="20"/>
          <w:szCs w:val="20"/>
          <w:color w:val="auto"/>
        </w:rPr>
      </w:pPr>
    </w:p>
    <w:p>
      <w:pPr>
        <w:ind w:left="560" w:right="60"/>
        <w:spacing w:after="0" w:line="253" w:lineRule="auto"/>
        <w:rPr>
          <w:sz w:val="20"/>
          <w:szCs w:val="20"/>
          <w:color w:val="auto"/>
        </w:rPr>
      </w:pPr>
      <w:r>
        <w:rPr>
          <w:rFonts w:ascii="Times New Roman" w:cs="Times New Roman" w:eastAsia="Times New Roman" w:hAnsi="Times New Roman"/>
          <w:sz w:val="18"/>
          <w:szCs w:val="18"/>
          <w:color w:val="auto"/>
        </w:rPr>
        <w:t>(i) Mr. Braunstein’s subject shares consisted of 15,650,295 shares of Company common stock, which represented approximately 9.34% of the total outstanding voting power of the Company common stock as of the record date and (ii) Mr. Shachar’s subject shares consisted of 8,924,653 shares of Company common stock, which represented approximately 5.33% of the total outstanding voting power of the Company common stock as of the record date. For additional information on the voting agreement, please see the section of this proxy statement entitled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118</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540" w:right="360" w:hanging="424"/>
        <w:spacing w:after="0" w:line="286"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Company’s directors or executive officers have any interests in the merger that are different from, or in addition to, my interests as a Company stockholder?</w:t>
      </w:r>
    </w:p>
    <w:p>
      <w:pPr>
        <w:spacing w:after="0" w:line="64" w:lineRule="exact"/>
        <w:rPr>
          <w:sz w:val="20"/>
          <w:szCs w:val="20"/>
          <w:color w:val="auto"/>
        </w:rPr>
      </w:pPr>
    </w:p>
    <w:p>
      <w:pPr>
        <w:ind w:left="540" w:right="160" w:hanging="424"/>
        <w:spacing w:after="0" w:line="256"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proposals to be voted on at the special meeting, you should be aware that the Company’s directors and executive officers have interests in the merger that may be different from, or in addition to, your interests as a Company stockholder. The members of the Board were aware of and considered these interests in reaching the determination to approve and declare advisable the merger agreement and the consummation of the transactions contemplated by the merger agreement, including the merger, and to recommend that Company stockholders approve the merger agreement proposal. These interests are described in more detail, and certain of them are quantified, in the section of this proxy statement entitled “</w:t>
      </w:r>
      <w:r>
        <w:rPr>
          <w:rFonts w:ascii="Times New Roman" w:cs="Times New Roman" w:eastAsia="Times New Roman" w:hAnsi="Times New Roman"/>
          <w:sz w:val="18"/>
          <w:szCs w:val="18"/>
          <w:i w:val="1"/>
          <w:iCs w:val="1"/>
          <w:color w:val="auto"/>
        </w:rPr>
        <w:t>The Merger—Interests of the Company’s Directors and Executive Officers in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77</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transfer or sell my Company common stock before the special meeting?</w:t>
      </w:r>
    </w:p>
    <w:p>
      <w:pPr>
        <w:spacing w:after="0" w:line="135" w:lineRule="exact"/>
        <w:rPr>
          <w:sz w:val="20"/>
          <w:szCs w:val="20"/>
          <w:color w:val="auto"/>
        </w:rPr>
      </w:pPr>
    </w:p>
    <w:p>
      <w:pPr>
        <w:ind w:left="540" w:right="2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own Company common stock on the record date and transfer your shares after the record date but prior to the special meeting, you will retain your right to vote such shares of Company common stock at the special meeting. However, the right to receive the merger consideration will pass to the person to whom you transferred or sold your shares of Company common stock.</w:t>
      </w:r>
    </w:p>
    <w:p>
      <w:pPr>
        <w:spacing w:after="0" w:line="324"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Company common stock before the completion of the merger?</w:t>
      </w:r>
    </w:p>
    <w:p>
      <w:pPr>
        <w:spacing w:after="0" w:line="135" w:lineRule="exact"/>
        <w:rPr>
          <w:sz w:val="20"/>
          <w:szCs w:val="20"/>
          <w:color w:val="auto"/>
        </w:rPr>
      </w:pPr>
    </w:p>
    <w:p>
      <w:pPr>
        <w:ind w:left="540" w:right="120" w:hanging="424"/>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receive the merger consideration, you must hold your shares of Company common stock through the completion of the merger. Consequently, if you transfer your shares of Company common stock before the completion of the merger, you will have transferred your right to receive the merger consideration in the merger.</w:t>
      </w:r>
    </w:p>
    <w:p>
      <w:pPr>
        <w:spacing w:after="0" w:line="67" w:lineRule="exact"/>
        <w:rPr>
          <w:rFonts w:ascii="Times New Roman" w:cs="Times New Roman" w:eastAsia="Times New Roman" w:hAnsi="Times New Roman"/>
          <w:sz w:val="18"/>
          <w:szCs w:val="18"/>
          <w:color w:val="auto"/>
        </w:rPr>
      </w:pPr>
    </w:p>
    <w:p>
      <w:pPr>
        <w:jc w:val="both"/>
        <w:ind w:left="5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stockholders entitled to vote at the special meeting is earlier than the consummation of the merger. If you transfer your shares of Company common stock after the record date but before the closing of the merger, you will have the right to vote at the special meeting but not the right to receive the merger consideration in the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I am a Company stockholder of record or hold my shares in “street name”?</w:t>
      </w:r>
    </w:p>
    <w:p>
      <w:pPr>
        <w:spacing w:after="0" w:line="135" w:lineRule="exact"/>
        <w:rPr>
          <w:sz w:val="20"/>
          <w:szCs w:val="20"/>
          <w:color w:val="auto"/>
        </w:rPr>
      </w:pPr>
    </w:p>
    <w:p>
      <w:pPr>
        <w:ind w:left="540" w:right="280" w:hanging="424"/>
        <w:spacing w:after="0" w:line="261"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Company stockholder of record, you may vote electronically during the special meeting, vote by proxy over the telephone, vote by proxy via the internet or vote by proxy card by completing, signing, dating and mailing the enclosed proxy card in the envelope provided. You may still virtually attend the special meeting and vote online during the special meeting even if you have already voted by proxy, but your previous vote by proxy will not be counted.</w:t>
      </w:r>
    </w:p>
    <w:p>
      <w:pPr>
        <w:spacing w:after="0" w:line="71" w:lineRule="exact"/>
        <w:rPr>
          <w:rFonts w:ascii="Times New Roman" w:cs="Times New Roman" w:eastAsia="Times New Roman" w:hAnsi="Times New Roman"/>
          <w:sz w:val="18"/>
          <w:szCs w:val="18"/>
          <w:color w:val="auto"/>
        </w:rPr>
      </w:pPr>
    </w:p>
    <w:p>
      <w:pPr>
        <w:ind w:left="5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Company common stock are held in a stock brokerage account by a broker, bank or other nominee, you are considered the beneficial owner of shares held in “street name”, and you should have received a notice or voting instruction card with these proxy materials from that organization rather than from the Company. In order to vote, complete and mail the voting instruction card received from your broker, bank or other nominee to ensure that your vote is counted. Alternatively, you may vote by telephone or over the internet as indicated on the Notice and instructed by your broker, bank or other nominee. “Street name” holders may vote electronically at the special meeting if they obtain a legal proxy from their broker, bank or other nominee. They must follow the instructions from their broker, bank or other nominee included with these proxy materials, or contact their broker, bank or other nominee to request a legal proxy form. </w:t>
      </w:r>
      <w:r>
        <w:rPr>
          <w:rFonts w:ascii="Times New Roman" w:cs="Times New Roman" w:eastAsia="Times New Roman" w:hAnsi="Times New Roman"/>
          <w:sz w:val="18"/>
          <w:szCs w:val="18"/>
          <w:b w:val="1"/>
          <w:bCs w:val="1"/>
          <w:color w:val="auto"/>
        </w:rPr>
        <w:t>Without following the voting instructions provided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your broker, bank or other nominee, your Company common stock held in “street name” will not be voted, which will have the same effect as a vote “AGAINST” the merger agreement proposal, assuming a quorum is present, and will not have any effect on the advisory compensation proposal and adjournment proposal.</w:t>
      </w:r>
    </w:p>
    <w:p>
      <w:pPr>
        <w:spacing w:after="0" w:line="84" w:lineRule="exact"/>
        <w:rPr>
          <w:rFonts w:ascii="Times New Roman" w:cs="Times New Roman" w:eastAsia="Times New Roman" w:hAnsi="Times New Roman"/>
          <w:sz w:val="18"/>
          <w:szCs w:val="18"/>
          <w:color w:val="auto"/>
        </w:rPr>
      </w:pPr>
    </w:p>
    <w:p>
      <w:pPr>
        <w:ind w:left="560" w:right="3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detailed instructions on how to vote using one of these methods, please see the section of this proxy statement entitled “</w:t>
      </w:r>
      <w:r>
        <w:rPr>
          <w:rFonts w:ascii="Times New Roman" w:cs="Times New Roman" w:eastAsia="Times New Roman" w:hAnsi="Times New Roman"/>
          <w:sz w:val="18"/>
          <w:szCs w:val="18"/>
          <w:i w:val="1"/>
          <w:iCs w:val="1"/>
          <w:color w:val="auto"/>
        </w:rPr>
        <w:t>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Meeting—Voting Procedures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34</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plan to virtually attend the special meeting, we urge you to vote now to ensure your vote is counted. You may still attend the special meeting and vote during the live webcast if you have already voted by proxy, but your previous vote by proxy will not be counted.</w:t>
      </w:r>
    </w:p>
    <w:p>
      <w:pPr>
        <w:spacing w:after="0" w:line="306"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on any of the proposals?</w:t>
      </w:r>
    </w:p>
    <w:p>
      <w:pPr>
        <w:spacing w:after="0" w:line="135" w:lineRule="exact"/>
        <w:rPr>
          <w:sz w:val="20"/>
          <w:szCs w:val="20"/>
          <w:color w:val="auto"/>
        </w:rPr>
      </w:pPr>
    </w:p>
    <w:p>
      <w:pPr>
        <w:ind w:left="540" w:hanging="424"/>
        <w:spacing w:after="0" w:line="281" w:lineRule="auto"/>
        <w:tabs>
          <w:tab w:leader="none" w:pos="5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merger agreement proposal requires the affirmative vote (in person or by proxy) of the holders of a majority of the outstanding shares of Company common stock entitled to vote on the matter. If you abstain from voting, fail to authorize a proxy to vote your shares or fail to vote at the special meeting, or fail to instruct your broker, bank or other nominee on how to vote, the effect will be that the shares of Company common stock that you own will not be counted and will have the same effect as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the merger agreement proposal.</w:t>
      </w:r>
    </w:p>
    <w:p>
      <w:pPr>
        <w:spacing w:after="0" w:line="56" w:lineRule="exact"/>
        <w:rPr>
          <w:rFonts w:ascii="Times New Roman" w:cs="Times New Roman" w:eastAsia="Times New Roman" w:hAnsi="Times New Roman"/>
          <w:sz w:val="17"/>
          <w:szCs w:val="17"/>
          <w:color w:val="auto"/>
        </w:rPr>
      </w:pPr>
    </w:p>
    <w:p>
      <w:pPr>
        <w:ind w:left="560" w:right="18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advisory compensation proposal and the adjournment proposal each requires the affirmative vote (in person or by proxy) of the holders of a majority in voting power of the votes cast (excluding abstentions and broker non-votes) on such proposal at the special meeting. Assuming a quorum is present at the special meeting, if you fail to authorize a proxy to vote your shares or vote at the special meeting, or fail to instruct your broker, bank, or other nominee on how to vote, it will have no effect on the outcome of these proposals. Abstentions will not be considered votes cast and therefore will have no effect on the outcome of the advisory compensation proposal or the adjournment proposal.</w:t>
      </w:r>
    </w:p>
    <w:p>
      <w:pPr>
        <w:spacing w:after="0" w:line="312"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35"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of Record: If you return a signed and dated proxy card or otherwise vote without marking voting selections, your shares of Company</w:t>
      </w:r>
    </w:p>
    <w:p>
      <w:pPr>
        <w:spacing w:after="0" w:line="27" w:lineRule="exact"/>
        <w:rPr>
          <w:rFonts w:ascii="Times New Roman" w:cs="Times New Roman" w:eastAsia="Times New Roman" w:hAnsi="Times New Roman"/>
          <w:sz w:val="18"/>
          <w:szCs w:val="18"/>
          <w:color w:val="auto"/>
        </w:rPr>
      </w:pPr>
    </w:p>
    <w:p>
      <w:pPr>
        <w:ind w:left="5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will be voted in accordance with the recommendation of the Board: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73" w:lineRule="exact"/>
        <w:rPr>
          <w:rFonts w:ascii="Times New Roman" w:cs="Times New Roman" w:eastAsia="Times New Roman" w:hAnsi="Times New Roman"/>
          <w:sz w:val="18"/>
          <w:szCs w:val="18"/>
          <w:color w:val="auto"/>
        </w:rPr>
      </w:pPr>
    </w:p>
    <w:p>
      <w:pPr>
        <w:ind w:left="56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If you are a beneficial owner of shares held in “street name”, under applicable stock exchange rules the broker, bank or other nominee that holds your shares may generally vote on routine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74" w:lineRule="auto"/>
        <w:rPr>
          <w:sz w:val="20"/>
          <w:szCs w:val="20"/>
          <w:color w:val="auto"/>
        </w:rPr>
      </w:pPr>
      <w:r>
        <w:rPr>
          <w:rFonts w:ascii="Times New Roman" w:cs="Times New Roman" w:eastAsia="Times New Roman" w:hAnsi="Times New Roman"/>
          <w:sz w:val="17"/>
          <w:szCs w:val="17"/>
          <w:color w:val="auto"/>
        </w:rPr>
        <w:t>proposals but cannot vote without instructions on non-routine matters unless they have discretionary authority. None of the proposals to be voted on at the special meeting are considered routine proposals. As a result, if the broker, bank or other nominee that holds your shares does not receive instructions from you on how to vote your shares, a broker non-vote will occur. Therefore, we urge you to give voting instructions to your broker. Shares represented by such broker non-votes will not be counted as present or represented by proxy in determining whether there is a quorum and will be ignored for purposes of determining the outcome of the non-binding advisory vote on merger-related compensation arrangements so long as a quorum is otherwise present. A broker non-vote will have the same effect as a vote “AGAINST” the proposal to adopt the merger agreement.</w:t>
      </w:r>
    </w:p>
    <w:p>
      <w:pPr>
        <w:spacing w:after="0" w:line="317"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I have delivered my proxy?</w:t>
      </w:r>
    </w:p>
    <w:p>
      <w:pPr>
        <w:spacing w:after="0" w:line="131" w:lineRule="exact"/>
        <w:rPr>
          <w:sz w:val="20"/>
          <w:szCs w:val="20"/>
          <w:color w:val="auto"/>
        </w:rPr>
      </w:pPr>
    </w:p>
    <w:p>
      <w:pPr>
        <w:ind w:left="540" w:right="120" w:hanging="424"/>
        <w:spacing w:after="0" w:line="28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b w:val="1"/>
          <w:bCs w:val="1"/>
          <w:color w:val="auto"/>
        </w:rPr>
        <w:t>For the Company stockholders of record</w:t>
      </w:r>
      <w:r>
        <w:rPr>
          <w:rFonts w:ascii="Times New Roman" w:cs="Times New Roman" w:eastAsia="Times New Roman" w:hAnsi="Times New Roman"/>
          <w:sz w:val="18"/>
          <w:szCs w:val="18"/>
          <w:color w:val="auto"/>
        </w:rPr>
        <w:t>, any time after you have submitted a proxy card and before the proxy card is exercised, you may revoke or change your vote in one of three ways:</w:t>
      </w:r>
    </w:p>
    <w:p>
      <w:pPr>
        <w:spacing w:after="0" w:line="64"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bearing a later date (which automatically revokes the earlier proxy or voting instructions) in accordance with the instructions detailed in the section of this proxy statement entitled “</w:t>
      </w:r>
      <w:r>
        <w:rPr>
          <w:rFonts w:ascii="Times New Roman" w:cs="Times New Roman" w:eastAsia="Times New Roman" w:hAnsi="Times New Roman"/>
          <w:sz w:val="18"/>
          <w:szCs w:val="18"/>
          <w:i w:val="1"/>
          <w:iCs w:val="1"/>
          <w:color w:val="auto"/>
        </w:rPr>
        <w:t>The Special Meeting—Voting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 written notice of revocation to the Company’s Corporate Secretary at 622 Third Avenue, New York, New York 10017; or</w:t>
      </w:r>
    </w:p>
    <w:p>
      <w:pPr>
        <w:spacing w:after="0" w:line="142" w:lineRule="exact"/>
        <w:rPr>
          <w:rFonts w:ascii="Times New Roman" w:cs="Times New Roman" w:eastAsia="Times New Roman" w:hAnsi="Times New Roman"/>
          <w:sz w:val="17"/>
          <w:szCs w:val="17"/>
          <w:color w:val="auto"/>
        </w:rPr>
      </w:pPr>
    </w:p>
    <w:p>
      <w:pPr>
        <w:ind w:left="1080" w:right="160" w:hanging="424"/>
        <w:spacing w:after="0" w:line="282"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virtually attend the special meeting and vote during the live webcast. Attendance at the special meeting will not, in and of itself, constitute revocation of a previously granted proxy.</w:t>
      </w:r>
    </w:p>
    <w:p>
      <w:pPr>
        <w:spacing w:after="0" w:line="54" w:lineRule="exact"/>
        <w:rPr>
          <w:sz w:val="20"/>
          <w:szCs w:val="20"/>
          <w:color w:val="auto"/>
        </w:rPr>
      </w:pPr>
    </w:p>
    <w:p>
      <w:pPr>
        <w:jc w:val="both"/>
        <w:ind w:left="560" w:right="460"/>
        <w:spacing w:after="0" w:line="266" w:lineRule="auto"/>
        <w:rPr>
          <w:sz w:val="20"/>
          <w:szCs w:val="20"/>
          <w:color w:val="auto"/>
        </w:rPr>
      </w:pPr>
      <w:r>
        <w:rPr>
          <w:rFonts w:ascii="Times New Roman" w:cs="Times New Roman" w:eastAsia="Times New Roman" w:hAnsi="Times New Roman"/>
          <w:sz w:val="18"/>
          <w:szCs w:val="18"/>
          <w:color w:val="auto"/>
        </w:rPr>
        <w:t>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w:t>
      </w:r>
    </w:p>
    <w:p>
      <w:pPr>
        <w:spacing w:after="0" w:line="64" w:lineRule="exact"/>
        <w:rPr>
          <w:sz w:val="20"/>
          <w:szCs w:val="20"/>
          <w:color w:val="auto"/>
        </w:rPr>
      </w:pPr>
    </w:p>
    <w:p>
      <w:pPr>
        <w:ind w:left="560" w:right="40"/>
        <w:spacing w:after="0" w:line="262" w:lineRule="auto"/>
        <w:rPr>
          <w:sz w:val="20"/>
          <w:szCs w:val="20"/>
          <w:color w:val="auto"/>
        </w:rPr>
      </w:pPr>
      <w:r>
        <w:rPr>
          <w:rFonts w:ascii="Times New Roman" w:cs="Times New Roman" w:eastAsia="Times New Roman" w:hAnsi="Times New Roman"/>
          <w:sz w:val="18"/>
          <w:szCs w:val="18"/>
          <w:b w:val="1"/>
          <w:bCs w:val="1"/>
          <w:color w:val="auto"/>
        </w:rPr>
        <w:t>If you hold your shares in “street name</w:t>
      </w:r>
      <w:r>
        <w:rPr>
          <w:rFonts w:ascii="Times New Roman" w:cs="Times New Roman" w:eastAsia="Times New Roman" w:hAnsi="Times New Roman"/>
          <w:sz w:val="18"/>
          <w:szCs w:val="18"/>
          <w:color w:val="auto"/>
        </w:rPr>
        <w:t>”, you should follow the instructions provided by your broker, bank or other nominee to change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or revoke your proxy. If your shares are held of record by your broker, bank or other nominee you may change your vote by submitting new voting instructions to your broker, bank or other nominee in accordance with their procedures. For more information, please see the section of this proxy statement entitled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34</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140" w:hanging="424"/>
        <w:spacing w:after="0" w:line="258"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receive more than one set of voting materials, including multiple copies of this proxy statement or multiple proxy or voting instruction cards. For example, if you hold your Company common stock in more than one brokerage account, you will receive a separate voting instruction card for each brokerage account in which you hold Company common stock. </w:t>
      </w:r>
      <w:r>
        <w:rPr>
          <w:rFonts w:ascii="Times New Roman" w:cs="Times New Roman" w:eastAsia="Times New Roman" w:hAnsi="Times New Roman"/>
          <w:sz w:val="18"/>
          <w:szCs w:val="18"/>
          <w:b w:val="1"/>
          <w:bCs w:val="1"/>
          <w:color w:val="auto"/>
        </w:rPr>
        <w:t>Please submit each proxy and voting instruction card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receive in accordance with the instructions provided in this proxy statement to ensure that all of your shares of Company common stock are voted.</w:t>
      </w:r>
    </w:p>
    <w:p>
      <w:pPr>
        <w:spacing w:after="0" w:line="328"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my Company common stock in certificated form, should I send in my stock certificates now?</w:t>
      </w:r>
    </w:p>
    <w:p>
      <w:pPr>
        <w:spacing w:after="0" w:line="135" w:lineRule="exact"/>
        <w:rPr>
          <w:sz w:val="20"/>
          <w:szCs w:val="20"/>
          <w:color w:val="auto"/>
        </w:rPr>
      </w:pPr>
    </w:p>
    <w:p>
      <w:pPr>
        <w:ind w:left="540" w:right="20" w:hanging="424"/>
        <w:spacing w:after="0" w:line="25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hold stock certificates representing shares of Company common stock, you should not send in such certificates at this time. If and when the merger is consummated, each holder of Company common stock, who holds share certificates or book-entry shares not held through the Depository Trust Corporation (which we refer to as “DTC”), entitled to the merger consideration will receive a letter of transmittal and instructions advising such Company stockholder how to surrender its Company common stock in exchange for the merger consideration. You should not return your stock certificates with the enclosed proxy card, and you should not forward your stock certificates to the paying agent without a letter of transmittal. For more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information, please see the section of this proxy statement entitled “</w:t>
      </w:r>
      <w:r>
        <w:rPr>
          <w:rFonts w:ascii="Times New Roman" w:cs="Times New Roman" w:eastAsia="Times New Roman" w:hAnsi="Times New Roman"/>
          <w:sz w:val="18"/>
          <w:szCs w:val="18"/>
          <w:i w:val="1"/>
          <w:iCs w:val="1"/>
          <w:color w:val="auto"/>
        </w:rPr>
        <w:t>The Merger Agreement—Payment for Stock</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94</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right="720" w:hanging="424"/>
        <w:spacing w:after="0" w:line="286" w:lineRule="auto"/>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appraisal or dissenters’ rights under Delaware law instead of receiving the merger consideration for my Company common stock?</w:t>
      </w:r>
    </w:p>
    <w:p>
      <w:pPr>
        <w:spacing w:after="0" w:line="64" w:lineRule="exact"/>
        <w:rPr>
          <w:sz w:val="20"/>
          <w:szCs w:val="20"/>
          <w:color w:val="auto"/>
        </w:rPr>
      </w:pPr>
    </w:p>
    <w:p>
      <w:pPr>
        <w:ind w:left="540" w:hanging="424"/>
        <w:spacing w:after="0" w:line="258"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Company stockholders are entitled to exercise appraisal or dissenters’ rights under Section 262 so long as they take certain actions and meet certain conditions, including that they do not vote (in person or by proxy) in favor of the merger agreement proposal. For more information regarding appraisal rights, please see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 xml:space="preserve"> Failure to strictly comply with Section 262 may result in your loss or waiver of, or inability to exercise, appraisal rights. You are urged to consult your legal and financial advisors before attempting to exercise such rights.</w:t>
      </w:r>
    </w:p>
    <w:p>
      <w:pPr>
        <w:spacing w:after="0" w:line="328"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merger expected to be consummated?</w:t>
      </w:r>
    </w:p>
    <w:p>
      <w:pPr>
        <w:spacing w:after="0" w:line="135" w:lineRule="exact"/>
        <w:rPr>
          <w:sz w:val="20"/>
          <w:szCs w:val="20"/>
          <w:color w:val="auto"/>
        </w:rPr>
      </w:pPr>
    </w:p>
    <w:p>
      <w:pPr>
        <w:ind w:left="540" w:right="100" w:hanging="424"/>
        <w:spacing w:after="0" w:line="261"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towards completing the merger as soon as possible, and currently expect to consummate the merger during the third quarter of 2026, subject to receipt of the Company stockholder approval and the required regulatory approvals and the satisfaction or waiver of the other conditions to the merger described in the merger agreement. See the section of this proxy statement entitled “</w:t>
      </w:r>
      <w:r>
        <w:rPr>
          <w:rFonts w:ascii="Times New Roman" w:cs="Times New Roman" w:eastAsia="Times New Roman" w:hAnsi="Times New Roman"/>
          <w:sz w:val="18"/>
          <w:szCs w:val="18"/>
          <w:i w:val="1"/>
          <w:iCs w:val="1"/>
          <w:color w:val="auto"/>
        </w:rPr>
        <w:t>The Merger Agreement—Conditions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information.</w:t>
      </w:r>
    </w:p>
    <w:p>
      <w:pPr>
        <w:spacing w:after="0" w:line="324"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effect will the merger have on the Company?</w:t>
      </w:r>
    </w:p>
    <w:p>
      <w:pPr>
        <w:spacing w:after="0" w:line="135" w:lineRule="exact"/>
        <w:rPr>
          <w:sz w:val="20"/>
          <w:szCs w:val="20"/>
          <w:color w:val="auto"/>
        </w:rPr>
      </w:pPr>
    </w:p>
    <w:p>
      <w:pPr>
        <w:ind w:left="540" w:hanging="424"/>
        <w:spacing w:after="0" w:line="25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consummated, at the effective time, Merger Sub will be merged with and into the Company, with the Company surviving the merger as the surviving corporation and as an indirect wholly owned subsidiary of UHS. If the merger is consummated, UHS will use reasonable best efforts (and the Company will reasonably cooperate with UHS) to cause the Company common stock to be delisted from NASDAQ and deregistered under the Exchange Act as soon as reasonably practicable following the effective time, and, accordingly, the Company common stock will no longer be publicly traded, and the Company will no longer be subject to the reporting requirements under the Exchange Act. If the merger is consummated, you will not own any shares of the capital stock of the surviving corporation.</w:t>
      </w:r>
    </w:p>
    <w:p>
      <w:pPr>
        <w:spacing w:after="0" w:line="332"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merger?</w:t>
      </w:r>
    </w:p>
    <w:p>
      <w:pPr>
        <w:spacing w:after="0" w:line="135" w:lineRule="exact"/>
        <w:rPr>
          <w:sz w:val="20"/>
          <w:szCs w:val="20"/>
          <w:color w:val="auto"/>
        </w:rPr>
      </w:pPr>
    </w:p>
    <w:p>
      <w:pPr>
        <w:ind w:left="540" w:right="180" w:hanging="424"/>
        <w:spacing w:after="0" w:line="261"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pursuant to the merger will be a taxable transaction for U.S. federal income tax purposes. Please see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86</w:t>
      </w:r>
      <w:r>
        <w:rPr>
          <w:rFonts w:ascii="Times New Roman" w:cs="Times New Roman" w:eastAsia="Times New Roman" w:hAnsi="Times New Roman"/>
          <w:sz w:val="18"/>
          <w:szCs w:val="18"/>
          <w:color w:val="auto"/>
        </w:rPr>
        <w:t xml:space="preserve"> for a more detailed description of the U.S. federal income tax consequences of the merger. We urge you to consult your own tax advisor for a full understanding of how the merger will affect your federal, state, local and/or non-U.S. taxes.</w:t>
      </w:r>
    </w:p>
    <w:p>
      <w:pPr>
        <w:spacing w:after="0" w:line="324"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outstanding Company equity awards in the merger?</w:t>
      </w:r>
    </w:p>
    <w:p>
      <w:pPr>
        <w:spacing w:after="0" w:line="135" w:lineRule="exact"/>
        <w:rPr>
          <w:sz w:val="20"/>
          <w:szCs w:val="20"/>
          <w:color w:val="auto"/>
        </w:rPr>
      </w:pPr>
    </w:p>
    <w:p>
      <w:pPr>
        <w:ind w:left="540" w:right="100" w:hanging="424"/>
        <w:spacing w:after="0" w:line="261"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Company RSUs that are outstanding as of immediately prior to the effective time and that are or become vested as of the effective time will be canceled and converted into the right to receive an amount in cash (without interest) equal to the product (rounded up to the nearest cent) of (i) the aggregate number of shares of Company common stock underlying each such vested Company RSU and (ii) the merger consideration.</w:t>
      </w:r>
    </w:p>
    <w:p>
      <w:pPr>
        <w:spacing w:after="0" w:line="71" w:lineRule="exact"/>
        <w:rPr>
          <w:rFonts w:ascii="Times New Roman" w:cs="Times New Roman" w:eastAsia="Times New Roman" w:hAnsi="Times New Roman"/>
          <w:sz w:val="18"/>
          <w:szCs w:val="18"/>
          <w:color w:val="auto"/>
        </w:rPr>
      </w:pPr>
    </w:p>
    <w:p>
      <w:pPr>
        <w:jc w:val="both"/>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Company options outstanding and unexercised as of immediately prior to the effective time and that are or become vested as of the effective time will be canceled and converted into the right to receive an amount in cash (without interest) equal to the product (rounded up to the nearest cent) of (i)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 xml:space="preserve">aggregate number of shares of Company common stock subject to such vested Company option, and (ii) the excess, if any, of (A) the merger consideration over (B) the per share exercise price of such vested Company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vested Company option with a per share exercise price that is equal to or greater than the merger consideration shall be canceled for no consideration.</w:t>
      </w:r>
    </w:p>
    <w:p>
      <w:pPr>
        <w:spacing w:after="0" w:line="68"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Company RSUs and Company options that are unvested (and in the case of Company options, unexercised) at the effective time will generally be canceled and converted into equivalent UHS equity awards, with the same terms and conditions that applied to such award immediately prior to the effective time (including with respect to vesting, effect of termination of employment and, in the case of Company RSUs, dividend equivalents). The number of UHS Class B shares subject to each converted equity award will be equal to the exchange ratio multiplied by the number of shares of Company common stock subject to such award immediately prior to the effective time, with the exercise price of each converted Company option equal to the exercise price of the applicable Company option divided by the exchange ratio.</w:t>
      </w:r>
    </w:p>
    <w:p>
      <w:pPr>
        <w:spacing w:after="0" w:line="77" w:lineRule="exact"/>
        <w:rPr>
          <w:sz w:val="20"/>
          <w:szCs w:val="20"/>
          <w:color w:val="auto"/>
        </w:rPr>
      </w:pPr>
    </w:p>
    <w:p>
      <w:pPr>
        <w:ind w:left="560" w:right="30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 of this proxy statement entitled “</w:t>
      </w:r>
      <w:r>
        <w:rPr>
          <w:rFonts w:ascii="Times New Roman" w:cs="Times New Roman" w:eastAsia="Times New Roman" w:hAnsi="Times New Roman"/>
          <w:sz w:val="18"/>
          <w:szCs w:val="18"/>
          <w:i w:val="1"/>
          <w:iCs w:val="1"/>
          <w:color w:val="auto"/>
        </w:rPr>
        <w:t>The Merger Agreement—Treatment of Company Equity Awards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93</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closing of the merger subject to any conditions?</w:t>
      </w:r>
    </w:p>
    <w:p>
      <w:pPr>
        <w:spacing w:after="0" w:line="135" w:lineRule="exact"/>
        <w:rPr>
          <w:sz w:val="20"/>
          <w:szCs w:val="20"/>
          <w:color w:val="auto"/>
        </w:rPr>
      </w:pPr>
    </w:p>
    <w:p>
      <w:pPr>
        <w:ind w:left="540" w:right="100" w:hanging="424"/>
        <w:spacing w:after="0" w:line="28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obligations of each of the Company, UHS and Merger Sub to effect the merger are subject to the satisfaction or waiver, at or prior to the closing date, of certain conditions, including each of the following: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restraints will be in effect enjoining, restraining or otherwise making illegal, preventing or prohibiting the consummation of the merger;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waiting period (and any extension thereof) under the HSR Act applicable to the consummation of the merger will have expired or been terminated and (ii) any waiting periods (and any extension thereof) and any required approvals or authorizations applicable to the consummation of the merger under the applicable state healthcare laws as set forth in the confidential disclosure schedules to the merger agreement delivered to UHS and Merger Sub will have expired or been terminated or been obtained, respectively;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Company stockholder approval will have been obtained.</w:t>
      </w:r>
    </w:p>
    <w:p>
      <w:pPr>
        <w:spacing w:after="0" w:line="117" w:lineRule="exact"/>
        <w:rPr>
          <w:rFonts w:ascii="Times New Roman" w:cs="Times New Roman" w:eastAsia="Times New Roman" w:hAnsi="Times New Roman"/>
          <w:sz w:val="18"/>
          <w:szCs w:val="18"/>
          <w:color w:val="auto"/>
        </w:rPr>
      </w:pPr>
    </w:p>
    <w:p>
      <w:pPr>
        <w:ind w:left="110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party’s obligation to effect the merger is subject to, among other things, the accuracy, truthfulness and correctness of certain representations and warranties of the other party, subject to certain materiality qualifications, and the compliance or performance by such other party in all material respects with its obligations required to be complied with or performed at or prior to the effective time. The obligations of UHS and Merger Sub to effect the merger are further subject to the absence of any Material Adverse Effect (as defined in the section of this proxy statement entitled “</w:t>
      </w:r>
      <w:r>
        <w:rPr>
          <w:rFonts w:ascii="Times New Roman" w:cs="Times New Roman" w:eastAsia="Times New Roman" w:hAnsi="Times New Roman"/>
          <w:sz w:val="18"/>
          <w:szCs w:val="18"/>
          <w:i w:val="1"/>
          <w:iCs w:val="1"/>
          <w:color w:val="auto"/>
        </w:rPr>
        <w:t>The Merger Agreement—Representations and Warranties</w:t>
      </w:r>
      <w:r>
        <w:rPr>
          <w:rFonts w:ascii="Times New Roman" w:cs="Times New Roman" w:eastAsia="Times New Roman" w:hAnsi="Times New Roman"/>
          <w:sz w:val="18"/>
          <w:szCs w:val="18"/>
          <w:color w:val="auto"/>
        </w:rPr>
        <w:t>”) having occurred and being continuing.</w:t>
      </w:r>
    </w:p>
    <w:p>
      <w:pPr>
        <w:spacing w:after="0" w:line="77" w:lineRule="exact"/>
        <w:rPr>
          <w:rFonts w:ascii="Times New Roman" w:cs="Times New Roman" w:eastAsia="Times New Roman" w:hAnsi="Times New Roman"/>
          <w:sz w:val="18"/>
          <w:szCs w:val="18"/>
          <w:color w:val="auto"/>
        </w:rPr>
      </w:pPr>
    </w:p>
    <w:p>
      <w:pPr>
        <w:ind w:left="1100" w:righ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entitled “</w:t>
      </w:r>
      <w:r>
        <w:rPr>
          <w:rFonts w:ascii="Times New Roman" w:cs="Times New Roman" w:eastAsia="Times New Roman" w:hAnsi="Times New Roman"/>
          <w:sz w:val="18"/>
          <w:szCs w:val="18"/>
          <w:i w:val="1"/>
          <w:iCs w:val="1"/>
          <w:color w:val="auto"/>
        </w:rPr>
        <w:t>The Merger Agreement—Conditions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112</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consummated?</w:t>
      </w:r>
    </w:p>
    <w:p>
      <w:pPr>
        <w:spacing w:after="0" w:line="135" w:lineRule="exact"/>
        <w:rPr>
          <w:sz w:val="20"/>
          <w:szCs w:val="20"/>
          <w:color w:val="auto"/>
        </w:rPr>
      </w:pPr>
    </w:p>
    <w:p>
      <w:pPr>
        <w:ind w:left="540" w:right="40" w:hanging="424"/>
        <w:spacing w:after="0" w:line="25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stockholder approval is not obtained or if the merger is not consummated for any other reason, Company stockholders will not receive any payment for their shares of Company common stock in connection with the merger and holders of Company RSUs and Company options will not receive any payment for their vested equity awards and will not have their unvested equity awards converted to equivalent UHS equity awards in connection with the merger. Instead, the Company will remain an independent public company, the Company common stock will continue to be listed and traded on NASDAQ, the Company common stock will continue to be registered under the Exchange Act, the Company will continue to file periodic reports with the SEC, Company stockholders will continue to own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0"/>
        <w:spacing w:after="0" w:line="261" w:lineRule="auto"/>
        <w:rPr>
          <w:sz w:val="20"/>
          <w:szCs w:val="20"/>
          <w:color w:val="auto"/>
        </w:rPr>
      </w:pPr>
      <w:r>
        <w:rPr>
          <w:rFonts w:ascii="Times New Roman" w:cs="Times New Roman" w:eastAsia="Times New Roman" w:hAnsi="Times New Roman"/>
          <w:sz w:val="18"/>
          <w:szCs w:val="18"/>
          <w:color w:val="auto"/>
        </w:rPr>
        <w:t>their shares of Company common stock and will continue to be subject to the same general risks and opportunities as they currently are with respect to ownership of the Company common stock and holders of Company RSUs and Company options will continue to hold their Company equity awards and will continue to be subject to the same general risks and opportunities as they currently are with respect to ownership of the Company equity awards.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certain circumstances, if the merger agreement is terminated, the Company may be required to pay UHS a termination fee equal to</w:t>
      </w:r>
    </w:p>
    <w:p>
      <w:pPr>
        <w:spacing w:after="0" w:line="27" w:lineRule="exact"/>
        <w:rPr>
          <w:sz w:val="20"/>
          <w:szCs w:val="20"/>
          <w:color w:val="auto"/>
        </w:rPr>
      </w:pPr>
    </w:p>
    <w:p>
      <w:pPr>
        <w:ind w:left="560" w:right="120"/>
        <w:spacing w:after="0" w:line="260" w:lineRule="auto"/>
        <w:rPr>
          <w:sz w:val="20"/>
          <w:szCs w:val="20"/>
          <w:color w:val="auto"/>
        </w:rPr>
      </w:pPr>
      <w:r>
        <w:rPr>
          <w:rFonts w:ascii="Times New Roman" w:cs="Times New Roman" w:eastAsia="Times New Roman" w:hAnsi="Times New Roman"/>
          <w:sz w:val="18"/>
          <w:szCs w:val="18"/>
          <w:color w:val="auto"/>
        </w:rPr>
        <w:t>$32,394,000. For more information, please see the section of this proxy statement entitled “</w:t>
      </w:r>
      <w:r>
        <w:rPr>
          <w:rFonts w:ascii="Times New Roman" w:cs="Times New Roman" w:eastAsia="Times New Roman" w:hAnsi="Times New Roman"/>
          <w:sz w:val="18"/>
          <w:szCs w:val="18"/>
          <w:i w:val="1"/>
          <w:iCs w:val="1"/>
          <w:color w:val="auto"/>
        </w:rPr>
        <w:t>The Merger Agreement—Company Termination Fee</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115</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ind w:left="540" w:right="340" w:hanging="424"/>
        <w:spacing w:after="0" w:line="286" w:lineRule="auto"/>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Company stockholders do not approve the advisory compensation proposal on certain compensation that may be paid or become payable to the Company’s named executive officers in connection with the merger?</w:t>
      </w:r>
    </w:p>
    <w:p>
      <w:pPr>
        <w:spacing w:after="0" w:line="64" w:lineRule="exact"/>
        <w:rPr>
          <w:sz w:val="20"/>
          <w:szCs w:val="20"/>
          <w:color w:val="auto"/>
        </w:rPr>
      </w:pPr>
    </w:p>
    <w:p>
      <w:pPr>
        <w:ind w:left="540" w:right="2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this proposal is required by the SEC rules; however, the approval of this proposal is not a condition to the completion of the merger and the vote on this proposal is an advisory vote by Company stockholders and is not binding on the Company, UHS or Merger Sub. If the merger agreement is adopted by the Company stockholders and the merger is completed, the merger-related compensation will be paid to the Company’s named executive officers in accordance with the terms of the applicable compensation agreements and arrangements even if the Company stockholders do not approve of this proposal.</w:t>
      </w:r>
    </w:p>
    <w:p>
      <w:pPr>
        <w:spacing w:after="0" w:line="32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Company participate in householding?</w:t>
      </w:r>
    </w:p>
    <w:p>
      <w:pPr>
        <w:spacing w:after="0" w:line="135" w:lineRule="exact"/>
        <w:rPr>
          <w:sz w:val="20"/>
          <w:szCs w:val="20"/>
          <w:color w:val="auto"/>
        </w:rPr>
      </w:pPr>
    </w:p>
    <w:p>
      <w:pPr>
        <w:ind w:left="540" w:right="6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with respect to two or more Company stockholders sharing the same address and Company stockholders that maintain more than one stockholder account on the books of our transfer agent by delivering a single proxy statement addressed to those Company stockholders. This procedure, which is commonly referred to as “householding”, potentially means extra convenience for Company stockholders and cost savings for companies.</w:t>
      </w:r>
    </w:p>
    <w:p>
      <w:pPr>
        <w:spacing w:after="0" w:line="75" w:lineRule="exact"/>
        <w:rPr>
          <w:rFonts w:ascii="Times New Roman" w:cs="Times New Roman" w:eastAsia="Times New Roman" w:hAnsi="Times New Roman"/>
          <w:sz w:val="18"/>
          <w:szCs w:val="18"/>
          <w:color w:val="auto"/>
        </w:rPr>
      </w:pPr>
    </w:p>
    <w:p>
      <w:pPr>
        <w:ind w:left="560" w:right="2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with account holders who are Company stockholders may be “householding” our proxy materials. A single proxy statement may be delivered to multiple Company stockholders sharing an address unless contrary instructions have been received from the affected Company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75"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you may (i) notify your broker or (ii) contact Innisfree M&amp;A Incorporated at +1 (877) 750-5837 (U.S. and Canada) or +1 (412) 232-3651 (all other countries) or in writing at 501 Madison Avenue, 20th Floor, New York, New York 10022. Company stockholders who currently receive multiple copies of this proxy statement at their address and would like to request “householding” of their communications should contact their broker.</w:t>
      </w:r>
    </w:p>
    <w:p>
      <w:pPr>
        <w:spacing w:after="0" w:line="324"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evidence of ownership now?</w:t>
      </w:r>
    </w:p>
    <w:p>
      <w:pPr>
        <w:spacing w:after="0" w:line="135" w:lineRule="exact"/>
        <w:rPr>
          <w:sz w:val="20"/>
          <w:szCs w:val="20"/>
          <w:color w:val="auto"/>
        </w:rPr>
      </w:pPr>
    </w:p>
    <w:p>
      <w:pPr>
        <w:ind w:left="540" w:hanging="424"/>
        <w:spacing w:after="0" w:line="26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your shares of Company common stock are held in “street name” by your broker, bank or other nominee, you may receive instructions from your broker, bank or other nominee as to what action, if any, you need to take to effect the surrender of your “street name” shares in exchange for the merger consideration.</w:t>
      </w:r>
    </w:p>
    <w:p>
      <w:pPr>
        <w:spacing w:after="0" w:line="320"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35" w:lineRule="exact"/>
        <w:rPr>
          <w:sz w:val="20"/>
          <w:szCs w:val="20"/>
          <w:color w:val="auto"/>
        </w:rPr>
      </w:pPr>
    </w:p>
    <w:p>
      <w:pPr>
        <w:ind w:left="540" w:right="100" w:hanging="424"/>
        <w:spacing w:after="0" w:line="282"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for the special meeting are expected to be announced at the special meeting. In addition, within four business days following certification of the final voting results, the Company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file the final voting results of the special meeting (or, if the final voting results have not yet been certified, the preliminary results) with the SEC on a Current Report on Form 8-K.</w:t>
      </w:r>
    </w:p>
    <w:p>
      <w:pPr>
        <w:spacing w:after="0" w:line="306"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35" w:lineRule="exact"/>
        <w:rPr>
          <w:sz w:val="20"/>
          <w:szCs w:val="20"/>
          <w:color w:val="auto"/>
        </w:rPr>
      </w:pPr>
    </w:p>
    <w:p>
      <w:pPr>
        <w:ind w:left="54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Innisfree M&amp;A Incorporated to assist in the solicitation of proxies for the special meeting. The Company expects to pay Innisfree M&amp;A Incorporated a fee of up to $45,000, plus certain costs associated with additional services, as necessary, and Innisfree M&amp;A Incorporated will be reimbursed for certain out-of-pocket fees and expenses. The Company has agreed to indemnify Innisfree M&amp;A Incorporated against various liabilities and expenses that relate to or arise out of its solicitation of proxies (subject to certain exceptions). The Company also may reimburse banks, brokers and other custodians, nominees and fiduciaries or their respective agents for their expenses in forwarding proxy materials to beneficial owners of Company common stock. Directors, officers and employees of the Company also may solicit proxies by telephone, by electronic means or in person. They will not be paid any additional amounts for soliciting proxies.</w:t>
      </w:r>
    </w:p>
    <w:p>
      <w:pPr>
        <w:spacing w:after="0" w:line="333"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now?</w:t>
      </w:r>
    </w:p>
    <w:p>
      <w:pPr>
        <w:spacing w:after="0" w:line="135" w:lineRule="exact"/>
        <w:rPr>
          <w:sz w:val="20"/>
          <w:szCs w:val="20"/>
          <w:color w:val="auto"/>
        </w:rPr>
      </w:pPr>
    </w:p>
    <w:p>
      <w:pPr>
        <w:ind w:left="540" w:right="20" w:hanging="424"/>
        <w:spacing w:after="0" w:line="281" w:lineRule="auto"/>
        <w:tabs>
          <w:tab w:leader="none" w:pos="5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should read this proxy statement carefully and in its entirety, including the merger agreement along with the annexes of this proxy statement and all other documents that we refer to in this proxy statement, as they contain important information about, among other things, the merger and how it affects you. Then, return your completed, signed and dated proxy card(s) by mail in the enclosed postage-paid envelope or submit your voting instructions by telephone or over the internet as soon as possible so that your shares will be voted in accordance with your instructions.</w:t>
      </w:r>
    </w:p>
    <w:p>
      <w:pPr>
        <w:spacing w:after="0" w:line="309"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need assistance in completing your proxy card or have questions regarding the special meeting, please contact our proxy solicitor:</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Stockholders may call toll-free: +1 (877) 750-5837 (U.S. and Canada)</w:t>
      </w:r>
    </w:p>
    <w:p>
      <w:pPr>
        <w:spacing w:after="0" w:line="9" w:lineRule="exact"/>
        <w:rPr>
          <w:sz w:val="20"/>
          <w:szCs w:val="20"/>
          <w:color w:val="auto"/>
        </w:rPr>
      </w:pPr>
    </w:p>
    <w:p>
      <w:pPr>
        <w:ind w:left="5180" w:hanging="172"/>
        <w:spacing w:after="0"/>
        <w:tabs>
          <w:tab w:leader="none" w:pos="51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+1 (412) 232-3651 (all other countries)</w:t>
      </w:r>
    </w:p>
    <w:p>
      <w:pPr>
        <w:spacing w:after="0" w:line="20" w:lineRule="exact"/>
        <w:rPr>
          <w:rFonts w:ascii="Times New Roman" w:cs="Times New Roman" w:eastAsia="Times New Roman" w:hAnsi="Times New Roman"/>
          <w:sz w:val="17"/>
          <w:szCs w:val="17"/>
          <w:color w:val="auto"/>
        </w:rPr>
      </w:pPr>
    </w:p>
    <w:p>
      <w:pPr>
        <w:ind w:left="3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Brokers and banks may call: +1 (212) 750-5833</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This proxy statement contains forward-looking statements. We intend such forward-looking statements to be covered by the safe harbor provisions for forward-looking statements contained in Section 27A of the Securities Act of 1933, as amended, and Section 21E of the Exchange Act. All statements other than statements of historical facts contained in this proxy statement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include, without limitation, statements regarding the proposed merger and related matters; the expected timetable for completing the proposed merger; prospective performance and opportunities; general business outlook; filings and approvals relating to the proposed merger; the ability to complete the proposed merger considering the various closing conditions; and any assumptions underlying any of the foregoing.</w:t>
      </w:r>
    </w:p>
    <w:p>
      <w:pPr>
        <w:spacing w:after="0" w:line="172"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The forward-looking statements in this proxy statement and other such statements we publicly make from time to time are only predictions.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Risks and uncertainties include, among other things, (i) risks related to the satisfaction of the conditions to closing the merger (including the failure to obtain necessary regulatory approvals) in the anticipated timeframe or at all, including uncertainties as to whether the Company stockholders will approve the merger and the possibility that the merger does not close; (ii) risks related to the possibility that competing offers or acquisition proposals for the Company will be made; (iii) the occurrence of any event, change or other circumstances that could give rise to the termination of the merger agreement, including in circumstances which would require the Company to pay a termination fee; (iv) risks related to the ability to realize the anticipated benefits of the merger, including the possibility that the expected benefits from the merger will not be realized or will not be realized within the expected time period; (v) the risk that the businesses will not be integrated successfully; (vi) disruption from the merger making it more difficult to maintain business and operational relationships, including with customers, vendors, service providers and other business counterparties, and the Company’s ability to attract, motivate or retain key executives, employees and other associates; (vii) risk related to the merger diverting the Company’s management’s attention from ongoing business operations; (viii) negative effects of the announcement or the consummation of the merger on the market price of the Company common stock and on the Company’s operating results; (ix) the risk of litigation, including stockholder litigation, and/or regulatory actions, including any conditions, limitations or restrictions placed on approvals by any applicable governmental entities, related to the merger; and (x) (A) other risks and uncertainties discussed in the Company’s Annual Report on Form 10-K, for the fiscal year ended December 31, 2025 (in particular, the risk factors set forth under the headings “Risk Factors” and “Management’s Discussion and Analysis of Financial Condition and Results of Operations” in such Annual Report) and (B) other risk factors identified from time to time in other filings with the SEC. Filings with the SEC are available on the SEC’s website at www.sec.gov. See the section of this proxy statement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126</w:t>
      </w:r>
      <w:r>
        <w:rPr>
          <w:rFonts w:ascii="Times New Roman" w:cs="Times New Roman" w:eastAsia="Times New Roman" w:hAnsi="Times New Roman"/>
          <w:sz w:val="18"/>
          <w:szCs w:val="18"/>
          <w:color w:val="auto"/>
        </w:rPr>
        <w:t>. The forward-looking statements in this proxy statement are based upon information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4"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and the documents that we reference herein and have filed as exhibits to this proxy statement should be read with the understanding that our actual future results, levels of activity, performance and achievements may be materially different from what we expect. We qualify all of our forward-looking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by these cautionary statements. These forward-looking statements speak only as of the date of this proxy statement. Except as required by applicable law, we do not plan to publicly update or revise any forward-looking statements contained in this proxy statement or any forward-looking statements we may publicly make from time to time, whether as a result of any new information, future events or otherwise.</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proxy statement exclusively concerning UHS, Merger Sub and their affiliates has been supplied by UHS and Merger Sub and has not been independently verified by 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is a leading virtual behavioral healthcare provider committed to helping people lead healthier, happier lives through access to high-quality mental healthcare. The Company pioneered the ability to text with a licensed therapist from anywhere and now offers a comprehensive suite of mental health services, including therapy for individuals, teens, and couples, as well as psychiatric treatment and medication management (18+). With the Company’s core therapy offerings, members are matched with one of thousands of licensed therapists within days and can engage in live video, audio, or chat sessions, and/or unlimited asynchronous text messaging sessions. All care offered at the Company is delivered through an easy-to-use, fully encrypted web and mobile platform that meets HIPAA, federal, and state regulatory requirements. Most Americans have access to the Company’s services through their health insurance plans, employee assistance programs, their partnerships with leading healthcare companies, or as a free benefit through their employer, school, or government agency. The Company’s principal executive offices are located at 622 Third Avenue, New York, New York 10017 and its telephone number is (212) 284-7206. Shares of Company common stock are listed on NASDAQ under the trading symbol “TALK” and warrants to purchase Company common stock are listed on NASDAQ under the trading symbol “TALKW”.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Universal Health Services, Inc.</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UHS is one of the nation’s largest and most respected providers of hospital and healthcare services. UHS’s principal business is owning and operating, through their subsidiaries, acute care hospitals and outpatient facilities and behavioral health care facilities. UHS’s services provided by their hospitals include general and specialty surgery, internal medicine, obstetrics, emergency room care, radiology, oncology, diagnostic care, coronary care, pediatric services, pharmacy services and/or behavioral health services. UHS, through its wholly owned subsidiary UHS of Delaware, Inc., provides capital resources as well as a variety of administrative services to their facilities, including central purchasing, information services, finance and control systems, facilities planning, physician recruitment services, administrative personnel management, marketing and public relations. As of February 25, 2026, UHS owned and/or operated 346 inpatient behavioral health facilities and 168 outpatient and other facilities and various other related services located in 40 states, Washington, D.C., the United Kingdom and Puerto Rico. UHS’s principal executive offices are located at Universal Corporate Center, 367 South Gulph Road, P.O. Box 61558, King of Prussia, Pennsylvania 19406 and its telephone number is (610) 768-3300. Shares of UHS’s common stock are listed on NYSE under the trading symbol “UHS”.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UHS Merger Subsidiary, Inc.</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Merger Sub was formed on March 2, 2026 as a Delaware corporation, solely for the purpose of entering into the merger agreement and related agreements and consummating the transactions contemplated by the merger agreement. Merger Sub has not conducted any business other than in connection with its formation and the transactions contemplated by the merger agreement. Merger Sub is an indirect, wholly owned subsidiary of UHS. Upon consummation of the merger, Merger Sub will cease to exist. Merger Sub’s principal executive offices are located at Universal Corporate Center, 367 South Gulph Road, P.O. Box 61558, King of Prussia, Pennsylvania 19406 and its telephone number is (610) 768-3300.</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7"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We are furnishing this proxy statement to the Company stockholders as part of the solicitation of proxies by the Board for exercise at the special meeting and at any adjournments or postponements thereof.</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special meeting of Company stockholders will be held on May 29, 2026, at 9:00 a.m., Eastern time (unless the special meeting is adjourned or postponed). The special meeting will be completely virtual. Company stockholders will be able to virtually attend and vote at the special meeting by visiting www.proxydocs.com/TALK and using the 12-digit control number included in the proxy materials. Company stockholders are entitled to virtually attend the special meeting; however, you will only be entitled to vote at the special meeting if you were a stockholder of record at the close of business on April 13, 2026, the record date for the special meeting, or if you were a beneficial owner of Company common stock as of the record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is being held for the following purposes:</w:t>
      </w:r>
    </w:p>
    <w:p>
      <w:pPr>
        <w:spacing w:after="0" w:line="131"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merger agreement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advisory compensation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adjournment proposal.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copy of the merger agreement is attached as Annex A to this proxy statement and which we incorporate by reference into this proxy statement.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has carefully reviewed and considered the terms and conditions of the merger agreement and the transactions contemplated by the merger agreement, including the merger. The Board has unanimously (i) approved (including for the purposes of Section 203 of the DGCL) and declared advisable the merger agreement, the execution, delivery and performance thereof and the consummation of the transactions contemplated thereby, including the merger, (ii) determined that the merger and the other transactions contemplated by the merger agreement are advisable and fair to, and in the best interests of, the Company and the Company stockholders, and (iii) directed that the merger agreement be submitted to the Company stockholders entitled to vote thereon and recommended that the Company stockholders vote their shares of Company common stock in favor of the adoption of the merger agreement at the special meeting.</w:t>
      </w:r>
    </w:p>
    <w:p>
      <w:pPr>
        <w:spacing w:after="0" w:line="18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Accordingly,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5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factors that the Board considered in determining to recommend the approval of the merger agreement proposal, please see the section of this proxy statement entitled “</w:t>
      </w:r>
      <w:r>
        <w:rPr>
          <w:rFonts w:ascii="Times New Roman" w:cs="Times New Roman" w:eastAsia="Times New Roman" w:hAnsi="Times New Roman"/>
          <w:sz w:val="18"/>
          <w:szCs w:val="18"/>
          <w:i w:val="1"/>
          <w:iCs w:val="1"/>
          <w:color w:val="auto"/>
        </w:rPr>
        <w:t>The Merger—Reasons for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55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117"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at the close of business on April 13, 2026, you were a record holder of Company common stock </w:t>
      </w:r>
      <w:r>
        <w:rPr>
          <w:rFonts w:ascii="Times New Roman" w:cs="Times New Roman" w:eastAsia="Times New Roman" w:hAnsi="Times New Roman"/>
          <w:sz w:val="18"/>
          <w:szCs w:val="18"/>
          <w:color w:val="auto"/>
        </w:rPr>
        <w:t>(in other words, if your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was registered directly in your name with the transfer agent, Vinyl Equity, Inc.), you may vote at the special meeting or vote by proxy. You do not need to register to virtually attend and participate in the special meeting. You may virtually attend and participate by accessing www.proxydocs.com/TALK. Enter the 12-digit control number shown on your proxy card.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(“Street Name”) Stockholders</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If at the close of business on April 13, 2026, you were the beneficial owner of Company common stock held in “street name” </w:t>
      </w:r>
      <w:r>
        <w:rPr>
          <w:rFonts w:ascii="Times New Roman" w:cs="Times New Roman" w:eastAsia="Times New Roman" w:hAnsi="Times New Roman"/>
          <w:sz w:val="18"/>
          <w:szCs w:val="18"/>
          <w:color w:val="auto"/>
        </w:rPr>
        <w:t>(in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words, if your Company common stock is held in the name of your broker, bank or other nominee), the proxy materials should be forwarded to you by your broker, bank or other nominee. The broker, bank or other nominee is considered the stockholder of record for purposes of voting your shares at the special meeting. As the beneficial owner, you have the right to direct your broker, bank or other nominee as to how to vote your shares of Company common stock by following their instructions for voting. You are also invited to virtually attend the special meeting. “Street name” holders may vote online at the special meeting only if they obtain a 12-digit control number from their broker, bank, or other nominee (typically found on their voting instruction form). If you hold your shares in street name and want to participate in the special meeting but did not receive a 12-digit control number, you must contact your broker, bank or other nominee for instructions to access the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and Stockholders Entitled to Vote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Only Company stockholders of record at the close of business on April 13, 2026, the record date for the special meeting, will be entitled to notice of, and to vote at, the special meeting and any adjournment or postponement thereof. As of the close of business on the record date, there were 167,512,566 shares of Company common stock outstanding and entitled to vote. Each Company stockholder is entitled to one vote per share of Company common stock held by such Company stockholder on the record date on each of the proposals presented in this proxy statement.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special meeting and for 10 days prior to the special meeting, the names of Company stockholders entitled to vote at the special meeting will be available for inspection by any Company stockholder for any purpose germane to the meeting, between the hours of 9:00 a.m. and 5:00 p.m., Eastern time, at the Company’s principal executive offices located at 622 Third Avenue, New York, New York 10017, by contacting the Corporate Secretary of the Company. Participating Company stockholders who log on to the special meeting using their 12-digit control number will be able to examine the stockholder list during the special meeting by following the instructions provided on the meeting website at www.proxydocs.com/TALK.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presence, in person, or by remote communication, or represented by proxy, at the special meeting of the holders of a majority in voting power of the shares of the capital stock of the Company issued and outstanding and entitled to vote in person, or by remote communication, or represented by proxy, constitutes a quorum for the transaction of business at the special meeting. Virtual attendance at the special meeting constitutes presence in person for quorum purposes at the special meeting. Abstentions and broker non-votes will be counted toward the quorum requirement. If a quorum is not present or represented by proxy at the special meeting, then either (i) the person presiding over the meeting or (ii) a majority in voting power of the stockholders entitled to vote at the special meeting, present in person, or by remote communication, or represented by proxy, shall have the power to adjourn the special meeting from time to time until a quorum is present or represented. At such adjourned special meeting at which a quorum is present or represented, any business may be transacted that might have been transacted at the special meeting as originally noticed. If the adjournment is for more than 30 days, a notice of the adjourned meeting shall be given to each Company stockholder of record entitled to vote at the special meeting. If after the adjournment a new record date for determination of Company stockholders entitled to vote is fixed for the adjourned meeting, the Board shall fix as the record date for determining Company stockholders entitled to notice of such adjourned meeting the same or an earlier date as that fixed for determination of Company stockholders entitled to vote at the adjourned meeting, and shall give notice of the adjourned meeting to each Company stockholder of record entitled to vote at such meeting as of the record date so fixed for notice of such adjourned meeting. In the event that a quorum is not present at the special meeting, or if there are insufficient votes to adopt the merger agreement at the time of the special meeting, we expect that the special meeting will be adjourned or postponed to solicit additional proxies.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Merger Agreement Proposal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merger agreement proposal requires the affirmative vote (in person or by proxy) of the holders of a majority of the outstanding shares of Company common stock entitled to vote on the matter. Under Delaware law and the merger agreement, the receipt of such required vote is a condition to the consummation of the merger. Note that you may vote to approve the merger agreement proposal and vote not to approve the advisory compensation proposal or adjournment proposal and vice versa.</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Assuming a quorum is present at the special meeting, abstentions, failures to vote (including a failure to authorize a proxy to vote on a Company stockholder’s behalf) and broker non-votes will have the same effect as a vote “AGAINST” the merger agreement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Advisory Compensation Proposal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advisory compensation proposal requires the affirmative vote (in person or by proxy) of the holders of a majority in voting power of the votes cast (excluding abstentions and broker non-votes) on such proposal at the special meeting. Assuming a quorum is present at the special meeting, abstentions, failures to vote (including a failure to authorize a proxy to vote on a Company stockholder’s behalf) and broker non-votes will have no effect on the outcome of the advisory compensation proposal.</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vote on the advisory compensation proposal is a vote separate and apart from the vote to approve the merger agreement proposal, and approval of the advisory compensation proposal is not a condition to the consummation of the merger. Accordingly, you may vote to approve the merger agreement proposal and vote not to approve the advisory compensation proposal and vice versa. The inclusion of the advisory compensation proposal is required by the SEC rules and is advisory only. Because the vote on the advisory compensation proposal is advisory only, it will not be binding on the Company, the Board, UHS or the surviving corporation. Therefore, because the Company is contractually obligated to pay the compensation that may be paid or become payable to our named executive officers in connection with the consummation of the merger, if the merger is approved by our stockholders, such compensation will be payable, subject only to the conditions applicable thereto, regardless of the outcome of the vote on the advisory compensation proposal.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Adjournment Proposal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(in person or by proxy) of the holders of a majority in voting power of the votes cast (excluding abstentions and broker non-votes) on such proposal at the special meeting (whether or not a quorum is present). Assuming a quorum is present at the special meeting, abstentions, failures to vote (including a failure to authorize a proxy to vote on a Company stockholder’s behalf) and broker non-votes will have no effect on the outcome of the adjournment proposal. The Company does not intend to call a vote on this proposal if the merger agreement proposal is approved at the special meeting.</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vote on the adjournment proposal is a vote separate and apart from the vote to approve the merger agreement proposal, and approval of the adjournment proposal is not a condition to the consummation of the merger. Accordingly, you may vote to approve the merger agreement proposal and vote not to approve the adjournment proposal and vice versa.</w:t>
      </w:r>
    </w:p>
    <w:p>
      <w:pPr>
        <w:spacing w:after="0" w:line="176"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A broker “non-vote” occurs when a broker, bank or other nominee holding shares for a beneficial owner does not vote on a particular proposal because the nominee does not have discretionary voting power with respect to that item and has not received voting instructions from the beneficial owner, but does have discretionary voting power over other “routine” items and submits votes for those matters. Because none of the proposals to be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voted on at the special meeting is a routine matter for which nominees may have discretionary authority to vote, the Company does not expect any broker non-votes at the special meeting. As a result, no bank, broker or other nominee will be permitted to vote your shares of Company common stock at the special meeting without receiving instructions. You should consult your bank, broker or other nominee holder if you have questions about this. If there are any broker non-votes, they would have the effect of a vote “AGAINST” the merger agreement proposal and have no effect on the advisory compensation proposal and the adjournment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Whether or not you plan to virtually attend the special meeting and regardless of the number of shares of Company common stock you own, your careful consideration of, and vote on, the merger agreement is important and we encourage you to vote promptly.</w:t>
      </w:r>
    </w:p>
    <w:p>
      <w:pPr>
        <w:spacing w:after="0" w:line="158"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at the close of business on April 13, 2026, you were a record holder of Company common stock </w:t>
      </w:r>
      <w:r>
        <w:rPr>
          <w:rFonts w:ascii="Times New Roman" w:cs="Times New Roman" w:eastAsia="Times New Roman" w:hAnsi="Times New Roman"/>
          <w:sz w:val="18"/>
          <w:szCs w:val="18"/>
          <w:color w:val="auto"/>
        </w:rPr>
        <w:t>(in other words, you held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in your own name in the stock register maintained by our transfer agent, Vinyl Equity, Inc.) and to ensure that your shares of Company common stock are voted at the special meeting, we recommend that you provide voting instructions promptly by proxy, even if you plan to virtually attend the special meeting, using one of the following three methods.</w:t>
      </w:r>
    </w:p>
    <w:p>
      <w:pPr>
        <w:spacing w:after="0" w:line="84" w:lineRule="exact"/>
        <w:rPr>
          <w:sz w:val="20"/>
          <w:szCs w:val="20"/>
          <w:color w:val="auto"/>
        </w:rPr>
      </w:pPr>
    </w:p>
    <w:p>
      <w:pPr>
        <w:jc w:val="both"/>
        <w:ind w:left="1080" w:right="20" w:hanging="424"/>
        <w:spacing w:after="0" w:line="267"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To vote by mail using a proxy card, please complete, sign, date and mail the enclosed proxy card in the envelope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you return your signed proxy card to us before the special meeting, we will vote your shares as you direct. For your mailed proxy card to be counted, we must receive it before the start of the special meeting on May 29, 2026.</w:t>
      </w:r>
    </w:p>
    <w:p>
      <w:pPr>
        <w:spacing w:after="0" w:line="7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To vote by telephone, dial the toll-free number on the enclosed proxy card or voting instruction form using a touch-tone phone and follow the recorded instructions. Have your proxy available when you call. You will be asked to provide the 12-digit control number from the enclosed proxy card or voting instruction form. Your telephone vote must be received by 11:59 p.m. Eastern time on May 28, 2026, the day before the special meeting, to be counted.</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via the Internet</w:t>
      </w:r>
      <w:r>
        <w:rPr>
          <w:rFonts w:ascii="Times New Roman" w:cs="Times New Roman" w:eastAsia="Times New Roman" w:hAnsi="Times New Roman"/>
          <w:sz w:val="18"/>
          <w:szCs w:val="18"/>
          <w:color w:val="auto"/>
        </w:rPr>
        <w:t>: To vote via the internet, go to the website listed on the enclosed proxy card or voting instruction form and follow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on-screen instructions. Your internet vote must be received by 11:59 p.m. Eastern time on May 28, 2026, the day before the special meeting, to be counted.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also vote by virtually attending the special meeting and voting during the live webcast.</w:t>
      </w:r>
    </w:p>
    <w:p>
      <w:pPr>
        <w:spacing w:after="0" w:line="2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If, at the close of business on April 13, 2026, you were the beneficial owner of Company common stock held in “street name” </w:t>
      </w:r>
      <w:r>
        <w:rPr>
          <w:rFonts w:ascii="Times New Roman" w:cs="Times New Roman" w:eastAsia="Times New Roman" w:hAnsi="Times New Roman"/>
          <w:sz w:val="18"/>
          <w:szCs w:val="18"/>
          <w:color w:val="auto"/>
        </w:rPr>
        <w:t>(in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words, if your Company common stock is held in the name of your broker, bank or other nominee), you should have received a proxy card and voting instructions with these proxy materials from that organization rather than from the Company. In order to vote, complete and mail the proxy card received from your broker, bank or other nominee to ensure that your vote is counted. Alternatively, you may vote by telephone or over the internet as instructed by your broker. “Street name” holders may vote online at the special meeting only if they obtain a 12-digit control number from their broker, bank or other nominee (typically found on their voting instruction form). If you hold your shares in street name and want to participate in the special meeting but did not receive a 12-digit control number, you must contact your broker, bank or other nominee for instructions to access the meeting. </w:t>
      </w:r>
      <w:r>
        <w:rPr>
          <w:rFonts w:ascii="Times New Roman" w:cs="Times New Roman" w:eastAsia="Times New Roman" w:hAnsi="Times New Roman"/>
          <w:sz w:val="18"/>
          <w:szCs w:val="18"/>
          <w:b w:val="1"/>
          <w:bCs w:val="1"/>
          <w:color w:val="auto"/>
        </w:rPr>
        <w:t>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following the voting instructions provided by your broker, bank or other nominee, your shares of Company common stock held in “street name” will not be voted, which will have the same effect as a vote “AGAINST” the merger agreement proposal and will not have any effect on the advisory compensation proposal and adjournment proposal.</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additional questions about the merger, assistance in submitting proxies or voting, or to request additional copies of this proxy statement or the enclosed proxy card, please contact Innisfree M&amp;A Incorporated, which is acting as the Company’s proxy solicitation agent in connection with the merger, toll-free at +1 (877) 750-5837 (U.S. and Canada) or +1 (412) 232-3651 (all other countries). Brokers and banks may call at +1 (212) 750-5833.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Proxies Are Voted</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you complete and submit your proxy card or voting instructions, the persons named as proxies will follow your instructions. If you are a holder of record and you submit a proxy card or voting instructions but do not direct how to vote on each item, the persons named as proxies therein will vote in favor of the merger agreement proposal, the advisory compensation proposal and the adjournment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For Company stockholders of record, any time after you have submitted a proxy card and before the proxy card is exercised, you may revoke or change your vote in one of three ways:</w:t>
      </w:r>
    </w:p>
    <w:p>
      <w:pPr>
        <w:spacing w:after="0" w:line="67" w:lineRule="exact"/>
        <w:rPr>
          <w:sz w:val="20"/>
          <w:szCs w:val="20"/>
          <w:color w:val="auto"/>
        </w:rPr>
      </w:pPr>
    </w:p>
    <w:p>
      <w:pPr>
        <w:ind w:left="1080" w:right="5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bearing a later date (which automatically revokes the earlier proxy or voting instructions) in accordance with the instructions detailed in the section above entitled “</w:t>
      </w:r>
      <w:r>
        <w:rPr>
          <w:rFonts w:ascii="Times New Roman" w:cs="Times New Roman" w:eastAsia="Times New Roman" w:hAnsi="Times New Roman"/>
          <w:sz w:val="18"/>
          <w:szCs w:val="18"/>
          <w:i w:val="1"/>
          <w:iCs w:val="1"/>
          <w:color w:val="auto"/>
        </w:rPr>
        <w:t>—Voting Procedures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 written notice of revocation to the Company’s Corporate Secretary at 622 Third Avenue, New York, New York 10017; or</w:t>
      </w:r>
    </w:p>
    <w:p>
      <w:pPr>
        <w:spacing w:after="0" w:line="142" w:lineRule="exact"/>
        <w:rPr>
          <w:rFonts w:ascii="Times New Roman" w:cs="Times New Roman" w:eastAsia="Times New Roman" w:hAnsi="Times New Roman"/>
          <w:sz w:val="17"/>
          <w:szCs w:val="17"/>
          <w:color w:val="auto"/>
        </w:rPr>
      </w:pPr>
    </w:p>
    <w:p>
      <w:pPr>
        <w:ind w:left="1080" w:right="1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virtually attend the special meeting and vote during the live webcast. Attendance at the special meeting will not, in and of itself, constitute revocation of a previously granted proxy.</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w:t>
      </w:r>
    </w:p>
    <w:p>
      <w:pPr>
        <w:spacing w:after="0" w:line="17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If you hold your shares in “street name</w:t>
      </w:r>
      <w:r>
        <w:rPr>
          <w:rFonts w:ascii="Times New Roman" w:cs="Times New Roman" w:eastAsia="Times New Roman" w:hAnsi="Times New Roman"/>
          <w:sz w:val="18"/>
          <w:szCs w:val="18"/>
          <w:color w:val="auto"/>
        </w:rPr>
        <w:t>”, you will need to revoke or resubmit your proxy in accordance with the instructions provided by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bank or other nominee. If your broker, bank or other nominee allows you to submit a proxy via the internet or by telephone, you may be able to change your vote by submitting a new proxy via the internet or by telephone (or by mail). In order to virtually attend the special meeting and vote during the webcast, which will have the same effect as revoking any previously submitted voting instructions, follow the instructions provided by your broker, bank or other nominee for purposes of virtually attending and participating in the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bear the cost of soliciting proxies, including the expense of preparing, printing and distributing this proxy statement. The Company has engaged Innisfree M&amp;A Incorporated to assist in the solicitation of proxies for the special meeting. The Company expects to pay Innisfree M&amp;A Incorporated a fee of up to $45,000, plus certain costs associated with additional services, as necessary, and Innisfree M&amp;A Incorporated will be reimbursed for certain out-of-pocket fees and expenses. The Company has agreed to indemnify Innisfree M&amp;A Incorporated against various liabilities and expenses that relate to or arise out of its solicitation of proxies (subject to certain exceptions). The Company also may reimburse brokers, banks and other custodians, nominees and fiduciaries or their respective agents for their expenses in forwarding proxy materials to beneficial owners of Company common stock. Directors, officers and employees of the Company also may solicit proxies by telephone, by electronic means or in person. They will not be paid any additional amounts for soliciting proxies.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quorum is not present or represented at the special meeting then either (i) the person presiding over the meeting or (ii) a majority in voting power of the stockholders entitled to vote at the special meeting, present in person, or by remote communication, or represented by proxy, shall have the power to adjourn the special meeting from time to time until a quorum is present or represented without notice, provided that the time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place of the adjourned meeting, if any, are announced at the special meeting at which the adjournment is taken. If the adjournment is for more than 30 days, a notice of the adjourned meeting shall be given to each Company stockholder of record entitled to vote at the special meeting. If after the adjournment a new record date for determination of Company stockholders entitled to vote is fixed for the adjourned meeting, the Board shall fix as the record date for determining Company stockholders entitled to notice of such adjourned meeting the same or an earlier date as that fixed for determination of Company stockholders entitled to vote at the adjourned meeting, and shall give notice of the adjourned meeting to each Company stockholder of record entitled to vote at such meeting as of the record date so fixed for notice of such adjourned meeting. In the event that a quorum is not present at the special meeting, or if there are insufficient votes to adopt the merger agreement at the time of the special meeting, we expect that the special meeting will be adjourned or postponed to solicit additional proxies. At any subsequent reconvening of the special meeting at which a quorum is present, any business may be transacted that might have been transacted at the special meeting.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Company Directors, Executive Officers and Principal Securityholders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April 13, 2026, the directors and executive officers of the Company beneficially owned in the aggregate 42,265,090 shares of Company common stock, or approximately 23.32% of the outstanding shares of Company common stock.</w:t>
      </w:r>
    </w:p>
    <w:p>
      <w:pPr>
        <w:spacing w:after="0" w:line="16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the section of this proxy statement entitled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118</w:t>
      </w:r>
      <w:r>
        <w:rPr>
          <w:rFonts w:ascii="Times New Roman" w:cs="Times New Roman" w:eastAsia="Times New Roman" w:hAnsi="Times New Roman"/>
          <w:sz w:val="18"/>
          <w:szCs w:val="18"/>
          <w:color w:val="auto"/>
        </w:rPr>
        <w:t>, the voting agreement stockholders have committed to vote in favor of the approval of the merger agreement proposal. Although none of the other directors or executive officers are obligated to vote to approve the merger agreement proposal, we currently expect that each of these individuals will vote all of his or her shares of Company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to be presented at the special meeting.</w:t>
      </w:r>
    </w:p>
    <w:p>
      <w:pPr>
        <w:spacing w:after="0" w:line="18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voting agreement stockholders entered into voting agreements with UHS pursuant to which the voting agreement stockholders agreed, among other things, to vote or cause to vote all of Mr. Braunstein’s subject shares and Mr. Shachar’s subject shares, as applicable, (i) in favor of adopting the merger agreement and any other actions contemplated by the merger agreement in respect of which the approval of the Company stockholders is requested, (ii) against any alternative takeover proposal from a third party, whether or not constituting a superior proposal; and (iii) against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 At the close of business on April 13, 2026, the record date of the special meeting, (i) Mr. Braunstein’s subject shares consisted of 15,650,295 shares of Company common stock, which represented approximately 9.34% of the total outstanding voting power of the Company common stock as of the record date and (ii) Mr. Shachar’s subject shares consisted of 8,924,653 shares of Company common stock, which represented approximately 5.33% of the total outstanding voting power of the Company common stock as of the record date. The voting agreements will terminate if the merger agreement is terminated or the entry, without the prior written consent of the voting agreement stockholders, into any material modification or amendment to the merger agreement that reduces the amount, changes the form or otherwise adversely affects the consideration payable to any of the voting agreement stockholders pursuant to the merger agreement as in effect on March 9, 2026. For additional information on the voting agreements, please see the section of this proxy statement entitled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118</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merger is consummated, holders of record and beneficial owners of shares of Company common stock who do not vote in favor of the merger agreement proposal and who do not wish to accept the merger consideration will have the right to demand an appraisal of their shares of Company common stock under Section 262 and, if all procedures described in Section 262 are strictly complied with, to receive an amount in cash equal to the fair value of their shares of Company common stock exclusive of any element of value arising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from the accomplishment or expectation of the merger, as determined by the Delaware Court, together with interest (unless the Delaware Court in its discretion determines otherwise for good cause shown) to be paid upon the amount determined to be the fair value in lieu of receiving the merger consideration.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Company stockholders who properly demand, and do not otherwise lose, withdraw or waive, appraisal rights under Section 262 will not receive the merger consideration they would otherwise be entitled to receive pursuant to the merger agreement. Instead, they will receive an amount determined to be the “fair value” of their shares of Company common stock following petition to, and an appraisal by, the Delaware Court. Company stockholders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Company stockholders wishing to exercise appraisal rights are urged to consult their legal and financial advisors before attempting to exercise such rights.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holder of record or a beneficial owner of shares of Company common stock who (i) continuously holds such shares on and from the date of the making of the demand through the effective time, (ii) properly submits a written demand for appraisal of their applicable shares of Company common stock to the Company before the vote is taken on the merger agreement proposal at the special meeting, (iii) has not consented to or otherwise voted in favor of the merger (including by executing and returning a proxy) or otherwise withdrawn, lost or waived appraisal rights, (iv) strictly complies with all other procedures for exercising appraisal rights under Section 262, (v) does not thereafter fail to perfect or effectively withdraw his, her or its demand for appraisal of such shares or otherwise lose his, her or its rights to seek appraisal and (vi) in the case of a beneficial owner, a person who</w:t>
      </w:r>
    </w:p>
    <w:p>
      <w:pPr>
        <w:spacing w:after="0" w:line="5" w:lineRule="exact"/>
        <w:rPr>
          <w:sz w:val="20"/>
          <w:szCs w:val="20"/>
          <w:color w:val="auto"/>
        </w:rPr>
      </w:pPr>
    </w:p>
    <w:p>
      <w:pPr>
        <w:jc w:val="both"/>
        <w:ind w:left="120" w:right="100" w:hanging="4"/>
        <w:spacing w:after="0" w:line="265" w:lineRule="auto"/>
        <w:tabs>
          <w:tab w:leader="none" w:pos="41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w:t>
      </w:r>
    </w:p>
    <w:p>
      <w:pPr>
        <w:ind w:left="120" w:right="40" w:hanging="4"/>
        <w:spacing w:after="0" w:line="251" w:lineRule="auto"/>
        <w:tabs>
          <w:tab w:leader="none" w:pos="4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an address at which such beneficial owner consents to receive notices given by the Company and to be set forth on the Chancery List (as defined in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will be entitled to have their shares of Company common stock appraised by the Delaware Court and to receive payment in cash of the fair value of his, her or its shares of Company common stock exclusive of any element of value arising from the accomplishment or expectation of the merger, as determined by the Delaware Court, together with interest (unless the Delaware Court in its discretion determines otherwise for good cause shown) to be paid upon the amount determined to be the fair value from the effective time of the merger through the date of payment of the judgment. The summary included herein does not constitute legal or other advice, nor does it constitute a recommendation that persons seek to exercise their appraisal rights under Section 262. Failure to comply timely and properly with the requirements of Section 262 will result in the loss of a person’s appraisal rights under the DGCL. A person who loses his, her or its appraisal rights will be entitled to receive the merger consideration under the merger agreement.</w:t>
      </w:r>
    </w:p>
    <w:p>
      <w:pPr>
        <w:spacing w:after="0" w:line="19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copy of Section 262 may be accessed without subscription or cost at the following publicly available website: https://delcode.delaware.gov/title8/c001/sc09/index.html#262. The foregoing summary is not a complete statement of the law relating to appraisal rights and is qualified in its entirety by reference to Section 262 and any amendments thereto after the date of this proxy statement. Any person who desires to exercise his, her or its appraisal rights should review carefully Section 262 and is urged to consult his, her or its legal and financial advisors before electing or attempting to exercise such rights. For more information, please see the section of this proxy statement entitled “</w:t>
      </w:r>
      <w:r>
        <w:rPr>
          <w:rFonts w:ascii="Times New Roman" w:cs="Times New Roman" w:eastAsia="Times New Roman" w:hAnsi="Times New Roman"/>
          <w:sz w:val="18"/>
          <w:szCs w:val="18"/>
          <w:i w:val="1"/>
          <w:iCs w:val="1"/>
          <w:color w:val="auto"/>
        </w:rPr>
        <w:t>The Merger—Appraisal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DGCL and the Company’s bylaws, only the matters set forth in the notice of special meeting may be brought before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in completing your proxy card or have questions regarding the special meeting, please contact Innisfree M&amp;A Incorporated, which is acting as the Company’s proxy solicitation agent in connection with the merger, toll-free at +1 (877) 750-5837 (U.S. and Canada) or +1 (412) 232-3651 (all other countries). Brokers and banks may call at +1 (212) 750-5833.</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320" w:top="455" w:right="6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MERGER AGREEMENT PROPOSAL</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asking Company stockholders to vote on a proposal to adopt the merger agreement. You are urged to carefully read this proxy statement in its entirety for more detailed information concerning the merger and the merger agreement, including the information set forth under the sections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pages 42 and 91, respectively. A copy of the merger agreement is attached as Annex A to this proxy statement and which we incorporate by reference into this proxy statement. You are urged to read the merger agreement carefully and in its entirety. Approval of this proposal is a condition to the consummation of the merger. In the event this proposal is not approved, the merger cannot be consummated.</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merger agreement proposal requires the affirmative vote (in person or by proxy) of the holders of a majority of the outstanding shares of Company common stock entitled to vote on the matter. Abstentions, failures to vote (including a failure to authorize a proxy to vote on a Company stockholder’s behalf) and broker non-votes will have the same effect as a vote “AGAINST” the merger agreement proposal.</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merger agreement proposal.</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2: ADVISORY COMPENSATION PROPOSAL</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and Rule 14a-21 under the Exchange Act, we are asking Company stockholders to approve, by advisory (non-binding) vote, the compensation that may be paid or become payable to our named executive officers in connection with the consummation of the merger. As required by those rules, we ask the Company stockholders to vote on the approval of the following resolution:</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“RESOLVED, that the compensation that may be paid or become payable to the Company’s named executive officers in connection with the consummation of the merger, as disclosed pursuant to Item 402(t) of Regulation S-K in the table entitled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 including the associated narrative discussion, and the agreements, arrangements or understandings pursuant to which such compensation may be paid or become payable, are hereby APPROVED.”</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vote on executive compensation payable in connection with the consummation of the merger is a vote separate and apart from the vote to approve the merger agreement proposal, and approval of the advisory compensation proposal is not a condition to the consummation of the merger. Accordingly, you may vote to approve the merger agreement proposal and vote not to approve such compensation and vice versa. Because the vote is advisory in nature only, it will not be binding on the Company or the Board; as the Company is contractually obligated to pay such compensation, such compensation will be paid or become payable, subject only to the conditions applicable thereto, if the merger is consummated and regardless of the outcome of the advisory vote.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advisory compensation proposal requires the affirmative vote (in person or by proxy) of the holders of a majority in voting power of the votes cast (excluding abstentions and broker non-votes) on such proposal at the special meeting. Assuming a quorum is present at the special meeting, abstentions, failures to vote (including a failure to authorize a proxy to vote on a Company stockholder’s behalf) and broker non-votes will have no effect on the outcome of the advisory compensation proposal.</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advisory compensation proposal.</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to another time and place to permit further solicitation of proxies, if necessary, to obtain additional votes to approve the merger agreement proposal. The Company currently does not intend to propose adjournment of the special meeting if there are sufficient votes in favor of the merger agreement proposal.</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vote on the adjournment proposal is a vote separate and apart from the vote to approve the merger agreement proposal, and approval of the adjournment proposal is not a condition to the consummation of the merger.</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Company is asking you to authorize the holder of any proxy solicited by the Board to vote in favor of any adjournment of the special meeting, if necessary, to solicit additional proxies if there are not sufficient votes in favor of the merger agreement proposal at the time of the special meeting.</w:t>
      </w:r>
    </w:p>
    <w:p>
      <w:pPr>
        <w:spacing w:after="0" w:line="14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(in person or by proxy) of the holders of a majority in voting power of the votes cast (excluding abstentions and broker non-votes) on such proposal at the special meeting (whether or not a quorum is present). Assuming a quorum is present at the special meeting, abstentions, failures to vote (including a failure to authorize a proxy to vote on a Company stockholder’s behalf) and broker non-votes will have no effect on the outcome of the adjournment proposal. The Company does not intend to call a vote on this proposal if the merger agreement proposal is approved at the special meeting.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adjournment proposal.</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Company is seeking the adoption by the Company stockholders of the merger agreement the Company entered into on March 9, 2026 with UHS and Merger Sub. Under the terms of the merger agreement, subject to the satisfaction or (if permissible under applicable law) waiver of specified conditions, Merger Sub will be merged with and into the Company, with the Company surviving the merger as an indirect wholly owned subsidiary of UHS. </w:t>
      </w:r>
      <w:r>
        <w:rPr>
          <w:rFonts w:ascii="Times New Roman" w:cs="Times New Roman" w:eastAsia="Times New Roman" w:hAnsi="Times New Roman"/>
          <w:sz w:val="17"/>
          <w:szCs w:val="17"/>
          <w:b w:val="1"/>
          <w:bCs w:val="1"/>
          <w:color w:val="auto"/>
        </w:rPr>
        <w:t>The Board has unanimously approved and declared advisable the merger agreement and the transactions contemplated by 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 including the merger, and unanimously recommends that Company stockholders vote to adopt the merger agreement.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and the Company’s management team regularly review the Company’s performance and growth prospects in light of its business and developments in the virtual behavioral health industry and the macroeconomic environment, including the Company’s performance in the public markets. These reviews have included, among other things, consideration of potential strategic transactions to enhance stockholder value, including potential sale or merger transactions. As part of these reviews, the Board, together with the Company’s management and with assistance from the Company’s outside advisors, has evaluated whether the Company should continue to execute on its strategy as a stand-alone company, consider alternative capital allocation approaches, pursue various acquisitions or pursue a sale of the Company, considering whether any such potential alternative would enhance stockholder value along with the potential benefits and risks of any potential alternative. As a result, such reviews have been accompanied by periodic conversations between members of the Company’s management team and representatives of other companies in, or interested in, virtual behavioral health, as well as financial sponsors, regarding such opportunities.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prior to and since the Company became a publicly traded company through the deSPAC transaction in June 2021, various parties have approached the Company regarding possible strategic transactions involving the Company. In response to such expressions of interest, the Board, or the Company’s management in consultation with the Board, has generally engaged in preliminary discussions with such parties to assess their level of interest and ability to pursue a potential transaction that would enhance stockholder value. Generally, these discussions did not result in formal proposals for the Company to evaluate.</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early January 2025, representatives of an interested strategic counterparty (which we refer to as “Party A”) reached out to a member of the Company’s management to express interest in a potential strategic transaction with the Company. The Company held multiple discussions with Party A, including a conversation among Douglas Braunstein, Chairman of the Board, Jon Cohen, Chief Executive Officer of the Company and the Chief Executive Officer of Party A, on a potential transaction, including an acquisition of the Company by Party A. The Board remained informed on the status of, and held discussions concerning, the Company’s ongoing conversations with Party A. In March 2025, the Company and Party A decided to terminate discussions after the parties were unable to agree on acceptable terms for a potential transaction.</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After consideration of the potential interest in the Company, as well as the Company’s position in the public markets, including the performance of the Company’s stock price and the Company’s trading volume, the Board determined it would be advisable to engage advisors to become informed on the range of alternatives available to the Company in a strategic review process that would maximize the value to the Company’s stockholders. In the middle of 2025, the Board invited nationally recognized investment banks, including Wells Fargo, to provide a preliminary overview of the Company’s position in the market and to discuss potential strategic alternatives for the Company.</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July 10, 2025, the Board held a meeting with members of the Company’s management in attendance and received presentations from three nationally recognized investment banks, which included Wells Fargo,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provide an overview of the Company’s position in the market and on strategic alternatives. Prior to the presentations, Mr. Braunstein disclosed to the Board his role as Vice Chairman of Wells Fargo &amp; Company, an affiliate of Wells Fargo. Each of the financial advisors’ presentations included, among other things, representative work on comparable matters, the qualifications of the investment banks’ respective teams and a preliminary overview of the market. Following the presentations, Mr. Braunstein recused himself from any discussions and decisions concerning the potential engagement of an investment bank. The remaining members of the Board then discussed the qualifications and capabilities of each of the investment banks and preliminarily determined that, if the Board were to retain a financial advisor in connection with any strategic review process, the Board would consider retaining Wells Fargo at a later date to act as its financial advisor based on, among other factors, Wells Fargo’s overall reputation and experience as an investment banking firm and its knowledge of the Company’s business and operations and the virtual behavioral health industry. The Board then authorized members of the Company’s management to provide additional financial information, subject to a mutually agreeable non-disclosure agreement, on the Company for Wells Fargo to provide, and present to the Board at a later date, a more informed analysis of the Company’s position in the market and the range of strategic alternatives available to the Company.</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September 3, 2025, a representative of an interested strategic counterparty (which we refer to as “Party B”), reached out to a member of the Company’s management to set up a meeting to discuss an opportunity with the Company.</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On September 9, 2025, a representative of UHS held a conversation with a member of the Company’s management to discuss a potential transaction with the Company, including a potential purchase of the Company by UHS. The representative of UHS reached out to a member of the Company’s management to potentially discuss sharing information to evaluate a potential transaction.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September 11, 2025, a representative of Party B held a virtual meeting with Ian Harris, the Company’s Chief Financial Officer, to indicate Party B’s interest in a potential transaction with the Company.</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September 19, 2025, the Board held a virtual meeting with members of the Company’s management and representatives of each of Wells Fargo and Cravath, Swaine &amp; Moore LLP (which we refer to as “Cravath”), the Company’s outside counsel, in attendance. At the meeting, representatives of Cravath reviewed with the members of the Board their fiduciary duties under Delaware law and other legal matters in the context of a strategic review. At the meeting, the Board discussed the interest received from UHS and Party B in a potential strategic transaction with the Company. At the meeting, the Board discussed potentially forming a transaction committee of the Board to become more informed on potential alternatives for the Company and explore, review and evaluate potential strategic transactions that may be available to the Company. After discussion, the Board resolved to form a transaction committee (which we refer to as the “Transaction Committee”) composed of three independent directors, Curtis Warfield, Erez Shachar and Jacqueline Yeaney. To facilitate the Board’s review of strategic alternatives, the Transaction Committee was delegated the authority to consider and evaluate any potential strategic transactions, make a recommendation to the Board as to the advisability of any potential strategic transactions, consult with, and provide oversight and guidance to, the Company’s management regarding all matters related to any potential strategic transactions and recommend to the Board any and all actions with respect to any potential strategic transactions as the Transaction Committee determines necessary, appropriate or advisable and in the best interests of the Company. The decision of whether to enter into any potential strategic transaction remained with the Board, which received updates from the Transaction Committee on a periodic basis. At the same meeting, the Board invited representatives of Wells Fargo to provide an updated overview of the market and the process of initiating a potential review of strategic alternatives for the Company. Representatives of Wells Fargo also shared with the Board their views on the potential counterparties who may be interested or engaged in the strategic alternatives process. Mr. Braunstein then recused himself from the Board’s deliberations on Wells Fargo. The remaining members of the Board deliberated on Wells Fargo’s presentation and determined to proceed with retaining Wells Fargo as financial advisor to the Company, subject to entry into an acceptable engagement letter and receipt of satisfactory relationship disclosures. The Board then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authorized the members of the Company’s management to negotiate an appropriate engagement letter and fee proposal from Wells Fargo.</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September 25, 2025, Wells Fargo provided a relationship disclosure letter to Cravath which provided disclosures identifying prior and current engagements and relationships regarding Wells Fargo and its affiliates’ commercial relationships with each of the Company, including with Mr. Braunstein, and five potential counterparties to a potential strategic transaction, which letter was shared with the Transaction Committee.</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September 26, 2025, representatives of UHS held a call with members of the Company’s management to discuss a potential transaction with the Company. The discussion included, among other things, an overview of the strategic rationale of a potential sale of the Company to UHS.</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On September 30, 2025, the Transaction Committee held a virtual meeting with members of the Company’s management, the Chairman of the Board and representatives of each of Wells Fargo and Cravath in attendance. At the meeting, representatives of Cravath reviewed with the members of the Transaction Committee their fiduciary duties under Delaware law and other legal matters in the context of a review of a potential sale transaction. Representatives of Wells Fargo provided an overview of the potential strategic alternatives process, including an illustrative timeline of the process and an overview of the potential counterparties. Mr. Braunstein then recused himself from the deliberations, and the Transaction Committee then discussed, together with Cravath and members of the Company’s management, Wells Fargo’s engagement letter and fee proposal in connection with the evaluation of strategic alternatives for the Company. The Transaction Committee, together with Cravath and members of the Company’s management, also reviewed the relationship disclosures provided by Wells Fargo with respect to its relationships with the Company, including Mr. Braunstein, and certain potential counterparties and determined that these relationships would not impede Wells Fargo’s ability to represent the interests of the Company. Following such discussion, the Transaction Committee approved the Company’s entry into an engagement letter with Wells Fargo and authorized the Company’s management to execute and deliver such engagement letter, which letter was dated October 3, 2025, pursuant to which Wells Fargo would serve as the Company’s financial advisor in connection with the exploration of strategic alternatives and the potential execution of one or more transactions in connection with such review. Additionally, at the same meeting, the Transaction Committee formally approved the engagement of Cravath as outside legal counsel to the Company. Finally, the Transaction Committee directed the Company’s management to prepare long-term unaudited financial projections for the Company to be (i) used by it and the Board in their consideration of a potential transaction, (ii) used by Wells Fargo in its financial analyses in connection with a potential transaction and (iii) shared with parties potentially interested in a strategic transaction with the Company who have executed an acceptable non-disclosure agreement with the Company. The Transaction Committee directed the Company’s management to present such projections to the Transaction Committee at a later time.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October 13, 2025, the Transaction Committee held a virtual meeting with members of the Company’s management, the Chairman of the Board and representatives of each of Wells Fargo and Cravath in attendance. At the meeting, representatives of Wells Fargo provided an update to the Transaction Committee on the strategic alternatives process and discussed with the Transaction Committee the outreach plan to connect with potential counterparties. Representatives of Wells Fargo and the Company’s management also discussed with the Transaction Committee the materials, including a management presentation providing an overview of the Company’s business and long-term forecasts prepared by the Company’s management, to be shared with counterparties potentially interested in a transaction with the Company and who have signed a non-disclosure agreement. After discussion of the management presentation and the long-term forecasts, the Transaction Committee discussed certain revisions to such presentation and forecasts, and requested that the Company’s management circulate such revisions to the Transaction Committee for approval.</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October 19, 2025, the Transaction Committee authorized representatives of Wells Fargo to begin reaching out to potential counterparties on a confidential basis, which included a mix of strategic counterparties and financial sponsor counterparties. The potential counterparties included parties with whom the Company had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previously discussed potential strategic transactions and other parties, which based on their presence or interest in the behavioral health industry, the Transaction Committee and representatives of Wells Fargo believed were likely to be interested in a potential strategic transaction with the Company.</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October 20, 2025 to November 7, 2025, representatives of Wells Fargo contacted approximately 75 potential financial and strategic counterparties, including (i) UHS, (ii) a financial sponsor that we refer to as “Party C”, (iii) a financial sponsor that we refer to as “Party D”, (iv) a strategic counterparty that we refer to as “Party E”, (v) a financial sponsor that we refer to as “Party F”, (vi) a financial sponsor that we refer to as “Party G”, (vii) a financial sponsor that we refer to as “Party H”, (viii) a strategic counterparty owned by Party G and Party H that we refer to as “Party I” (which, together with Party G and Party H, we refer to as “Consortium A”) and (ix) a financial sponsor that we refer to as “Party J”, in each case, to solicit their potential interest in participating as a potential bidder in the Company’s strategic alternatives review process, and, at the Company’s direction, provided draft non-disclosure agreements to such interested counterparties. Pursuant to the above-mentioned instructions of the Transaction Committee, representatives of Wells Fargo were also in contact with representatives of Party A and Party B with respect to a potential transaction.</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From October 22, 2025 to December 2, 2025, the Company, with the assistance of Cravath, entered into non-disclosure agreements with 40 potential counterparties, including with (i) UHS of Delaware, a subsidiary of UHS, on October 22, 2025, (ii) Party A on November 10, 2025, (iii) Party B on October 28, 2025, (iv) Party C on November 4, 2025, (v) Party D on November 12, 2025, (vi) Party E on November 4, 2025, (vii) Party F on November 4, 2025, (viii) Party G on November 6, 2025, (ix) Party H on November 3, 2025 and (x) Party J on November 3, 2025. All of the non-disclosure agreements included, among other things, a customary standstill provision restricting the counterparty’s ability to make a public proposal to acquire the Company and customary limitations on engaging in discussions with other potential co-bidders or sources of debt or equity financing without the Company’s consent, subject to limited customary exceptions. All of the standstill restrictions would automatically terminate upon, among other circumstances, the Company’s entry into a definitive acquisition agreement with a third party.</w:t>
      </w:r>
    </w:p>
    <w:p>
      <w:pPr>
        <w:spacing w:after="0" w:line="19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October 22, 2025, representatives of Wells Fargo, at the request of the Company’s management, shared with the Transaction Committee through e-mail materials consisting of (i) certain updated unaudited financial projections for the Company for fiscal years 2025 through 2030 prepared by the Company’s management in connection with the Transaction Committee’s review of strategic alternatives (which we refer to as the “Company Forecasts”), which are summarized below under “</w:t>
      </w:r>
      <w:r>
        <w:rPr>
          <w:rFonts w:ascii="Times New Roman" w:cs="Times New Roman" w:eastAsia="Times New Roman" w:hAnsi="Times New Roman"/>
          <w:sz w:val="18"/>
          <w:szCs w:val="18"/>
          <w:i w:val="1"/>
          <w:iCs w:val="1"/>
          <w:color w:val="auto"/>
        </w:rPr>
        <w:t>—Certain Unaudited Financial Forecasts</w:t>
      </w:r>
      <w:r>
        <w:rPr>
          <w:rFonts w:ascii="Times New Roman" w:cs="Times New Roman" w:eastAsia="Times New Roman" w:hAnsi="Times New Roman"/>
          <w:sz w:val="18"/>
          <w:szCs w:val="18"/>
          <w:color w:val="auto"/>
        </w:rPr>
        <w:t>” and (ii) certain information regarding the Company’s business, financial position and results of operations prepared by the Company’s management, including the Company Forecasts for the fiscal years 2026 through 2028, to be shared with potential counterparties in connection with the strategic alternatives process who have executed an acceptable non-disclosure agreement (which we refer to as the “Company Financial Supplement”).</w:t>
      </w:r>
    </w:p>
    <w:p>
      <w:pPr>
        <w:spacing w:after="0" w:line="18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On October 23, 2025, the members of the Transaction Committee approved via e-mail the Company Forecasts and the distribution of the Company Financial Supplement to parties potentially interested in a strategic transaction with the Company.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23, 2025, members of the Company’s management and UHS’s management held an in-person introductory dinner. Representatives of Wells Fargo were also in attendance.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October 24, 2025, members of the Company’s management and UHS management held an in-person meeting at UHS’s offices. Representatives of Wells Fargo were also in attendance. The members of the Company’s management gave a management presentation to UHS, which included providing a general orientation of the industry and business profile of the Company, and discussed a potential strategic transaction.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From October 24, 2025 to December 16, 2025, members of the Company’s management gave management presentations to approximately 14 other potential counterparties to a transaction with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From November 11, 2025 to December 9, 2025, at the Company’s direction, representatives of Wells Fargo coordinated diligence calls with numerous potential counterparties, including UHS, Party C, Party D, Party H and Party J.</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November 18, 2025, at the Company’s direction, representatives of Wells Fargo shared the first-round process letter with potential counterparties who had executed a non-disclosure agreement with the Company. The first-round process letter requested potential counterparties to submit a non-binding proposal by December 17, 2025.</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November 24, 2025, representatives of Wells Fargo provided an update to the Transaction Committee via e-mail on the status of the outreach to potential counterparties.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2, 2025, members of the Company’s management held a management meeting at Cravath’s office with representatives from Consortium A, with representatives of Wells Fargo in attendance. The Company’s management discussed with representatives of Consortium A, among other things, the Company’s financial results and projections, a potential transaction with Party I and the value creation of a combined pro forma company with Party I.</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December 2, 2025, at the Company’s direction, representatives of Wells Fargo shared a presentation providing an overview of the Company with UHS. The presentation provided, among other things, an overview of the Company’s platform, growth strategy, artificial intelligence product, potential synergies and financial highlights.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 2025, the Board held a meeting with members of the Company’s management and representatives of Wells Fargo in attendance.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meeting, representatives of Wells Fargo updated the Board on the status of outreach to potential counterparties.</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December 17, 2025, the deadline to receive initial proposals pursuant to the Company’s first-round process letter, the Company received the following initial, non-binding proposals, in each case, subject to further diligence:</w:t>
      </w:r>
    </w:p>
    <w:p>
      <w:pPr>
        <w:spacing w:after="0" w:line="67" w:lineRule="exact"/>
        <w:rPr>
          <w:sz w:val="20"/>
          <w:szCs w:val="20"/>
          <w:color w:val="auto"/>
        </w:rPr>
      </w:pPr>
    </w:p>
    <w:p>
      <w:pPr>
        <w:ind w:left="1080" w:right="1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proposal from UHS to acquire 100% of the fully diluted shares of the Company common stock for a price between $4.05 and $4.25 per share in cash (which we refer to as the “December 17 Offer”);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proposal from Party C to acquire 100% of the fully diluted shares of the Company common stock for a price of $4.00 per share in cash, including an equity rollover by certain members of management and other stockholders to be discussed at a later time;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proposal from Party F to acquire 100% of the fully diluted shares of the Company common stock for a price of $4.22 per share in cash, subject to partnering with a strategic party in the behavioral health space;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proposal from Party J to acquire 100% of the fully diluted shares of the Company common stock for a price between $3.51 and $3.79 per share in cash and conditioned, among other things, on executing employment agreements with management personnel;</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indication of interest from Party A to acquire 100% of the fully diluted shares of the Company common stock, which did not include a price but indicated it would need to partner with a financial sponsor to formalize an offer;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non-binding proposal from Consortium A, which contemplated the reverse merger of Party I into the Company, with implied enterprise values of $517 million and $285 million for the Company and Party I, respectively, and a 60-day exclusivity period with Consortium A.</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the same day, Party D and Party E communicated to representatives of Wells Fargo that they would submit a non-binding proposal after the initial proposal deadline. On December 17, 2025, the Company’s closing stock price was $3.45.</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December 18, 2025, the Company received a non-binding proposal from Party D to acquire 100% of the fully diluted shares of the Company common stock for a price between $4.20 and $4.60 per share in cash and a non-binding proposal from Party E to acquire 100% of the fully diluted shares of the Company common stock for a price between $4.20 and $4.55 per share in cash.</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December 22, 2025, the Transaction Committee held a virtual meeting, with members of the Company’s management, the Chairman of the Board and representatives of each of Wells Fargo and Cravath in attendance. At the meeting, representatives of Cravath reviewed with the members of the Transaction Committee their fiduciary duties under Delaware law and other legal matters in the context of a review of a potential sale transaction. The Transaction Committee reviewed with the Company’s advisors the eight non-binding proposals and indications of interest received to date, including the relative indicative prices and/or price ranges, the financing expectations for the proposed transaction and available capital, the work performed and engagement by each potential counterparty to date, the open due diligence matters indicated by each counterparty and the indicated time necessary to complete the remaining due diligence. The Transaction Committee also deliberated on Consortium A’s proposal for a reverse merger with the Company, including whether Consortium A provided sufficient information for the Transaction Committee to evaluate whether the transaction would improve stockholder value.</w:t>
      </w:r>
    </w:p>
    <w:p>
      <w:pPr>
        <w:spacing w:after="0" w:line="188"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Ahead of the December 22, 2025 Transaction Committee meeting, at the direction of the Transaction Committee, representatives of Cravath had prepared auction drafts of the merger agreement to be shared with potential counterparties, with separate versions for financial sponsor counterparties and strategic counterparties. The auction drafts of the merger agreements, among other things, (i) contained customary representations, warranties and covenants for a transaction involving a financial sponsor counterparty and strategic counterparty, respectively, (ii) provided for customary termination rights of the Company, including to enter into an acquisition agreement for a superior proposal (subject to compliance with the terms of the agreement and the payment of a termination fee of 2.00% of the fully diluted equity value of the Company based on the purchase price), (iii) included a reverse termination fee payable by the buyer and (iv) included “hell or high water” obligations with respect to achieving required regulatory approvals. At the meeting, Cravath provided an overview of, and the Transaction Committee discussed, the proposed auction drafts of the merger agreements.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discussions on the drafts of the auction merger agreements, the Transaction Committee recommended that the Company continue discussions with all potential counterparties, other than Party J given Party J’s materially lower price. The Transaction Committee also recommended that the Company continue to engage with Consortium A, including inviting representatives of Consortium A to provide a management presentation to the Company’s management in order to obtain additional information to compare the value creation potential of Consortium A’s proposal with the other non-binding proposals. The Transaction Committee directed the Company’s management, with the assistance of representatives of Wells Fargo, to prepare a second-round process letter and, at the appropriate time, distribute the auction drafts of the merger agreement to the second-round bidders. The Transaction Committee also directed representatives of Wells Fargo and the Company’s management to invite UHS, Party A, Party C, Party D, Party E and Party F to the second round for such parties to conduct final due diligence.</w:t>
      </w:r>
    </w:p>
    <w:p>
      <w:pPr>
        <w:spacing w:after="0" w:line="19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December 23, 2025, representatives of Wells Fargo communicated to UHS, Party A, Party C, Party D, Party E and Party F that they were moving to the second round. Representatives of Wells Fargo also communicated, at the Company’s direction, to Consortium A the Transaction Committee’s request that Consortium A prepare a management presentation to the Company to discuss Consortium A’s proposal.</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December 30, 2025, at the Company’s direction, Wells Fargo granted each of UHS, Party A, Party C , Party D, Party E and Party F and their respective advisors access to the virtual data room.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From December 30, 2025 to February 26, 2026, representatives of UHS conducted extensive due diligence on the Company, including participating in diligence calls, sharing diligence requests and attending meetings with members of the Company’s management.</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From December 30, 2025 to February 26, 2026, Party A, Party C, Party D, Party E and Party F also conducted due diligence on the Company, including, for some counterparties, participating in diligence calls and sharing diligence requests.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January 14, 2026, members of the Company’s management attended the 44th Annual J.P. Morgan Healthcare Conference in San Francisco, California. Certain members of the Company’s management held a meeting and discussed a potential transaction with representatives of Party C at the conference.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January 22, 2026, members of UHS made a presentation to members of the Company’s management providing an overview of UHS’s business and potential synergies in a potential transaction between UHS and the Company.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26, 2026, at the Company’s direction, representatives of Wells Fargo circulated second round process letters to each of UHS, Party A, Party C, Party D, Party E and Party F, which included a deadline of February 26, 2026 to submit a definitive binding proposal. The second round process letters additionally included a request for a markup of the auction draft of the merger agreement and related Company disclosure letter by February 17, 2026.</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January 27, 2026, at the Company’s direction, representatives of Wells Fargo posted the auction drafts of the merger agreement in the virtual data room for all second-round bidders.</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January 27, 2026, management of UHS and the Company, with representatives of Wells Fargo in attendance, held a management meeting. The Company’s management shared a presentation providing an overview of the Company, its patient acquisition outlook, workforce capacity, level of care offerings and tech-enabled care delivery.</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January 28, 2026, the Board held a regular virtual meeting, with representatives of Wells Fargo and Cravath in attendance. Representatives of Wells Fargo provided a status update on the round two process with potential counterparties, including discussions had and feedback received from potential counterparties.</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On January 30, 2026, Party D informed representatives of Wells Fargo that it would no longer be pursuing a potential transaction with the Company and would not be submitting a second round bid.</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February 10, 2026, the Company posted the auction draft of the Company disclosure letter to the virtual data room for all second-round bidders.</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February 13, 2026, Party C informed representatives of Wells Fargo that it would no longer be pursuing a potential transaction with the Company and would not be submitting a second round bid.</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February 17, 2026, UHS sent representatives of Wells Fargo and Cravath its markup to the auction draft of the merger agreement and the Company disclosure letter. The draft merger agreement specified, among other things, that each of Messrs. Braunstein and Shachar, and certain of their affiliates who hold shares of Company common stock, would enter into voting agreements with UHS with respect to the shares beneficially owned by them in connection with the potential transaction. The draft merger agreement provided for, among other things, a limited “regulatory efforts” obligation that would not require UHS to agree to any remedy actions or defend litigation in order to obtain required regulatory approvals; a revised “fiduciary out” provision to require that in the case of any recommendation change not in response to a superior proposal, the Board may only change its recommendation that Company stockholders approve the merger agreement in response to an “intervening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event”; an increased termination fee payable by the Company of 3.75% of the fully diluted equity value of the Company based on the purchase price if the merger agreement is terminated upon certain circumstances; no reverse termination fee payable by UHS in the event of a failure to obtain regulatory approvals for the potential transaction; and a closing condition related to the expiration or termination of the waiting periods under, or approval of, certain state healthcare laws.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other party submitted a markup to the auction draft of the merger agreement or the Company disclosure letter at the requested deadline.</w:t>
      </w:r>
    </w:p>
    <w:p>
      <w:pPr>
        <w:spacing w:after="0" w:line="225"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the morning of February 19, 2026, the Company announced its fourth quarter and full year 2025 financial results. That same morning, members of the Company’s management held a call with investors discussing the Company’s fourth quarter and full year 2025 financial results. On the same day, representatives of Cravath and representatives of Wells Fargo held a call to discuss the latest updates with respect to the strategic alternatives process, including the markup to the merger agreement from UHS. On February 19, 2026, the closing stock price of the Company was $4.99.</w:t>
      </w:r>
    </w:p>
    <w:p>
      <w:pPr>
        <w:spacing w:after="0" w:line="16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On February 20, 2026, representatives of Cravath held a call with representatives of McDermott Will &amp; Schulte LLP (which we refer to as “McDermott”), outside counsel to UHS, to discuss certain matters raised in UHS’s markup to the merger agreement.</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February 23, 2026, representatives of Wells Fargo shared an updated relationship disclosure letter with Cravath, which provided disclosures identifying prior and current engagements and relationships regarding Wells Fargo and its affiliates’ commercial relationships with each of the Company, UHS, Party A, Party C, Party F and Consortium A, which was shared with the Board on February 27, 2026.</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Members of the management of the Company and Consortium A scheduled a management meeting for February 24, 2026, for the management of Party I to provide a management presentation to the Company’s management. The meeting was postponed to an indefinite time at the request of Consortium A.</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February 26, 2026, UHS submitted a binding proposal (which we refer to as the “February 26 Offer”) to representatives of the Company to acquire 100% of the fully diluted shares of the Company common stock for a price of $5.00 per share, which, according to the February 26 Offer, represented a 10.1% premium to the closing stock price of the Company common stock of $4.54 as of February 25, 2026 and an 18.1% premium to the 30-day volume weighted average price of the Company common stock as of such date. The February 26 Offer had no financing contingencies and was not subject to any due diligence condition. The February 26 Offer also included a condition by UHS to negotiate new employment agreements with six members of the senior management team prior to executing a definitive agreement and contemplated a mutually acceptable retention pool for existing management. The six members of senior management UHS initially suggested retaining were Dr. Cohen, Ian Harris (Chief Financial Officer), Gil Margolin (Chief Technology Officer), Erin Boyd (Chief Growth Officer, Payor), John Mooney (Chief Product Officer) and Nikole Benders-Hadi (Chief Medical Officer). On the same day, UHS shared drafts of the voting agreements to be executed between UHS and each of Messrs. Braunstein and Shachar and each of their affiliates who hold shares of Company common stock, including HEC Master Fund LP and Qumra Capital II, L.P. No other potential counterparties submitted an offer at the requested deadline. As the February 26 Offer included a request to retain members of senior management of the Company and contemplated a retention pool, the Board, after consultation with its advisors, determined not to share the February 26 Offer with the Company’s management until the February 26 Offer had been considered by the independent directors on the Board.</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On February 28, 2026, the independent members of the Board, consisting of all non-management directors, held a virtual executive session with representatives of each of Wells Fargo and Cravath present to discuss the process of the potential transaction to date, the February 26 Offer and the proposed responses to the February 26 Offer, including proposed responses to the draft definitive transaction documents received from McDermott. As</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February 26 Offer contemplated negotiating new employment agreements with the members of senior management prior to the execution of definitive agreements, the Company’s management, including Dr. Cohen, did not attend. At the meeting, representatives of Cravath reviewed with the members of the Board their fiduciary duties under Delaware law and other legal matters in the context of a review of a potential sale transaction. The Board received an updated relationship disclosure letter from Wells Fargo, shared by representatives of Wells Fargo on February 27, 2026, in respect of certain relationships between Wells Fargo and its affiliates, on the one hand, and the Company, UHS, Party C, Party A, Party F and Consortium A, on the other hand. The Board determined that these relationships would not impede Wells Fargo’s ability to represent the interests of the Company. A discussion ensued regarding the February 26 Offer, including the structure of the strategic transaction, consideration, necessary regulatory approvals, deal protections, new employment agreements with the six members of senior management, a retention program for existing senior management and the timing of the potential transaction. Representatives of Wells Fargo also shared an update on the strategic alternatives process with the Board, including outreach efforts to potential counterparties, interest received to date and the February 26 Offer. Representatives of Wells Fargo discussed with, and received questions from, the Board with respect to the status of the second round counterparties who did not submit a bid, noting that Party A and Party E remained interested in a potential transaction but required additional time to complete their due diligence and try to secure a partnership with a financial sponsor. Representatives of Wells Fargo also described Consortium A’s proposal for Party I to be acquired by the Company, with members of Consortium A holding interests in the pro forma entity. As Consortium A had not yet provided a management presentation despite their invitation to do so, the Board decided that they did not have sufficient information to evaluate the certainty or value of Consortium A’s proposal to advance Consortium A.</w:t>
      </w:r>
    </w:p>
    <w:p>
      <w:pPr>
        <w:spacing w:after="0" w:line="195"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At the same meeting, the Board and its advisors discussed the February 26 Offer of $5.00 per share of Company common stock as compared to the December 17 Offer that ranged from $4.05 to $4.25 per share of Company common stock. Representatives of Wells Fargo then reviewed with the Board Wells Fargo’s preliminary financial analysis of the Company. Representatives of Cravath discussed with the Board that the February 26 Offer contained a condition by UHS to negotiate new employment agreements with members of the senior management team prior to executing a definitive agreement.</w:t>
      </w:r>
    </w:p>
    <w:p>
      <w:pPr>
        <w:spacing w:after="0" w:line="3"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The Board discussed with representatives of each of Wells Fargo and Cravath potential options for responding to the February 26 Offer. The Board considered, among other things, the terms of the February 26 Offer and available alternatives, including the risk that UHS might terminate discussions with the Company if the Company were to propose a higher offer or provide additional time for other offers that may not materialize, the impact of various potential responses by the Company on the certainty of consummating an acceptable transaction in the near term and the risk of delaying the announcement of a transaction if the February 26 Offer was conditioned on executing new employment agreements with senior management. The Board also discussed the value to Company stockholders if the Company remained a standalone company. Following that discussion, the independent directors of the Board unanimously agreed to direct representatives of Wells Fargo to communicate to UHS on the Company’s behalf a counterproposal of $5.50 in cash per share of Company common stock. If UHS rejected the counterproposal, the independent directors of the Board authorized representatives of Wells Fargo to negotiate a potential improvement above the $5.00 per share of Company common stock reflected in the February 26 Offer and to communicate acceptance of an improved offer to UHS. The independent directors of the Board further decided that UHS’s willingness to enter into a definitive agreement should not be contingent on negotiating and executing new employment agreements with the proposed executives. The independent directors of the Board further authorized representatives of each of Wells Fargo and Cravath to continue to negotiate a potential transaction with UHS, and for members of the Company’s management to negotiate individual employment arrangements once a transaction price has been agreed with UHS. From February 28, 2026 until the execution of the merger agreement, the Board received periodic updates from representatives of each of Wells Fargo and Cravath regarding the status of and material developments in the negotiations with UHS.</w:t>
      </w:r>
    </w:p>
    <w:p>
      <w:pPr>
        <w:spacing w:after="0" w:line="19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February 28, 2026, at the Company’s direction, representatives of Wells Fargo communicated feedback from the Board to representatives of J.P. Morgan that the $5.00 in cash per share was insufficient and presented a counterproposal of $5.50 in cash consideration per share of Company common stock. Representatives of Wells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Fargo, at the Company’s direction, also communicated to representatives of J.P. Morgan that the Board would not accept the proposal that the execution of the definitive agreements be subject to executing employment agreements with certain members of senior management.</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March 1, 2026, representatives of J.P. Morgan verbally shared with representatives of Wells Fargo an updated offer for the Company of $5.10 in cash consideration per share of Company common stock. Representatives of Wells Fargo, at the Company’s direction, communicated to representatives of J.P. Morgan that such offer was insufficient and a higher offer would be necessary. On the same day, representatives of J.P. Morgan shared with representatives of Wells Fargo a revised offer for the Company of $5.25 in cash consideration per share of Company common stock (which we refer to as the “March 1 Offer”). Representatives of J.P. Morgan also noted that the March 1 Offer also included the condition of new employment agreements with the Company’s senior management prior to executing a definitive merger agreement. After much discussion, representatives of Wells Fargo, on behalf of the Company and at the Company’s direction, communicated to representatives of J.P. Morgan that, subject to Board approval and finalization of definitive agreements, the $5.25 in cash consideration per share of Company common stock in the March 1 Offer would be acceptable to the Company.</w:t>
      </w:r>
    </w:p>
    <w:p>
      <w:pPr>
        <w:spacing w:after="0" w:line="18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Between February 28, 2026 and March 9, 2026, the Company’s advisors, at the direction of the Chairman of the Board, discussed with representatives of UHS certain employment matters, including the size and mechanics of the retention pool, the potential Section 280G gross-up for Mr. Harris and the new employment agreements with the Company’s senior management that UHS had indicated would be a condition to executing a definitive merger agreement.</w:t>
      </w:r>
    </w:p>
    <w:p>
      <w:pPr>
        <w:spacing w:after="0" w:line="180"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On the morning of March 2, 2026, representatives of Cravath, based on the guidance from the Board and on behalf of the Company, sent a draft of the merger agreement to representatives of McDermott. The draft of the merger agreement provided for, among other things, a termination fee payable by the Company of 3.50% of the fully diluted equity value of the Company based on the purchase price if the merger agreement is terminated upon certain circumstances; a heightened “regulatory efforts” obligation that would require UHS to take certain actions in order to obtain required regulatory approvals unless such actions would reasonably be expected to be material to the combined company (measured relative to the size of the Company and its subsidiaries, taken as a whole); and the removal of the expiration or termination of the waiting period, or approvals, under applicable state healthcare laws as a closing condition. The draft merger agreement did not include a reverse termination fee payable by UHS. Later in the same day, Cravath shared revised drafts of the Company disclosure letter and voting agreements with representatives of McDermott. In the evening of the same day, representatives of Cravath and representatives of McDermott held a virtual call to discuss open issues on the most recent draft of the merger agreement.</w:t>
      </w:r>
    </w:p>
    <w:p>
      <w:pPr>
        <w:spacing w:after="0" w:line="17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the evening of March 2, 2026, members of UHS management held a call with Dr. Cohen to discuss employment agreements and retention strategies, including the execution of employment agreements prior to entering into a definitive agreement.</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From March 2, 2026 until March 7, 2026, representatives of the Company uploaded confirmatory diligence materials to the virtual data room in response to questions from UHS and representatives of UHS.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3, 2026, the Company identified that there were 2,288,899 shares of unvested Company common stock held by certain Company stockholders, including Mr. Braunstein, Mr. Harris and other individuals, and subject to the sponsor support agreement in connection with the Company’s deSPAC transaction in 2021 (which we refer to such unvested shares as the “unvested founder shares”). Such unvested founder shares would vest in accordance with the sponsor support agreement but would be forfeited to, and be canceled by, the Company if the price per share of the Company common stock did not achieve a certain price per share on or prior to June 22, 2026. If the Company accepted the March 1 Offer, the unvested founder shares would not vest and would be forfeited to the Company. The unvested founder shares were included in the total share count of the Company shared with UHS and upon which UHS made the March 1 Offer.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3, 2026, representatives of J.P. Morgan and representatives of Wells Fargo, at the Company’s direction, discussed employment offer term sheets for senior members of the Company’s management to be executed prior to any potential signing.</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March 3, 2026, representatives of McDermott sent a draft of the merger agreement to representatives of Cravath on behalf of UHS. The revised draft of the merger agreement provided for, among other things, a lighter “regulatory efforts” obligation that would not require UHS to take certain actions that would limit UHS’s freedom of action that would in the reasonable good faith judgment of UHS be reasonably likely to materially impair the benefits or advantages UHS expects to receive from the transaction; and reinsertion of the expiration or termination of the waiting period, or approvals, under applicable state healthcare laws as a closing condition. The revised draft of the merger agreement also explicitly contemplated the parties to schedule in the Company disclosure letter the members of management who would execute employment offer letters prior to signing.</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the morning of March 4, 2026, the Board held a virtual meeting with the Company’s management and representatives of each of Wells Fargo and Cravath in attendance. At the meeting, representatives of Cravath reviewed with the members of the Board their fiduciary duties under Delaware law and other legal matters in the context of a review of a potential sale transaction. Representatives of Cravath discussed with the Board open issues on the merger agreement including the approval, termination or expiration of any waiting periods required under state healthcare laws as a closing condition; UHS’s “regulatory efforts” obligations; employee-related matters, including the treatment of unvested Company equity awards, treatment of closing year annual bonuses and mitigation of Section 280G of the Code exposure; and key employee retention matters. Representatives of Cravath then discussed with the Board a summary of the key terms in the merger agreement. Representatives of Wells Fargo provided an update to the Board on discussions with UHS, including UHS conditioning the execution of employment offer letters by certain key executives as a condition to signing, and reviewed with the Board Wells Fargo’s preliminary financial analysis of the Company. The Board authorized representatives of each of Wells Fargo and Cravath to continue the negotiations with UHS.</w:t>
      </w:r>
    </w:p>
    <w:p>
      <w:pPr>
        <w:spacing w:after="0" w:line="19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March 4, 2026, representatives of Cravath and McDermott exchanged drafts of the merger agreement. On the same day, representatives of J.P. Morgan shared with representatives of Wells Fargo initial drafts of the employment offer term sheets for Dr. Cohen, Mr. Harris, Mr. Margolin,</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Ms. Boyd, Dr. Benders-Hadi and Mr. Mooney. Given concerns with management’s potential reaction to certain of the terms proposed, at the direction of the Chairman of the Board, representatives of Wells Fargo held discussions with representatives of J.P. Morgan to suggest improvements to these employment offer term sheets, and limiting the number of employees requested to sign employment offer term sheets prior to signing, before sharing such term sheets with members of the Company’s management.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5, 2026, the Board held a virtual meeting with the Company’s management and representatives of each of Wells Fargo and Cravath in attendance. In advance of the meeting, representatives of Wells Fargo shared an updated relationship disclosure letter, dated as of March 3, 2026, to the Board, which provided updated disclosures identifying prior and current engagements and relationships regarding Wells Fargo and its affiliates’ commercial relationships with each of the Company, UHS and Hudson Executive Capital LP (the investment manager of a significant stockholder of the Company and the entity of which Mr. Braunstein is the co-founder and managing partner) (which we refer to as “HEC”). The Board determined that these relationships did not impede Wells Fargo’s ability to represent the interests of the Company. At the meeting, representatives of Cravath reviewed with the members of the Board their fiduciary duties under Delaware law and other legal matters in the context of a review of a potential sale transaction. Representatives of Cravath presented an update on the status of negotiations with UHS, including open issues from the draft merger agreement and employment matters. This included UHS’s unwillingness to execute a definitive agreement without certain members of management executing employment offer term sheets. Members of management, including Dr. Cohen, then exited the meeting and the independent directors of the Board continued in an executive session. In the executive session, the independent directors of the Board discussed the status of Mr. Harris’ potential excise tax payments under Section 280G of the Code and potential arrangements to address the excise tax payments, including a</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gross-up. Mr. Braunstein also raised with the Board that he, Mr. Harris and other individuals party to the sponsor support agreement held unvested founder shares and that the outstanding number of shares presented to UHS had included the unvested founder shares. The price of $5.25 per share of Company common stock contemplated by the March 1 Offer, subject to execution of definitive agreements, had, according to UHS, been calculated based on assumptions which included that all of the outstanding shares of Company common stock were entitled to receive the merger consideration. Given his interest in the unvested founder shares, Mr. Braunstein then recused himself from further discussion on the unvested founder shares and left the meeting. The remaining members of the Board then discussed how they would like to proceed in discussions with UHS with respect to the unvested founder shares. This discussion included the possibility of reopening discussions on price per share of Company common stock with UHS to reflect the unvested founder shares that will be forfeited or using this information to improve other terms of the proposal to finalize a transaction. After discussions with representatives of each of Cravath and Wells Fargo, the remaining members of the Board determined that it would be unlikely for UHS to increase their proposal price from $5.25 per share of Company common stock to reflect the unvested founder shares and instructed the advisors not to reopen the price per share discussion. The remaining members of the Board determined that the advisors should inform UHS of the unvested founder shares as leverage to resolve any outstanding issues in the potential transaction. Following such discussion, Mr. Braunstein and members of the Company’s management, including Dr. Cohen, rejoined the meeting. The Board directed representatives of each of Wells Fargo and Cravath to continue negotiations with UHS on any open issues, including employee retention and term sheets for certain members of senior management. Representatives of Cravath reviewed proposed Board resolutions to the Board and the Board determined that the terms of the merger agreement, the merger and the other transactions contemplated by the merger agreement are fair to, and in the best interests of, the Company and the stockholders of the Company and authorized members of the Company’s management to execute a definitive merger agreement with UHS if the open employment-related matters could be resolved prior to market open the next day.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same day, representatives of Cravath and McDermott exchanged drafts of the merger agreement.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the evening of March 5, 2026, at the Company’s direction, representatives of Wells Fargo shared with representatives of J.P. Morgan a revised offer letter term sheet for Dr. Cohen.</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On March 6, 2026, at the Company’s direction, representatives of Wells Fargo requested through e-mail that the Board extend the Board’s authorization to finalize a definitive agreement with UHS. The Board approved this request.</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afternoon of March 6, 2026, representatives of each of Cravath, McDermott, Wells Fargo, J.P. Morgan and Stevens &amp; Lee, outside counsel to UHS, held a virtual meeting to discuss the open items in the merger agreement and the Company disclosure letter. After the call, representatives of Cravath shared drafts of the merger agreement and the Company disclosure letter with McDermott on behalf of the Company.</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the same day, Cravath shared with McDermott revised employment offer term sheets for Dr. Cohen, Mr. Margolin, Mr. Mooney, Ms. Boyd and Dr. Benders-Hadi. Immediately after, representatives of Wells Fargo, at the Company’s direction, and representatives of J.P. Morgan exchanged drafts of the term sheets for the five members of the Company’s management, with discussions regarding Mr. Harris’ status ongoing.</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the evening of March 6, 2026, the Board held a virtual meeting with the Company’s management and representatives of each of Wells Fargo and Cravath in attendance. At the meeting, representatives of Cravath reviewed with the members of the Board their fiduciary duties under Delaware law and other legal matters in the context of a review of a potential sale transaction. Representatives of Cravath reviewed with the Board the terms of the proposed merger agreement, including the outcome of the open issues that were discussed at the Board meeting on March 5, 2026. Representatives of Cravath noted the merger agreement provided to the Board at this meeting was in substantially final form. Representatives of Wells Fargo reviewed with the Board the status of the negotiations with UHS and provided an update on the employment offer term sheets presented to the retained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7"/>
          <w:szCs w:val="17"/>
          <w:color w:val="auto"/>
        </w:rPr>
        <w:t>executives, noting that these executives had executed employment offer term sheets in the form that the executives were willing to accept and had shared such signed term sheets with UHS. Representatives of Wells Fargo reviewed with the Board Wells Fargo’s financial analyses of the proposed transaction and rendered to the Board Wells Fargo’s oral opinion, which was subsequently confirmed in writing by delivery of Wells Fargo’s written opinion, dated March 6, 2026, which is attached to this proxy statement as Annex D, to the effect that, as of such date and based upon and subject to the various assumptions made, procedures followed, matters considered, and qualifications and limitations on the scope of the review undertaken by Wells Fargo in preparing its opinion, the merger consideration to be paid to the holders of Company common stock (other than canceled shares and appraisal shares) in the merger was fair, from a financial point of view, to such holders. For a detailed discussion of Wells Fargo’s opinion, see the section of this proxy statement entitled “</w:t>
      </w:r>
      <w:r>
        <w:rPr>
          <w:rFonts w:ascii="Times New Roman" w:cs="Times New Roman" w:eastAsia="Times New Roman" w:hAnsi="Times New Roman"/>
          <w:sz w:val="17"/>
          <w:szCs w:val="17"/>
          <w:i w:val="1"/>
          <w:iCs w:val="1"/>
          <w:color w:val="auto"/>
        </w:rPr>
        <w:t>—Opinion of Wells Fargo</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63</w:t>
      </w:r>
      <w:r>
        <w:rPr>
          <w:rFonts w:ascii="Times New Roman" w:cs="Times New Roman" w:eastAsia="Times New Roman" w:hAnsi="Times New Roman"/>
          <w:sz w:val="17"/>
          <w:szCs w:val="17"/>
          <w:color w:val="auto"/>
        </w:rPr>
        <w:t>. Following additional discussion and consideration of the proposed merger agreement and the merger and other transactions contemplated by the merger agreement, including those discussed in “</w:t>
      </w:r>
      <w:r>
        <w:rPr>
          <w:rFonts w:ascii="Times New Roman" w:cs="Times New Roman" w:eastAsia="Times New Roman" w:hAnsi="Times New Roman"/>
          <w:sz w:val="17"/>
          <w:szCs w:val="17"/>
          <w:i w:val="1"/>
          <w:iCs w:val="1"/>
          <w:color w:val="auto"/>
        </w:rPr>
        <w:t>—Reasons for the Merger</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55</w:t>
      </w:r>
      <w:r>
        <w:rPr>
          <w:rFonts w:ascii="Times New Roman" w:cs="Times New Roman" w:eastAsia="Times New Roman" w:hAnsi="Times New Roman"/>
          <w:sz w:val="17"/>
          <w:szCs w:val="17"/>
          <w:color w:val="auto"/>
        </w:rPr>
        <w:t>, the Board resolved to proceed with the proposal from UHS and unanimously (i) approved (including for the purposes of Section 203 of the DGCL) and declared advisable the merger agreement, the execution, delivery and performance of the merger agreement and the consummation of the transactions contemplated thereby, including the merger, (ii) determined that the terms of the merger agreement, the merger and the other transactions contemplated by the merger agreement are fair to, and in the best interests of, the Company and the stockholders of the Company and</w:t>
      </w:r>
    </w:p>
    <w:p>
      <w:pPr>
        <w:spacing w:after="0" w:line="10" w:lineRule="exact"/>
        <w:rPr>
          <w:sz w:val="20"/>
          <w:szCs w:val="20"/>
          <w:color w:val="auto"/>
        </w:rPr>
      </w:pPr>
    </w:p>
    <w:p>
      <w:pPr>
        <w:ind w:left="120" w:right="240" w:hanging="4"/>
        <w:spacing w:after="0" w:line="260" w:lineRule="auto"/>
        <w:tabs>
          <w:tab w:leader="none" w:pos="4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be submitted to the Company’s stockholders at the special meeting and recommended that the stockholders of the Company vote to adopt the merger agreement at the special meeting.</w:t>
      </w:r>
    </w:p>
    <w:p>
      <w:pPr>
        <w:spacing w:after="0" w:line="18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After the Board meeting and on the same evening of March 6, 2026, members of management from the Company and UHS held a virtual meeting to discuss any open items in the merger agreement, with representatives of each of Cravath, Wells Fargo, McDermott, Stevens &amp; Lee and J.P. Morgan in attendance. This included discussing the restrictions on the Company’s operating activities during the interim period between signing and closing. The parties also discussed the status of Mr. Harris’ potential excise tax payments under Section 280G of the Code and potential arrangements to address the excise tax payments, including a gross-up. Mr. Harris did not participate in the discussion. After discussion, the members of management from the Company and UHS resolved multiple outstanding issues in the merger agreement, subject to resolution of the individual employment matters for the retained management prior to executing a definitive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March 6, 2026 to March 9, 2026, the Board was updated on a regular basis regarding the progress of such negotiations and discussions.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2026, representatives of Cravath and McDermott exchanged drafts of the merger agreement.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the morning of March 7, 2026, representatives of J.P. Morgan shared with representatives of Wells Fargo revised employment offer term sheets for Dr. Cohen, Mr. Margolin, Mr. Mooney, Ms. Boyd and Dr. Benders-Hadi.</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On March 7, 2026, at the Company’s direction, representatives of Wells Fargo shared with representatives of J.P. Morgan addenda to the employment offer term sheets for Ms. Boyd, Dr. Benders-Hadi and Mr. Mooney.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8, 2026, Mr. Harris received his employment offer term sheet for the first time. On the same day, at the Company’s direction, representatives of Wells Fargo shared with representatives of J.P. Morgan a revised employment offer term sheet for Mr. Harris. On the same day, representatives of Cravath and Stevens &amp; Lee exchanged drafts of the employment offer term sheets for Mr. Harris, Dr. Cohen, Mr. Margolin, Ms. Boyd, Dr. Benders-Hadi and Mr. Mooney.</w:t>
      </w:r>
    </w:p>
    <w:p>
      <w:pPr>
        <w:spacing w:after="0" w:line="180"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On the morning of March 9, 2026, representatives of Stevens &amp; Lee exchanged with representatives of Cravath revised drafts of the employment offer term sheet for Dr. Cohen. On the same day, representatives of Stevens &amp; Lee shared with Cravath a revised term sheet for Mr. Harris.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Also on the morning of March 9, 2026, representatives of the Company and UHS finalized and executed the merger agreement and the Company’s disclosure letter to the merger agreement. In connection with the execution of the merger agreement, the applicable Company stockholders, solely in their respective capacities as stockholders, entered into the voting agreements with UHS. UHS and each of Dr. Cohen, Mr. Margolin, Mr. Harris, Ms. Boyd, Dr. Benders-Hadi and Mr. Mooney also finalized the execution of their respective employment offer term sheets.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March 9, 2026, the Company and UHS issued a joint press release before the market in the United States opened, announcing the execution of the merger agreement and the proposed terms of the acquisition by UHS.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special meeting of the Board held on March 6, 2026, after consideration of the non-exhaustive list of material factors described below in the section of this proxy statement entitled “</w:t>
      </w:r>
      <w:r>
        <w:rPr>
          <w:rFonts w:ascii="Times New Roman" w:cs="Times New Roman" w:eastAsia="Times New Roman" w:hAnsi="Times New Roman"/>
          <w:sz w:val="18"/>
          <w:szCs w:val="18"/>
          <w:i w:val="1"/>
          <w:iCs w:val="1"/>
          <w:color w:val="auto"/>
        </w:rPr>
        <w:t>—Reasons for the Merger</w:t>
      </w:r>
      <w:r>
        <w:rPr>
          <w:rFonts w:ascii="Times New Roman" w:cs="Times New Roman" w:eastAsia="Times New Roman" w:hAnsi="Times New Roman"/>
          <w:sz w:val="18"/>
          <w:szCs w:val="18"/>
          <w:color w:val="auto"/>
        </w:rPr>
        <w:t>”, and detailed discussions with members of Company management, outside legal counsel and financial advisors, at such meeting and prior meetings of the Board, the Board has unanimously (i) approved (including for the purposes of Section 203 of the DGCL) and declared advisable the merger agreement, the execution, delivery and performance thereof and the consummation of the transactions contemplated thereby, including the merger, and (ii) determined that the merger and the other transactions contemplated by the merger agreement are advisable and fair to, and in the best interests of, the Company and Company stockholders, and:</w:t>
      </w:r>
    </w:p>
    <w:p>
      <w:pPr>
        <w:spacing w:after="0" w:line="93" w:lineRule="exact"/>
        <w:rPr>
          <w:sz w:val="20"/>
          <w:szCs w:val="20"/>
          <w:color w:val="auto"/>
        </w:rPr>
      </w:pPr>
    </w:p>
    <w:p>
      <w:pPr>
        <w:ind w:left="1080" w:right="58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be submitted to the Company stockholders entitled to vote thereon at the special meeting for the adoption thereof;</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Company stockholders entitled to vote thereon: (i) vote in favor of the adoption of the merger agreement at the special meeting; (ii) approve, by a non-binding, advisory vote, the specified compensation arrangements disclosed in this proxy statement that may be paid or become payable to the Company’s named executive officers in connection with the merger; and (iii) vote their shares of Company common stock in favor of the proposal to adjourn or postpone the special meeting to another date, time or place, if necessary to solicit additional proxies in favor of the proposal to adopt the merger agreement at the time of the special meeting; and</w:t>
      </w:r>
    </w:p>
    <w:p>
      <w:pPr>
        <w:spacing w:after="0" w:line="88"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called for a special meeting of the holders of Company common stock for the purpose of (i) submitting the merger agreement to such stockholders for adoption; (ii) submitting to such stockholders the non-binding, advisory proposal to approve the compensation that may be paid or become payable to the Company’s named executive officers in connection with the merger; and (iii) submitting to such stockholders a proposal to adjourn or postpone the special meeting to another date, time or place, if necessary to solicit additional proxies in favor of the proposal to adopt the merger agreement at the time of the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Merger</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the section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42</w:t>
      </w:r>
      <w:r>
        <w:rPr>
          <w:rFonts w:ascii="Times New Roman" w:cs="Times New Roman" w:eastAsia="Times New Roman" w:hAnsi="Times New Roman"/>
          <w:sz w:val="18"/>
          <w:szCs w:val="18"/>
          <w:color w:val="auto"/>
        </w:rPr>
        <w:t>, prior to and in reaching the unanimous determinations set forth above, the Board consulted with and received the advice of the Company’s outside legal counsel and financial advisors, discussed certain issues with the Company’s management and considered a variety of factors weighing positively in favor of the merger, the merger agreement, and the transactions contemplated by the merger agreement, including the following non-exhaustive list of material factors (not necessarily in order of relative weight or importance):</w:t>
      </w:r>
    </w:p>
    <w:p>
      <w:pPr>
        <w:spacing w:after="0" w:line="91" w:lineRule="exact"/>
        <w:rPr>
          <w:sz w:val="20"/>
          <w:szCs w:val="20"/>
          <w:color w:val="auto"/>
        </w:rPr>
      </w:pPr>
    </w:p>
    <w:p>
      <w:pPr>
        <w:ind w:left="1080" w:right="34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understanding of the Company’s industry, business, operations, risks, financial condition, earnings, cash flow, strategy and prospects, as well as the Company’s historical and projected financial performance;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of $5.25 per share of Company common stock to be received by Company stockholders provides immediate and certain value and liquidity and does not expose them to any further risks related to the Company’s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prices of Company common stock, including the fact that the $5.25 per share price (without interest and subject to any required withholding taxes) of Company common stock to be paid in cash represented a premium of approximately: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over the closing share price on March 5, 2026, the last day prior to the Board meeting to approve the merger;</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over the Company’s 30-day volume-weighted average share price on March 5, 2026, the last day prior to the Board meeting to approve the merger; and</w:t>
      </w:r>
    </w:p>
    <w:p>
      <w:pPr>
        <w:spacing w:after="0" w:line="67"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over the Company’s 90-day volume-weighted average share price on March 5, 2026, the last day prior to the Board meeting to approve the merger;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Board was able to negotiate an increase from UHS’s initial proposed price range of $4.05 to $4.25 per share offered in the December 17 Offer and UHS’s second proposal of $5.00 per share offered in the February 26 Offer to the merger consideration of $5.25 per share (without interest and subject to any required withholding taxes) (as further described above under the section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representing an increase of approximately 30% from the lowest proposal range in the December 17 Offer and 5% from the February 26 Offer;</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based on discussions with UHS and other potential counterparties, the merger consideration was the highest price that could reasonably be obtained from UHS or any other potential counterparty, that the terms set forth in the merger agreement were the most favorable terms to which UHS would be willing to agree and that further negotiations or requests for a further price increase would create a risk of causing UHS to abandon the transaction altogether, in which event Company stockholders would lose the opportunity to obtain the merger consideration;</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 the Company has, in the past, explored various strategic alternatives reasonably available to the Company, (ii) the Company engaged in, or attempted to initiate, discussions regarding a potential sale transaction with other third parties, during which the Company with the assistance of the Company’s financial advisor contacted approximately 75 potential counterparties and executed non-disclosure agreements with approximately 40 potential counterparties, and (iii) no other potentially interested parties, including those parties with which the Company was engaged during the prior processes, had presented an actionable offer, as of March 9, 2026, the date the Company entered into the merger agreement with UHS, to pay the Company stockholders consideration per share that was equal to or greater than the merger consideration of $5.25 per share of Company common stock, offered by UHS as further described above under the section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understanding of the risks and uncertainties in the industry in which the Company competes, and the risks that the Company would face if it continued to operate on a standalone public company basis, including:</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not grow at the rates it has historically achieved or at all, which could have a material adverse effect on the market price of the Company common stock;</w:t>
      </w:r>
    </w:p>
    <w:p>
      <w:pPr>
        <w:spacing w:after="0" w:line="67" w:lineRule="exact"/>
        <w:rPr>
          <w:rFonts w:ascii="Times New Roman" w:cs="Times New Roman" w:eastAsia="Times New Roman" w:hAnsi="Times New Roman"/>
          <w:sz w:val="18"/>
          <w:szCs w:val="18"/>
          <w:color w:val="auto"/>
        </w:rPr>
      </w:pPr>
    </w:p>
    <w:p>
      <w:pPr>
        <w:ind w:left="1540" w:right="340" w:hanging="331"/>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experience difficulties in managing its growth and expanding its operations, which could have an adverse effect on the Company’s business, reputation and financial results;</w:t>
      </w:r>
    </w:p>
    <w:p>
      <w:pPr>
        <w:spacing w:after="0" w:line="6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rapid technological change in the Company’s industry, which may result in significant challenges for the Company to enhance its solution with next-generation technologies, and to develop or acquire and market new services, and that if the Company is unable to meet those challenges, the Company’s present or future software-based products and services may become uncompetitive or obsolete;</w:t>
      </w:r>
    </w:p>
    <w:p>
      <w:pPr>
        <w:spacing w:after="0" w:line="85"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operation of the Company, including, but not limited to, the risk that any contracts with the Company’s largest customers may be lost, terminated or renegotiated,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80"/>
        <w:spacing w:after="0" w:line="282" w:lineRule="auto"/>
        <w:rPr>
          <w:sz w:val="20"/>
          <w:szCs w:val="20"/>
          <w:color w:val="auto"/>
        </w:rPr>
      </w:pPr>
      <w:r>
        <w:rPr>
          <w:rFonts w:ascii="Times New Roman" w:cs="Times New Roman" w:eastAsia="Times New Roman" w:hAnsi="Times New Roman"/>
          <w:sz w:val="18"/>
          <w:szCs w:val="18"/>
          <w:color w:val="auto"/>
        </w:rPr>
        <w:t>may negatively impact the Company’s results, and the risk that the Company might be unable to secure customers’ contract renewals, which may harm the Company’s business, financial condition and results of operations;</w:t>
      </w:r>
    </w:p>
    <w:p>
      <w:pPr>
        <w:spacing w:after="0" w:line="67" w:lineRule="exact"/>
        <w:rPr>
          <w:sz w:val="20"/>
          <w:szCs w:val="20"/>
          <w:color w:val="auto"/>
        </w:rPr>
      </w:pPr>
    </w:p>
    <w:p>
      <w:pPr>
        <w:ind w:left="1540" w:right="400" w:hanging="331"/>
        <w:spacing w:after="0" w:line="312" w:lineRule="auto"/>
        <w:tabs>
          <w:tab w:leader="none" w:pos="15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operating in a very competitive business environment, and that if the Company is unable to compete effectively against its existing or potential competitors, its business, financial condition and results of operations may be harmed;</w:t>
      </w:r>
    </w:p>
    <w:p>
      <w:pPr>
        <w:spacing w:after="0" w:line="45" w:lineRule="exact"/>
        <w:rPr>
          <w:rFonts w:ascii="Times New Roman" w:cs="Times New Roman" w:eastAsia="Times New Roman" w:hAnsi="Times New Roman"/>
          <w:sz w:val="17"/>
          <w:szCs w:val="17"/>
          <w:color w:val="auto"/>
        </w:rPr>
      </w:pPr>
    </w:p>
    <w:p>
      <w:pPr>
        <w:ind w:left="1540" w:right="40" w:hanging="331"/>
        <w:spacing w:after="0" w:line="282"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legal challenges to our business model or by actions restricting our ability to provide the full range of our services in certain jurisdictions, which may adversely affect our business;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evolving government regulations, which may result in increased costs or adversely affect our results of operations;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developments affecting spending by the healthcare industry that could adversely affect our business; and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the risk factors set forth in the Company’s Annual Report on Form 10-K for the fiscal year ended December 31, 2025;</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assessment of the potential risks, rewards and uncertainties associated with remaining an independent public company as a possible strategic alternative to the sale of the entire Company (including the potential value to Company stockholders based on the Company’s strategic plan that could be expected to be generated from remaining an independent public company), and the Board’s resulting determination that such alternative did not represent a more attractive alternative to the structure proposed by UHS;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common stock price since the Company’s initial public offering has been volatile, including reaching an intraday 52-week low of $2.22 per share on August 5, 2025, and that this volatility may impact the Company’s ability to raise capital in the public markets on attractive terms;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is all cash, which provides certain value and, upon consummation of the merger, liquidity to Company stockholders, especially when viewed against any internal or external risks and uncertainties associated with the Company’s standalone strategy, immediately upon the closing of the merger;</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reviewed and discussed with the Board by representatives of Wells Fargo, as well as the oral opinion of Wells Fargo rendered to the Board on March 6, 2026 (which was subsequently confirmed in writing by delivery of Wells Fargo’s written opinion dated March 6, 2026), that, as of that date and based upon and subject to the various assumptions made, procedures followed, matters considered, and qualifications and limitations on the scope of the review undertaken by Wells Fargo in preparing its opinion, the merger consideration to be paid to the holders of Company common stock (other than canceled shares and appraisal shares) in the merger was fair, from a financial point of view, to such holders;</w:t>
      </w:r>
    </w:p>
    <w:p>
      <w:pPr>
        <w:spacing w:after="0" w:line="92"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assessment, taking into account the other factors described herein, of the Company’s value on a standalone basis relative to the merger consideration of $5.25 per share of Company common stock to be paid in cash in connection with the merger, and the possibility that the trading price of shares of Company common stock would not reach and sustain such price, or that doing so could take a considerable period of time;</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operating and financial performance and its prospects, including certain prospective forecasts for the Company prepared by the Company’s senior management, which reflect an application of various assumptions of senior management, and the inherent uncertainty of achieving the Company’s prospective forecasts, as set forth below under the section of this proxy statement entitled “— </w:t>
      </w:r>
      <w:r>
        <w:rPr>
          <w:rFonts w:ascii="Times New Roman" w:cs="Times New Roman" w:eastAsia="Times New Roman" w:hAnsi="Times New Roman"/>
          <w:sz w:val="18"/>
          <w:szCs w:val="18"/>
          <w:i w:val="1"/>
          <w:iCs w:val="1"/>
          <w:color w:val="auto"/>
        </w:rPr>
        <w:t>Certain Unaudited Financial Forecasts</w:t>
      </w:r>
      <w:r>
        <w:rPr>
          <w:rFonts w:ascii="Times New Roman" w:cs="Times New Roman" w:eastAsia="Times New Roman" w:hAnsi="Times New Roman"/>
          <w:sz w:val="18"/>
          <w:szCs w:val="18"/>
          <w:color w:val="auto"/>
        </w:rPr>
        <w:t>”, and that, as a result, the Company’s actual financial results in future periods could differ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from senior management’s forecasts;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financial strength of UHS and its ability to fund the merger consideration;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is not subject to a financing condition;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would be subject to receipt of the Company stockholder approval and that the Company stockholders would be free to reject the merger by voting against adoption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is not subject to approval by UHS’s stockholders;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UHS and the Company have both agreed to use their respective reasonable best efforts, pursuant to the terms of the merger agreement, to consummate the merger as promptly as reasonably practicable, subject to certain limitations;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subject to the conditions therein, permit the Company to seek specific performance of UHS’s and Merger Sub’s obligations to consummate the merger pursuant to the terms of the merger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permit the Company, in response to certain unsolicited written takeover proposals, to furnish information to and conduct discussions and negotiations with third parties prior to receipt of the Company stockholder approval under certain circumstances and, under certain conditions, to accept a superior proposal, and the Company’s corresponding right to terminate the merger agreement (subject to the payment by the Company to UHS of a termination fee of $32,394,000), and that the amount of the termination fee payable by the Company is comparable to termination fees in transactions of a similar size, is reasonable, would not likely deter competing bids and would not likely be required to be paid unless the Company entered into a more favorable transaction;</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voting agreements terminate upon the termination of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permit the Board, prior to obtaining the Company stockholder approval, to withhold, withdraw, qualify or modify its recommendation to approve the merger under certain circumstances relating to a superior proposal or an intervening event, subject to payment by the Company to UHS of a termination fee of $32,394,000 if UHS elects to terminate the merger agreement in such circumstances;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permit the Company to terminate the merger agreement if the merger is not consummated by December 9, 2026 (subject to an automatic extension until March 9, 2027 if certain closing conditions have not been satisfied), and the Board’s belief that such outside date for completing the merger allows for sufficient time to consummate the merger and the transactions contemplated by the merger agreement;</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speed of obtaining the required regulatory approvals and anticipated timing for consummating the merger in light of the scope of the conditions to closing;</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appraisal rights under the DGCL to Company stockholders who comply with all of the required procedures for perfecting appraisal rights under the DGCL in connection with the merger, including the fact that such stockholders will have the right to demand appraisal and payment of the fair value of their shares as determined by the Delaware Court, as further described in the section below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prolonging the strategic alternatives process further could have resulted in the loss of an opportunity to consummate a transaction and distracted senior management from implementing the Company’s business plan.</w:t>
      </w:r>
    </w:p>
    <w:p>
      <w:pPr>
        <w:spacing w:after="0" w:line="162" w:lineRule="exact"/>
        <w:rPr>
          <w:sz w:val="20"/>
          <w:szCs w:val="20"/>
          <w:color w:val="auto"/>
        </w:rPr>
      </w:pPr>
    </w:p>
    <w:p>
      <w:pPr>
        <w:jc w:val="both"/>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In the course of its deliberations and in reaching the determinations described above, the Board also considered, in consultation with the Company’s legal and financial advisors, a variety of risks and other countervailing factors related to the merger, the merger agreement, and the transactions contemplated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agreement, including the following material factors (not necessarily in order of relative weight or importance):</w:t>
      </w:r>
    </w:p>
    <w:p>
      <w:pPr>
        <w:spacing w:after="0" w:line="131"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upside in the Company’s standalone strategic plan;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continuing to pursue a strategic transaction with any of the potentially interested parties that participated in the second round of the strategic alternatives process, as further described above in the section of this proxy statement entitled “—</w:t>
      </w:r>
      <w:r>
        <w:rPr>
          <w:rFonts w:ascii="Times New Roman" w:cs="Times New Roman" w:eastAsia="Times New Roman" w:hAnsi="Times New Roman"/>
          <w:sz w:val="18"/>
          <w:szCs w:val="18"/>
          <w:i w:val="1"/>
          <w:iCs w:val="1"/>
          <w:color w:val="auto"/>
        </w:rPr>
        <w:t>Background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might not be completed on the terms or timeline currently contemplated or at all due to a failure of certain conditions, including with respect to the required approval of the merger by the necessary regulatory authorities;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UHS’s commitments under the merger agreement to take certain actions necessary to obtain the required regulatory approvals, including the fact that UHS is not required to accept any restrictions that would reasonably be expected to be material to Company, its subsidiaries and the affiliated professional entities, taken as a whole;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the Company if the merger does not close in a timely manner or at all, including:</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Company common stock may decline (relative to the 30-day volume-weighted average share price of $4.40 on March 5, 2026, the last day prior to the Board meeting to approve the proposed merger) to the extent that the market price of the Company common stock currently reflects positive market assumptions that the merger will be consummated;</w:t>
      </w:r>
    </w:p>
    <w:p>
      <w:pPr>
        <w:spacing w:after="0" w:line="81"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hire and retain key personnel and other employees, as current and prospective employees may experience uncertainty about their future roles with the Company if the merger is not consummated;</w:t>
      </w:r>
    </w:p>
    <w:p>
      <w:pPr>
        <w:spacing w:after="0" w:line="67"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to the Company’s business and distraction of its workforce and management team from day-to-day operations of the Company’s business and the execution of the Company’s other strategic initiatives that could be beneficial to the Company, in each case without realizing any of the benefits of having the merger completed and the potential adverse effects on the financial results of the Company and the potential negative impact on the operating results of the Company as a result of such disruption; and</w:t>
      </w:r>
    </w:p>
    <w:p>
      <w:pPr>
        <w:spacing w:after="0" w:line="88"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to the Company’s relationships with investors, payors, enterprise client customers, other business partners, therapy providers and employees due to the negative publicity of any failure to successfully complete the merger;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9" w:lineRule="auto"/>
        <w:tabs>
          <w:tab w:leader="none" w:pos="10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Company stockholders (other than stockholders holding unvested Company equity awards) will have no ongoing equity interest in the surviving corporation following the merger, meaning that the holders of shares of Company common stock will not (by virtue of their holding shares of Company common stock) participate in UHS’s or the Company’s potential future earnings or growth;</w:t>
      </w:r>
    </w:p>
    <w:p>
      <w:pPr>
        <w:spacing w:after="0" w:line="63" w:lineRule="exact"/>
        <w:rPr>
          <w:rFonts w:ascii="Times New Roman" w:cs="Times New Roman" w:eastAsia="Times New Roman" w:hAnsi="Times New Roman"/>
          <w:sz w:val="17"/>
          <w:szCs w:val="17"/>
          <w:color w:val="auto"/>
        </w:rPr>
      </w:pPr>
    </w:p>
    <w:p>
      <w:pPr>
        <w:ind w:left="1080" w:right="40" w:hanging="424"/>
        <w:spacing w:after="0" w:line="289" w:lineRule="auto"/>
        <w:tabs>
          <w:tab w:leader="none" w:pos="10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on the conduct of the Company’s business prior to the consummation of the merger, which may delay or prevent the Company from pursuing strategic business opportunities, making new significant capital expenditures, or reacting to changing market conditions and which may affect the Company’s ability to execute the Company’s business strategies and attain financial and other goals;</w:t>
      </w:r>
    </w:p>
    <w:p>
      <w:pPr>
        <w:spacing w:after="0" w:line="63" w:lineRule="exact"/>
        <w:rPr>
          <w:rFonts w:ascii="Times New Roman" w:cs="Times New Roman" w:eastAsia="Times New Roman" w:hAnsi="Times New Roman"/>
          <w:sz w:val="17"/>
          <w:szCs w:val="17"/>
          <w:color w:val="auto"/>
        </w:rPr>
      </w:pPr>
    </w:p>
    <w:p>
      <w:pPr>
        <w:ind w:left="1080" w:right="12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parties may incur significant costs and material delays resulting from seeking regulatory approvals and other clearances, consents and approvals necessary for consummation of the merger, or that such clearances, consents and approvals are unable to be obtained;</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89" w:lineRule="auto"/>
        <w:tabs>
          <w:tab w:leader="none" w:pos="10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merger agreement that restrict the Company’s ability to solicit or participate in discussions or negotiations regarding alternative takeover proposals with third parties, subject to specified exceptions, and that require the Company to negotiate with UHS (if UHS desires to negotiate) prior to the Company being able to terminate the merger agreement to accept a superior proposal;</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320" w:top="455"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6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Company’s obligation to pay a termination fee of $32,394,000 to UHS upon the termination of the merger agreement under certain circumstances could discourage other potential acquirors from making an alternative proposal to acquire the Company;</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involved in connection with negotiating the merger agreement and consummating the merger, such as legal, accounting and financial advisory fees, and the fact that if the merger is not consummated, the Company will still be required to bear such costs and will have diverted significant resources from other strategic opportunities and ongoing business activities without realizing the anticipated benefits of the merger;</w:t>
      </w:r>
    </w:p>
    <w:p>
      <w:pPr>
        <w:spacing w:after="0" w:line="85"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in connection with the execution of the merger agreement and the consummation of the merger and the other transactions contemplated therein;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although the merger provides the Company stockholders the opportunity to realize a premium to the price at which Company common stock traded prior to the public announcement of the proposed merger, the price of Company common stock might have increased in the future to a price greater than the merger consideration;</w:t>
      </w:r>
    </w:p>
    <w:p>
      <w:pPr>
        <w:spacing w:after="0" w:line="81"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if approved by the Company stockholders, will not be consummated by the third quarter of 2026 due to delays in receiving required regulatory approvals, and, pursuant to the terms of the merger agreement, may be consummated as late as March 9, 2027, and Company stockholders will not receive the merger consideration until the merger is consummated;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 all-cash transaction would be taxable to the Company stockholders;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risks associated with the merger and the business of the Company, as more fully described in the section of this proxy statement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the Board was aware of and considered the fact that the Company’s directors and executive officers have financial interests in the merger that may be different from, or in addition to, those of the Company stockholders generally, as described more fully in the section of this proxy statement entitled “</w:t>
      </w:r>
      <w:r>
        <w:rPr>
          <w:rFonts w:ascii="Times New Roman" w:cs="Times New Roman" w:eastAsia="Times New Roman" w:hAnsi="Times New Roman"/>
          <w:sz w:val="18"/>
          <w:szCs w:val="18"/>
          <w:i w:val="1"/>
          <w:iCs w:val="1"/>
          <w:color w:val="auto"/>
        </w:rPr>
        <w:t>—Interests of the Company’s Directors and Executive Officers in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factors considered by the Board is not intended to be exhaustive, but rather includes the material factors considered by the Board. In reaching its determination and recommendation, and in view of the wide variety of factors considered by the Board in connection with its evaluation of the merger and the complexity of these matters, the Board did not consider it practical, and did not attempt, to quantify, rank or otherwise assign relative weights to the specific factors it considered in reaching its decision and did not undertake to make any specific determinations as to whether any particular factor, or any aspect of any particular factor, was favorable or unfavorable to the ultimate determinations of the Board. Rather, the Board made its recommendation based on the totality of the information available to the Board, including discussions with, and questioning of, the Company’s management and the Company’s and the Board’s legal and financial advisors. In considering the factors discussed above, individual members of the Board may have given different weights to different factors.</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explanation of the Board’s reasons for its recommendation and other information presented in this section is forward-looking in nature and, therefore, should be read in light of the factors described in the section of this proxy statement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28</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Financial Forecasts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Other than annual guidance, including the guidance for fiscal year 2026 included in the Company’s press release dated February 19, 2026 (which we refer to as the “2026 earnings guidance”) with respect to revenue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adjusted EBITDA, which guidance the Company presents as a range, the Company does not, as a matter of course, publicly disclose forecasts as to future performance, earnings or other results due to, among other things, the unpredictability of the underlying assumptions and estimates. The Company is especially reluctant to disclose projections for extended periods due to the increasing uncertainty, unpredictability and subjectivity of such assumptions and estimates when applied to time periods further in the future. The Company has, however, included in this proxy statement certain unaudited financial forecasts of the Company that, to the extent described herein, were furnished to (i) the Board, Wells Fargo (the Company’s financial advisor) and UHS and its affiliates, in connection with the discussions concerning the proposed merger and (ii) certain other parties potentially interested in a transaction with the Company.</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Forecasts (as defined below)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generally accepted accounting principles in the United States (which we refer to as “GAAP”). A summary of this information is presented below.</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 Forecasts were, in the view of the Company’s management, prepared on a reasonable basis and in good faith, and reflect the best available estimates and judgments at the time of preparation. However, no assurances can be made regarding future events and the estimates and assumptions underlying the Company Forecasts involve judgments with respect to, among other things, future economic, competitive, regulatory and financial market conditions and future business decisions that may not be realized or undertaken and that are inherently subject to significant business, economic, competitive and regulatory uncertainties and contingencies, including, among other things, the inherent uncertainty of the business and economic conditions affecting the industries in which the Company operates, the timeline of regulatory approvals, the commercial launch of the Company’s products under development, and the other risks and uncertainties described in the section of this proxy statement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Regarding Forward-Looking Statements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28</w:t>
      </w:r>
      <w:r>
        <w:rPr>
          <w:rFonts w:ascii="Times New Roman" w:cs="Times New Roman" w:eastAsia="Times New Roman" w:hAnsi="Times New Roman"/>
          <w:sz w:val="18"/>
          <w:szCs w:val="18"/>
          <w:color w:val="auto"/>
        </w:rPr>
        <w:t>, all of which are difficult to predict and many of which are outside the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and, upon consummation of the transactions contemplated by the merger agreement, many of which will be beyond the control of UHS and the surviving corporation. Company stockholders are urged to review the Company’s SEC filings for a description of risk factors with respect to the Company’s business. There can be no assurance that the underlying assumptions will prove to be accurate or that any projected results will be realized. Actual results likely will differ, and may differ materially, from those reflected in the Company Forecasts, whether or not the merger is consummated. The inclusion in this proxy statement of the Company Forecasts should not be regarded as an indication that the Company, the Board, UHS or its affiliates or their board of directors or any of their respective financial advisors considered, or now consider, these forecasts to be a reliable predictor of future results. The Company Forecasts are not fact, and neither they nor any underlying assumptions should be relied upon as being indicative of future results. Readers of this proxy statement are cautioned not to place reliance on this information.</w:t>
      </w:r>
    </w:p>
    <w:p>
      <w:pPr>
        <w:spacing w:after="0" w:line="19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Forecasts include certain non-GAAP financial measures, including Adjusted EBITDA (as defined below) and Unlevered Free Cash Flow (as defined below). In addition to the Company’s results and measures of performance determined in accordance with GAAP, the Company’s management included forecasts of non-GAAP financial measures in the Company Forecasts because the Company’s management believes that non-GAAP financial measures can be useful in evaluating and comparing the Company’s financial and operational performance over multiple periods, identifying trends affecting the Company’s business, formulating business plans and making strategic decisions. Company stockholders should also note that the non-GAAP financial measures presented in this proxy statement are not prepared under any comprehensive set of accounting rules or principles and do not reflect all of the amounts associated with the Company’s results of operations as determined in accordance with GAAP. Company stockholders should also note that the non-GAAP financial measures presented in this proxy statement have no standardized meaning prescribed by GAAP and, therefore, have limits in their usefulness to Company stockholders. Because of the non-standardized definitions, the non-GAAP financial measures in this proxy statement and the accompanying footnotes may be calculated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differently from, and may not be directly comparable to, similarly titled measures used by the Company’s competitors and other companies, or any similarly titled measures used by UHS and its affiliates.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Due to the inherent limitations of non-GAAP financial measures, Company stockholders should consider non-GAAP measures only as a supplement to, not as a substitute for or as a superior measure to, measures of financial performance prepared in accordance with GAAP. The footnotes to the tables below provide certain supplemental information with respect to the calculation of the non-GAAP financial measures.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Forecasts included in this document have been prepared by, and are the responsibility of, the Company’s management. Neither the Company’s independent registered public accounting firm, Kost Forer Gabbay &amp; Kasierer (which we refer to as “EY Israel”), nor any other independent accountants, have compiled, examined, or performed any procedures with respect to the accompanying Company Forecasts and, accordingly, EY Israel does not express an opinion or any other form of assurance with respect thereto. The EY Israel report dated March 13, 2026 and incorporated by reference in this document relates to the Company’s previously issued financial statements. It does not extend to the Company Forecasts and should not be read to do so.</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non-GAAP financial measures included in the Company Forecasts were prepared by the management of the Company and directed by the Board for use by Wells Fargo in connection with its financial analysis and the preparation of its opinion, were used by the Board for its consideration of the merger and were provided to UHS and its affiliates and certain other parties potentially interested in a transaction with the Company. Financial measures provided to a financial advisor or counterparty in connection with a business combination transaction are not subject to SEC rules regarding disclosures of non-GAAP financial measures, and reconciliations of non-GAAP financial measures were not relied upon by the Board or Wells Fargo in connection with their respective evaluations of the merger. In addition, none of UHS or its affiliates or any other potentially interested party who received the Company Forecasts, including non-GAAP financial measures, was provided with any such reconciliation. Accordingly, the Company has not provided in this proxy statement a reconciliation of the non-GAAP financial measures included in the Company Forecasts to the relevant GAAP financial measures.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By including the Company Forecasts in this proxy statement, none of the Company, UHS or its affiliates or any of their respective representatives has made or makes any representation to any person regarding the ultimate performance of the Company compared to the information contained in the Company Forecasts. Accordingly, the Company Forecasts should not be construed as financial guidance, nor relied upon as such, and the Company Forecasts may differ in important respects from the 2026 earnings guidance, which guidance is presented as a range, and which the Company’s management prepared based on a different set of assumptions. The inclusion of the Company Forecasts in this proxy statement does not constitute an admission or representation by the Company that the information contained therein is material. The Company Forecasts summarized in this section reflected the opinions, estimates and judgments of the Company’s management at the time they were prepared and have not been updated to reflect any changes since such Company Forecasts were prepared.</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NONE OF THE COMPANY, UHS OR ITS AFFILIATES OR, AFTER CONSUMMATION OF THE MERGER, THE SURVIVING CORPORATION, UNDERTAKES ANY OBLIGATION, EXCEPT AS REQUIRED BY LAW, TO UPDATE OR OTHERWISE REVISE THE COMPANY FORECASTS TO REFLECT CIRCUMSTANCES EXISTING SINCE THEIR PREPARATION, CHANGES IN GENERAL ECONOMIC OR INDUSTRY CONDITIONS OR THE OCCURRENCE OF UNANTICIPATED EVENTS, EVEN IN THE EVENT THAT ANY OR ALL OF THE UNDERLYING ASSUMPTIONS ARE SHOWN TO BE IN ERROR. IN LIGHT OF THE FOREGOING FACTORS AND UNCERTAINTIES INHERENT IN THE COMPANY FORECASTS, READERS OF THIS PROXY STATEMENT ARE CAUTIONED NOT TO PLACE RELIANCE ON THIS INFORMATION.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Company Forecasts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at the direction of the Board, prepared non-public, unaudited prospective financial information for fiscal years 2026 through 2030 (which we refer to as the “Company Forecasts”) for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Company’s internal use in connection with the evaluation of potential strategic alternatives, including the merger, which were reviewed and discussed by the Transaction Committee and approved by the Transaction Committee for use on October 23, 2025. The Board directed Wells Fargo to use and rely on the Company Forecasts for purposes of providing financial analyses in connection with the Board’s evaluation of any potential strategic alternatives, including the merger.</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Neither EY Israel,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Forecasts were relied upon by the Board in reaching its unanimous determination on March 6, 2026, to approve and declare advisable the merger agreement and the transactions contemplated thereby, including the merger, and to recommend that the Company stockholders vote to adopt the merger agreement. The Company Forecasts were the only forecasts prepared by management of the Company that were approved by the Board and directed by the Board for use by Wells Fargo in connection with rendering its fairness opinion and performing its financial analyses in connection therewith, as summarized below in the section entitled “—</w:t>
      </w:r>
      <w:r>
        <w:rPr>
          <w:rFonts w:ascii="Times New Roman" w:cs="Times New Roman" w:eastAsia="Times New Roman" w:hAnsi="Times New Roman"/>
          <w:sz w:val="18"/>
          <w:szCs w:val="18"/>
          <w:i w:val="1"/>
          <w:iCs w:val="1"/>
          <w:color w:val="auto"/>
        </w:rPr>
        <w:t>Opinion of Wells Fargo</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63</w:t>
      </w:r>
      <w:r>
        <w:rPr>
          <w:rFonts w:ascii="Times New Roman" w:cs="Times New Roman" w:eastAsia="Times New Roman" w:hAnsi="Times New Roman"/>
          <w:sz w:val="18"/>
          <w:szCs w:val="18"/>
          <w:color w:val="auto"/>
        </w:rPr>
        <w:t>. The Company Forecasts assume that the Company would continue to operate as a standalone company and do not reflect any impact of the proposed merger, including any impact of the negotiation or execution of the proposed merger, the expenses that may be incurred in connection with the proposed merger or the consummation thereof, any revenue or cost synergies that may be achieved as a result of the proposed merger or the effect of any business or strategic decision or action that has been or will be taken as a result of the merger agreement having been executed or in anticipation of the proposed merger. The Company Forecasts for the fiscal years 2026 through 2028 were also made available to UHS and its affiliates and certain other parties potentially interested in a transaction with the Company.</w:t>
      </w:r>
    </w:p>
    <w:p>
      <w:pPr>
        <w:spacing w:after="0" w:line="192"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set forth summaries of the Company Forecasts. The summaries are not included in this proxy statement to induce any Company stockholder to vote in favor of adopting the merger agreement proposal or approving any other proposals to be voted on at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Forecasts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Company Forecasts</w:t>
            </w: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20" w:type="dxa"/>
            <w:vAlign w:val="bottom"/>
            <w:vMerge w:val="continue"/>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2026E</w:t>
            </w:r>
          </w:p>
        </w:tc>
        <w:tc>
          <w:tcPr>
            <w:tcW w:w="6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2027E</w:t>
            </w:r>
          </w:p>
        </w:tc>
        <w:tc>
          <w:tcPr>
            <w:tcW w:w="6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6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55"/>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6"/>
                <w:szCs w:val="26"/>
                <w:color w:val="auto"/>
                <w:vertAlign w:val="superscript"/>
              </w:rPr>
              <w:t>(2)</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20" w:hanging="424"/>
        <w:spacing w:after="0" w:line="257"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earnings before interest, taxes, depreciation and amortization (unburdened by stock-based compensation expense) and other adjustments. Adjusted EBITDA is a non-GAAP financial measure and should not be considered as an alternative to net income or operating income as a measure of operating performance or of cash flows or as a measure of liquidity.</w:t>
      </w:r>
    </w:p>
    <w:p>
      <w:pPr>
        <w:spacing w:after="0" w:line="1"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defined as Adjusted EBITDA less taxes, stock-based compensation expenses and capital expenditures, plus changes in net working capital. Unlevered Free Cash Flow is a non-GAAP financial measure and should not be considered as an alternative to net income, operating income or cash flows from operating activities as a measure of operating performance or of cash flows or as a measure of liquidity.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Wells Fargo</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engaged Wells Fargo as its financial advisor in connection with the merger. On March 6, 2026, Wells Fargo rendered its oral opinion to the Board (which was subsequently confirmed in writing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by delivery of Wells Fargo’s written opinion addressed to the Board dated the same date) to the effect that, as of such date and based upon and subject to the various assumptions made, procedures followed, matters considered, and qualifications and limitations on the scope of the review undertaken by Wells Fargo in preparing the opinion, the merger consideration to be paid to the holders of Company common stock (other than canceled shares and appraisal shares) in the merger was fair, from a financial point of view, to such holders.</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Wells Fargo’s written opinion, which describes, among other things, the assumptions made, procedures followed, matters considered and qualifications and limitations on the scope of review undertaken, is attached as Annex D to this proxy statement. The summary of Wells Fargo’s opinion contained in this proxy statement is qualified in its entirety by reference to the full text of the opinion. Wells Fargo’s opinion was for the information and use of the Board (in its capacity as such) in connection with its evaluation of the merger and addressed only the fairness, from a financial point of view, of the merger consideration to be paid to the holders of Company common stock (other than canceled shares and appraisal shares) in the proposed merger. Wells Fargo’s opinion did not address any other aspect or implication of the merger (financial or otherwise). Wells Fargo’s opinion did not address the relative merits of the merger as compared to any alternative transactions or strategies that might be available to the Company, nor did it address the underlying business decision of the Board or the Company to proceed with or effect the merger. Wells Fargo’s opinion is not intended to be and does not constitute a recommendation to any stockholder of the Company or any other person as to how to vote or act on any matter relating to the merger or any other matter.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preparing its opinion, Wells Fargo:</w:t>
      </w:r>
    </w:p>
    <w:p>
      <w:pPr>
        <w:spacing w:after="0" w:line="131"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March 6, 2026, of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and the industries in which it operates;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publicly available information concerning certain other companies Wells Fargo deemed relevant, and compared current and historic market prices of Company common stock with similar data for such other companies;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merger with the publicly available financial terms of certain other business combinations that Wells Fargo deemed relevant;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Company Forecasts and perpetuity growth rates for the Company applicable beyond the projected period, each prepared by and approved for Wells Fargo’s use by the management of the Company;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estimates prepared by and approved for Wells Fargo’s use by the management of the Company as to the Company’s net operating loss tax carryforwards (which we refer to as “estimated tax assets”) and the Company’s ability to utilize those estimated tax assets to achieve future tax savings on a standalone basis (which we refer to as “estimated tax savings”);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management of the Company regarding certain aspects of the merger, the business, financial condition and prospects of the Company, the effect of the merger on the business, financial condition and prospects of the Company, and certain other matters that Wells Fargo deemed relevant;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such other financial analyses and investigations and such other information that Wells Fargo deemed relevant.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giving its opinion, Wells Fargo assumed and relied upon the accuracy and completeness of all information that was publicly available or was furnished to or discussed with Wells Fargo by the Company or otherwise reviewed by Wells Fargo. Wells Fargo did not independently verify any such information, and pursuant to the terms of its engagement by the Company, Wells Fargo did not assume any obligation to undertake any such independent verification. In relying on the Company Forecasts, the estimated tax assets and the estimated tax savings, Wells Fargo assumed that the Company Forecasts had been reasonably prepared on bases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reflecting the best currently available estimates and judgments of management as to the future performance and financial condition of the Company and that the estimated tax assets and estimated tax savings had been reasonably prepared on bases reflecting the best currently available estimates and judgments of the management of the Company as to the Company’s net operating loss tax carryforwards and the Company’s ability to utilize those estimated tax assets to achieve future tax savings on a standalone basis. Wells Fargo expressed no view or opinion with respect to the Company Forecasts, the estimated tax assets or the estimated tax savings or the assumptions upon which they are based. Wells Fargo assumed that any representations and warranties made by the Company and UHS in the merger agreement or in other agreements relating to the merger will be true and accurate in all respects that are material to Wells Fargo’s analysis.</w:t>
      </w:r>
    </w:p>
    <w:p>
      <w:pPr>
        <w:spacing w:after="0" w:line="18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Wells Fargo also assumed that the merger would have the tax consequences described in discussions with, and materials provided to Wells Fargo by, the Company and its representatives. Wells Fargo assumed that, in the course of obtaining any regulatory or third-party consents, approvals or agreements in connection with the merger, no delay, limitation, restriction or condition would be imposed that would have an adverse effect on the Company or the contemplated benefits of the merger. Wells Fargo also assumed that the merger would be consummated in compliance with all applicable laws and regulations and in accordance with the terms of the merger agreement without waiver, modification or amendment of any term, condition or agreement thereof that is material to Wells Fargo’s analyses or opinion and that the final form of the merger agreement would not differ from the draft reviewed by Wells Fargo in any respect material to its analyses or opinion. In addition, Wells Fargo did not make any independent evaluation, inspection or appraisal of the assets or liabilities (contingent or otherwise) of the Company, nor had Wells Fargo been furnished with any such evaluations or appraisals. Wells Fargo did not evaluate the solvency of the Company under any state or federal laws relating to bankruptcy, insolvency or similar matters.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Wells Fargo’s opinion only addressed the fairness, from a financial point of view, of the merger consideration to be paid to the holders of Company common stock (other than canceled shares and appraisal shares) in the proposed merger, and Wells Fargo expressed no opinion as to the fairness of any consideration paid in connection with the merger to the holders of any other class of securities, creditors or other constituencies of the Company, including holders of the Company warrants. Furthermore, Wells Fargo expressed no opinion as to any other aspect or implication (financial or otherwise) of the merger, or any other agreement, arrangement or understanding entered into in connection with the merger or otherwise, including, without limitation, the fairness of the amount or nature of, or any other aspect relating to, any compensation or consideration to be received by or otherwise payable to any officers, directors or employees of any party to the merger, or class of such persons, relative to the merger consideration or otherwise. Furthermore, Wells Fargo did not express any advice or opinion regarding matters that require legal, regulatory, accounting, insurance, tax, environmental, executive compensation or other similar professional advice and relied upon the assessments of the Company and its advisors with respect to such advice.</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Wells Fargo’s opinion was necessarily based upon information made available to Wells Fargo as of the date of its opinion and financial, economic, market and other conditions as they existed and could be evaluated on the date thereof. Wells Fargo did not undertake, and is under no obligation, to update, revise, reaffirm or withdraw its opinion, or otherwise comment on or consider events occurring or coming to its attention after the date thereof, notwithstanding that any such subsequent developments may affect the opinion. Wells Fargo’s opinion did not address the relative merits of the merger as compared to any alternative transactions or strategies that might be available to the Company, nor did it address the underlying business decision of the Board or the Company to proceed with or effect the merger. Wells Fargo did not express any opinion as to the price at which Company common stock may be traded at any time.</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Wells Fargo was selected by the Company to act as its financial advisor based on Wells Fargo’s qualifications, experience and reputation. Wells Fargo was not requested to, and it did not, recommend or determine the specific consideration payable in the merger or opine that any specific consideration constituted the only appropriate consideration for the merger.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the merger agreement, including the merger consideration, were determined through arm’s-length negotiations between the Company and UHS, and the decision to enter into the merger agreement was solely that of the Board. Wells Fargo’s opinion to the Board was one of many factors taken into consideration by the Board in deciding to consider, approve and declare the advisability of the merger agreement and the transactions contemplated thereby and to recommend the approval of the merger by the holders of Company common stock. Consequently, the analyses described below should not be viewed as determinative of the opinion of the Board with respect to the merger consideration pursuant to the merger agreement or of whether the Board or management would have been willing to agree to a different consideration.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 of Wells Fargo</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Wells Fargo and reviewed by the Board in connection with Wells Fargo’s oral opinion to the Board on March 6, 2026, and the preparation of Wells Fargo’s written opinion to the Board, dated as of March 6, 2026. Except as otherwise noted, the following quantitative information, to the extent that it is based on market data, is based on market data as it existed on or before March 5, 2026.</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preparing its opinion, Wells Fargo performed a variety of financial and comparative analyses, including those described below. The summary of the analyses below is not a complete description of Wells Fargo’s opinion or the analyses underlying, and factors considered in connection with, Wells Fargo’s opinion, nor does the order of analyses described represent the relative importance or weight given to those analyses.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Wells Fargo arrived at its opinion based on the results of all analyses undertaken by Wells Fargo and factors assessed as a whole, and it did not draw, in isolation, conclusions from or with regard to any one factor or method of analysis. Some of these summaries of the financial analyses include information presented in tabular format. The tables are not intended to be standalone, and in order to more fully understand the financial analyses used by Wells Fargo, the tables must be read together with the full text of each summary. The tables alone do not constitute a complete description of the financial analyses. Accordingly, Wells Fargo believes that the analyses must be considered as a whole and in context and that selecting portions of its analyses and of the factors reviewed or focusing on information presented in tabular format, without considering all analyses and factors or the narrative description of the analyses, including the methodologies and assumptions underlying the analyses, could create a misleading or incomplete view of the processes underlying such analyses and its opinion.</w:t>
      </w:r>
    </w:p>
    <w:p>
      <w:pPr>
        <w:spacing w:after="0" w:line="187"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In performing its analyses, Wells Fargo considered business, economic, industry and market conditions, financial and otherwise, and other matters as they existed on, and could be evaluated as of, the date of its opinion. No company, business or transaction used in Wells Fargo’s analyses for comparative purposes is identical to the Company or the merger. While the results of each analysis were taken into account in reaching its overall conclusion with respect to the fairness, from a financial point of view, to the holders of Company common stock (other than canceled shares and appraisal shares) of the merger consideration to be paid to such holders in the merger, Wells Fargo did not make separate or quantifiable judgments regarding individual analyses. The reference ranges indicated by Wells Fargo’s financial analyses are illustrative and not necessarily indicative of actual values or predictive of future results or values, which may be significantly more or less favorable than those suggested by the analyses. Analyses based upon forecasts of future results are inherently uncertain, as they are subject to numerous factors or events beyond the control of the parties and their advisors. The analyses necessarily involve complex considerations and judgments concerning differences in financial and operational characteristics of the companies involved and other factors that could affect the companies compared to the Company and the transactions compared to the merger. In addition, any analyses relating to the value of assets, businesses or securities do not purport to be appraisals or to reflect the prices at which businesses or securities actually may be sold, which may depend on a variety of factors, many of which are beyond the Company’s control and the control of Wells Fargo. Much of the information used in, and accordingly the results of, Wells Fargo’s analyses are inherently subject to substantial uncertainty.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Companies Analysis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Wells Fargo performed a selected public companies analysis of the Company for which Wells Fargo reviewed certain financial and stock market information relating to the Company and the selected publicly traded companies listed below in the payor and employer care delivery industry that Wells Fargo deemed comparable to the Company in one or more respects, including among other things, products and services offered, customers, end-markets and financial performance. None of the selected companies used in Wells Fargo’s analysis is identical to the Company.</w:t>
      </w:r>
    </w:p>
    <w:p>
      <w:pPr>
        <w:spacing w:after="0" w:line="180" w:lineRule="exact"/>
        <w:rPr>
          <w:sz w:val="20"/>
          <w:szCs w:val="20"/>
          <w:color w:val="auto"/>
        </w:rPr>
      </w:pPr>
    </w:p>
    <w:p>
      <w:pPr>
        <w:ind w:left="120" w:right="440" w:firstLine="440"/>
        <w:spacing w:after="0" w:line="276" w:lineRule="auto"/>
        <w:rPr>
          <w:sz w:val="20"/>
          <w:szCs w:val="20"/>
          <w:color w:val="auto"/>
        </w:rPr>
      </w:pPr>
      <w:r>
        <w:rPr>
          <w:rFonts w:ascii="Times New Roman" w:cs="Times New Roman" w:eastAsia="Times New Roman" w:hAnsi="Times New Roman"/>
          <w:sz w:val="17"/>
          <w:szCs w:val="17"/>
          <w:color w:val="auto"/>
        </w:rPr>
        <w:t>For each of the selected companies noted below, Wells Fargo considered, among other things, the ratio of enterprise value (defined as market capitalization plus net debt, capitalized leases, preferred equity and non-controlling interest) (which we refer to as “Enterprise Value”) to estimated</w:t>
      </w:r>
    </w:p>
    <w:p>
      <w:pPr>
        <w:spacing w:after="0" w:line="1" w:lineRule="exact"/>
        <w:rPr>
          <w:sz w:val="20"/>
          <w:szCs w:val="20"/>
          <w:color w:val="auto"/>
        </w:rPr>
      </w:pPr>
    </w:p>
    <w:p>
      <w:pPr>
        <w:ind w:left="120" w:hanging="4"/>
        <w:spacing w:after="0" w:line="273" w:lineRule="auto"/>
        <w:tabs>
          <w:tab w:leader="none" w:pos="33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for calendar years 2026 and 2027 (referred to herein as “2026E Revenue” and “2027E Revenue”, respectively) and (ii) Adjusted EBITDA for calendar years 2026 and 2027 (which we refer to as “2026E Adjusted EBITDA” and “2027E Adjusted EBITDA”, respectively), in each case based on publicly available information, including public filings and research consensus estimates. For purposes of Wells Fargo’s analyses, in deriving ranges of implied values for the Company, Wells Fargo used the estimates reflected in the Company Forecasts for the applicable financial data for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selected companies considered by Wells Fargo were:</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Hinge Health, Inc.</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Progyny,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Teladoc Health,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0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Wells Fargo noted that, based on market data as of March 5, 2026, (i) the median and mean Enterprise Value to 2026E Revenue multiples for the selected publicly traded companies were 1.8x and 2.1x and the median and mean Enterprise Value to 2027E Revenue multiples for the selected publicly traded companies were 1.6x and 1.8x and (ii) the median and mean Enterprise Value to 2026E Adjusted EBITDA multiples for the selected publicly traded companies were 10.1x and 12.0x and the median and mean Enterprise Value to 2027E Adjusted EBITDA multiples for the selected publicly traded companies were 8.4x and 10.0x. Taking into account the results of the selected company analysis and based upon the application of its professional judgment and experience, Wells Fargo selected for the Company reference ranges of multiples of (i) 1.90x to 2.75x to be applied to 2026E Revenue and 1.70x to 2.25x to be applied to 2027E Revenue and (ii) 17.00x to 22.00x to be applied to 2026E Adjusted EBITDA and 14.00x to 16.00x to be applied to 2027E Adjusted EBITDA, in each case, based on the Company Forecasts. This analysis indicated an implied equity value per share reference range for Company common stock, after taking into account the Company’s net cash and the fully diluted shares outstanding of Company common stock, each as of February 28, 2026 and as provided by the Company management, of $3.68 to $5.64, as compared to the merger consideration of $5.25 per share.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Selected Precedent Transactions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Wells Fargo performed with respect to the Company a selected precedent transactions analysis, which is designed to derive an implied value of a company based on publicly available financial terms for selected transactions. The selected transactions were selected because they involved target companies that were similar to the Company in one or more respects deemed relevant by Wells Fargo. In connection with its analysis, Wells Fargo reviewed publicly available information regarding certain transactions involving behavioral health and benefit management companies from January 1, 2020 through March 5, 2026. The financial data reviewed included the Enterprise Value as a multiple of such target company’s estimated (i) revenue for the twelve-month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period following announcement of the applicable transaction (which we refer to as “NTM Revenue”) and (ii) Adjusted EBITDA for the twelve-month period following announcement of the applicable transaction (which we refer to as “NTM Adjusted EBITDA”), in each case based on publicly available information, including public filings and research consensus estimates.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selected transactions considered by Wells Fargo were: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Date Announced</w:t>
            </w: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Acquiror</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Target</w:t>
            </w:r>
          </w:p>
        </w:tc>
      </w:tr>
      <w:tr>
        <w:trPr>
          <w:trHeight w:val="191"/>
        </w:trPr>
        <w:tc>
          <w:tcPr>
            <w:tcW w:w="1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January 2025</w:t>
            </w:r>
          </w:p>
        </w:tc>
        <w:tc>
          <w:tcPr>
            <w:tcW w:w="240" w:type="dxa"/>
            <w:vAlign w:val="bottom"/>
          </w:tcPr>
          <w:p>
            <w:pPr>
              <w:spacing w:after="0"/>
              <w:rPr>
                <w:sz w:val="16"/>
                <w:szCs w:val="16"/>
                <w:color w:val="auto"/>
              </w:rPr>
            </w:pPr>
          </w:p>
        </w:tc>
        <w:tc>
          <w:tcPr>
            <w:tcW w:w="5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Transcarent, Inc.</w:t>
            </w:r>
          </w:p>
        </w:tc>
        <w:tc>
          <w:tcPr>
            <w:tcW w:w="220" w:type="dxa"/>
            <w:vAlign w:val="bottom"/>
          </w:tcPr>
          <w:p>
            <w:pPr>
              <w:spacing w:after="0"/>
              <w:rPr>
                <w:sz w:val="16"/>
                <w:szCs w:val="16"/>
                <w:color w:val="auto"/>
              </w:rPr>
            </w:pPr>
          </w:p>
        </w:tc>
        <w:tc>
          <w:tcPr>
            <w:tcW w:w="3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Accolade,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2024</w:t>
            </w: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Altaris, LLC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Sharecare,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2022</w:t>
            </w:r>
          </w:p>
        </w:tc>
        <w:tc>
          <w:tcPr>
            <w:tcW w:w="5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TPG, Inc.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Convey Health Solutions Holdings,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2022</w:t>
            </w: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TELUS Corporation</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LifeWorks,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2022</w:t>
            </w:r>
          </w:p>
        </w:tc>
        <w:tc>
          <w:tcPr>
            <w:tcW w:w="5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Titan-Atlas Parent, Inc. (an affiliate of Stone Point Capital)</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Tivity Health,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February 2022</w:t>
            </w: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Spark Parent, Inc. (an affiliate of Patient Square Capital)</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SOC Telemed,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2021</w:t>
            </w: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Onex Partners V (an affiliate of Onex Partners)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Newport Healthcare</w:t>
            </w:r>
          </w:p>
        </w:tc>
      </w:tr>
      <w:tr>
        <w:trPr>
          <w:trHeight w:val="216"/>
        </w:trPr>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2021</w:t>
            </w:r>
          </w:p>
        </w:tc>
        <w:tc>
          <w:tcPr>
            <w:tcW w:w="5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Centene Corporation</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Magellan Health, Inc.</w:t>
            </w:r>
          </w:p>
        </w:tc>
      </w:tr>
      <w:tr>
        <w:trPr>
          <w:trHeight w:val="216"/>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 2020</w:t>
            </w: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Kelso Fund X (an affiliate of Kelso &amp; Co)</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Refresh Mental Health</w:t>
            </w:r>
          </w:p>
        </w:tc>
      </w:tr>
      <w:tr>
        <w:trPr>
          <w:trHeight w:val="234"/>
        </w:trPr>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2020</w:t>
            </w:r>
          </w:p>
        </w:tc>
        <w:tc>
          <w:tcPr>
            <w:tcW w:w="5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Affiliates of TPG Global, LLC / TPG Capital</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LifeStance Health Holdings, Inc.</w:t>
            </w:r>
          </w:p>
        </w:tc>
      </w:tr>
    </w:tbl>
    <w:p>
      <w:pPr>
        <w:spacing w:after="0" w:line="19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None of the selected transactions reviewed was identical to the merger and evaluation of the results of these analyses is not entirely mathematical. However, the selected transactions were chosen because certain aspects of the transactions, for purposes of Wells Fargo’s analysis, may be considered similar to the merger. The analyses necessarily involve complex considerations and judgments concerning differences in financial and operational characteristics of the companies involved and other factors that could affect the transactions differently than they would affect the merger.</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Wells Fargo noted that the mean and median of the NTM Revenue multiples for the selected transactions were 2.2x and 2.7x, respectively. Wells Fargo noted that the mean and median of the NTM Adjusted EBITDA multiples for the selected transactions were 15.7x and 15.0x, respectively. Based on the application of its professional judgment and experience, Wells Fargo applied a multiple range of 2.0x to 3.0x to the Company’s NTM Revenue as of December 31, 2025 (based on the Company Forecasts) and 17.0x to 19.0x to the Company’s NTM Adjusted EBITDA as of December 31, 2025 (based on the Company Forecasts). This analysis indicated an equity value per share reference range for Company common stock, after taking into account the Company’s net cash and the fully diluted shares outstanding of Company common stock, each as of February 28, 2026, and as provided by the Company management, of $3.84 to $5.50, as compared to the merger consideration of $5.25 per share.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right="720" w:firstLine="440"/>
        <w:spacing w:after="0" w:line="261" w:lineRule="auto"/>
        <w:rPr>
          <w:sz w:val="20"/>
          <w:szCs w:val="20"/>
          <w:color w:val="auto"/>
        </w:rPr>
      </w:pPr>
      <w:r>
        <w:rPr>
          <w:rFonts w:ascii="Times New Roman" w:cs="Times New Roman" w:eastAsia="Times New Roman" w:hAnsi="Times New Roman"/>
          <w:sz w:val="18"/>
          <w:szCs w:val="18"/>
          <w:color w:val="auto"/>
        </w:rPr>
        <w:t>Wells Fargo performed a discounted cash flow analysis with respect to the Company by calculating the estimated net present value (as of December 31, 2025) of (i) the projected unlevered free cash flows of the Company based on the Company Forecasts for the years ending</w:t>
      </w:r>
    </w:p>
    <w:p>
      <w:pPr>
        <w:ind w:left="120" w:right="40"/>
        <w:spacing w:after="0" w:line="265" w:lineRule="auto"/>
        <w:rPr>
          <w:sz w:val="20"/>
          <w:szCs w:val="20"/>
          <w:color w:val="auto"/>
        </w:rPr>
      </w:pPr>
      <w:r>
        <w:rPr>
          <w:rFonts w:ascii="Times New Roman" w:cs="Times New Roman" w:eastAsia="Times New Roman" w:hAnsi="Times New Roman"/>
          <w:sz w:val="17"/>
          <w:szCs w:val="17"/>
          <w:color w:val="auto"/>
        </w:rPr>
        <w:t>December 31, 2026 through December 31, 2030, (ii) an estimated range of terminal values for the Company derived by application of perpetuity growth rates provided by and approved for Wells Fargo’s use by the management of the Company ranging from 4.0% to 5.0% and (iii) the estimated tax savings for the Company on a standalone basis for the fiscal years ending December 31, 2026 through December 31, 2032, resulting from the anticipated future utilization of the Company’s net operating losses. The present values (as of December 31, 2025) of the cash flows, the implied terminal values and the estimated tax savings were calculated using discount rates reflecting the estimated weighted average cost of capital for the Company ranging from</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11.00% to 13.00%. This analysis indicated an implied equity value per share reference range for Company common stock, after taking into account the Company’s net cash and the fully diluted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shares outstanding of Company common stock, each as of February 28, 2026 and as provided by the Company management, of $3.89 to $5.46, as compared to the merger consideration of $5.25 per share.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Information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Wells Fargo also observed certain additional information that was not considered part of its financial analyses with respect to its opinion but was noted for informational purposes, including the following:</w:t>
      </w:r>
    </w:p>
    <w:p>
      <w:pPr>
        <w:spacing w:after="0" w:line="16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Selected Premiums Paid Analysis</w:t>
      </w:r>
      <w:r>
        <w:rPr>
          <w:rFonts w:ascii="Times New Roman" w:cs="Times New Roman" w:eastAsia="Times New Roman" w:hAnsi="Times New Roman"/>
          <w:sz w:val="18"/>
          <w:szCs w:val="18"/>
          <w:color w:val="auto"/>
        </w:rPr>
        <w:t>. Wells Fargo performed with respect to the Company a selected premiums paid analysis, which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 an implied per share price range of a company’s equity securities based on observed premiums in selected transactions. In connection with its analysis, Wells Fargo reviewed publicly available statistics for certain transactions deemed relevant that were announced from January 1, 2015 through December 31, 2025 and involving acquisitions of U.S. targets, with transaction values between $200 million and $1 billion. By applying ranges of premiums of (i) 11% to 48% (reflecting the 25th and 75th percentiles of the observed one-day premiums relative to the one-day prior closing stock price) and (ii) 13% to 55% (reflecting the 25th and 75th percentiles of the observed four-week premiums relative to the four-weeks prior closing stock price) to the one-day prior unaffected closing stock price of the Company of $4.78 and the four-weeks prior unaffected closing stock price of the Company of $3.88, respectively, this analysis indicated a range of implied per share prices for Company common stock of $4.38 to $7.07.</w:t>
      </w:r>
    </w:p>
    <w:p>
      <w:pPr>
        <w:spacing w:after="0" w:line="185"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Historical Trading Prices</w:t>
      </w:r>
      <w:r>
        <w:rPr>
          <w:rFonts w:ascii="Times New Roman" w:cs="Times New Roman" w:eastAsia="Times New Roman" w:hAnsi="Times New Roman"/>
          <w:sz w:val="18"/>
          <w:szCs w:val="18"/>
          <w:color w:val="auto"/>
        </w:rPr>
        <w:t>. Wells Fargo reviewed the historical intraday trading prices of Company common stock for the 52-week period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5, 2026, which ranged from $2.22 to $5.18.</w:t>
      </w:r>
    </w:p>
    <w:p>
      <w:pPr>
        <w:spacing w:after="0" w:line="158"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Equity Research</w:t>
      </w:r>
      <w:r>
        <w:rPr>
          <w:rFonts w:ascii="Times New Roman" w:cs="Times New Roman" w:eastAsia="Times New Roman" w:hAnsi="Times New Roman"/>
          <w:sz w:val="18"/>
          <w:szCs w:val="18"/>
          <w:color w:val="auto"/>
        </w:rPr>
        <w:t>. Wells Fargo reviewed sell-side analyst price targets for shares of Company common stock published by eight equity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through March 5, 2026. These price targets generally reflect each analyst’s estimate of the 12-month future public market trading price per share of Company common stock and were not discounted to reflect present values. The range of undiscounted price targets for shares of Company common stock was $5.50 per share to $9.00 per share. The price targets published by equity research analysts do not necessarily reflect current market trading prices for shares of Company common stock and these estimates are subject to uncertainties, including the future financial performance of the Company and future financial market conditions.</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Company agreed to pay Wells Fargo for its services in connection with the proposed merger a fee currently estimated to be approximately $15.7 million, of which $3.0 million became payable upon delivery of Wells Fargo’s opinion and the remainder of which is contingent upon consummation of the merger. The Company agreed to reimburse Wells Fargo for Wells Fargo’s expenses, including fees and expenses of counsel, incurred in connection with Wells Fargo’s engagement. In addition, the Company agreed to indemnify Wells Fargo and related parties against certain liabilities and other items, including liabilities under the federal securities laws, relating to or arising out of Wells Fargo’s engagement.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two years preceding the date of Wells Fargo’s opinion, neither Wells Fargo nor its affiliates have had any other material investment, commercial banking or financial advisory relationships with the Company or HEC, a significant shareholder of the Company, and/or its affiliates or portfolio companies. As Wells Fargo informed the Board in connection with Wells Fargo’s engagement, during the two years preceding the date of Wells Fargo’s opinion, Wells Fargo and its affiliates have had investment or commercial banking relationships with UHS, for which Wells Fargo and such affiliates have received a fee of approximately $630,000. Such relationships have included acting as joint bookrunner on an offering of debt securities by UHS in September 2024. Wells Fargo noted to the Board that as of the date of Wells Fargo’s opinion, Wells Fargo and its affiliates held, on a proprietary basis, approximately 5% of the outstanding Company common stock and less than 1% of the outstanding common stock of UHS. In the ordinary course of business, Wells Fargo and its affiliates will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trade or otherwise effect transactions in the securities or other financial instruments (including bank loans or other obligations) of the Company, UHS, HEC and certain of their respective affiliates and, as applicable, portfolio companies, for its own account and for the accounts of its customers and, accordingly, will at any time hold a long or short position in such securities or financial instruments. In addition, Douglas L. Braunstein, a Vice Chairman of Wells Fargo &amp; Company (an affiliate of Wells Fargo), is Chairman of the Board, the former interim Chief Executive Officer of the Company and the Founder and Managing Partner of HEC. As of the date of Wells Fargo’s opinion, Mr. Braunstein beneficially owned approximately 15% of the outstanding Company common stock. As of the date of Wells Fargo’s opinion, HEC beneficially owned approximately 11% of the outstanding Company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Effects of the Merger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stockholder approval is obtained, the other conditions to the closing of the merger are either satisfied or (to the extent permitted by law) waived and the merger is consummated, at the effective time, Merger Sub will be merged with and into the Company upon the terms set forth in the merger agreement and in accordance with the DGCL, with the Company as the surviving corporation in the merger. As the surviving corporation in the merger, the Company will continue to exist following the merger as an indirect wholly owned subsidiary of UHS.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At the effective time, each share of Company common stock that is issued and outstanding as of immediately prior to the effective time (other than canceled shares and appraisal shares) will be converted automatically into, and will thereafter represent only, the right to receive the merger consideration ($5.25 per share in cash, without interest and subject to any applicable withholding taxes). At the effective time, you will be entitled to receive the merger consideration for each of your shares of Company common stock unless you have properly exercised, perfected and not validly withdrawn or otherwise lost your appraisal rights under the DGCL with respect to such shares of Company common stock, and certain other conditions under the DGCL are satisfied (as described in more detail in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000000"/>
        </w:rPr>
        <w:t>). Following the merger, all of the common stock of the surviving corporation will be beneficially owned by UHS, and none of the current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Company stockholders will, by virtue of the merger, have any ownership interest in, or be a stockholder of, the Company or the surviving corporation. As a result, the current Company stockholders (other than holders of the Company’s outstanding equity awards that are unvested immediately prior to the effective time) will no longer benefit from any increase in the value, nor will they bear the risk of any decrease in the value, of the Company following the merger. Following the merger, UHS will benefit from any increase in the Company’s value and also will bear the risk of any decrease in the Company’s value. For additional information, please see the section of this proxy statement entitled “</w:t>
      </w:r>
      <w:r>
        <w:rPr>
          <w:rFonts w:ascii="Times New Roman" w:cs="Times New Roman" w:eastAsia="Times New Roman" w:hAnsi="Times New Roman"/>
          <w:sz w:val="18"/>
          <w:szCs w:val="18"/>
          <w:i w:val="1"/>
          <w:iCs w:val="1"/>
          <w:color w:val="000000"/>
        </w:rPr>
        <w:t>The Merger Agreement—Consideration To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Received in the Merger</w:t>
      </w:r>
      <w:r>
        <w:rPr>
          <w:rFonts w:ascii="Times New Roman" w:cs="Times New Roman" w:eastAsia="Times New Roman" w:hAnsi="Times New Roman"/>
          <w:sz w:val="18"/>
          <w:szCs w:val="18"/>
          <w:color w:val="000000"/>
        </w:rPr>
        <w:t>” beginning on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u w:val="single" w:color="auto"/>
          <w:color w:val="0000EE"/>
        </w:rPr>
        <w:t>page 92</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at the effective time, each Company warrant that is issued and outstanding as of immediately prior to the effective time shall, immediately following the effective time, continue to be outstanding according to its terms; provided that, following the effective time, each Company warrant shall,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shares of Company common stock for which such Company warrant was exercisable for immediately prior to the effective time. Pursuant to the Warrant Agreement between Hudson Executive Investment Corp. and Continental Stock Transfer &amp; Trust Company, dated June 8, 2020 (which we refer to as the “warrant agreement”), if a holder properly exercises a Company warrant within 30 days following the Company’s public disclosure of the consummation of the merger in a Current Report on Form 8-K, then the exercise price per share under such Company warrant (which we refer to as the “warrant price”) with respect to such exercise shall be reduced by an amount (in dollars, and in no event less than zero) equal to the difference of (i) the warrant price in effect immediately prior to such reduction minus (ii) (A) the merger consideration minus (B) the Black-Scholes Warrant Value (as defined and determined in accordance with the warrant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information regarding the effects of the merger on the Company’s outstanding equity awards, please see the section of this proxy statement entitled “—</w:t>
      </w:r>
      <w:r>
        <w:rPr>
          <w:rFonts w:ascii="Times New Roman" w:cs="Times New Roman" w:eastAsia="Times New Roman" w:hAnsi="Times New Roman"/>
          <w:sz w:val="18"/>
          <w:szCs w:val="18"/>
          <w:i w:val="1"/>
          <w:iCs w:val="1"/>
          <w:color w:val="auto"/>
        </w:rPr>
        <w:t>Interests of the Company’s Directors and Executive Officers in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77</w:t>
      </w:r>
      <w:r>
        <w:rPr>
          <w:rFonts w:ascii="Times New Roman" w:cs="Times New Roman" w:eastAsia="Times New Roman" w:hAnsi="Times New Roman"/>
          <w:sz w:val="18"/>
          <w:szCs w:val="18"/>
          <w:color w:val="auto"/>
        </w:rPr>
        <w:t xml:space="preserve"> and the section of this proxy statement entitled “</w:t>
      </w:r>
      <w:r>
        <w:rPr>
          <w:rFonts w:ascii="Times New Roman" w:cs="Times New Roman" w:eastAsia="Times New Roman" w:hAnsi="Times New Roman"/>
          <w:sz w:val="18"/>
          <w:szCs w:val="18"/>
          <w:i w:val="1"/>
          <w:iCs w:val="1"/>
          <w:color w:val="auto"/>
        </w:rPr>
        <w:t>The Merger Agreement—Treatment of Company Equity Awards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93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Shares of Company common stock are currently registered under the Exchange Act and listed on NASDAQ under the trading symbol “TALK”. Following the consummation of the merger, shares of Company common stock are expected to be delisted and will no longer be traded on NASDAQ or any other public market in accordance with applicable law, rules and regulations. In addition, the registration of Company common stock under the Exchange Act is expected to be terminated, and, upon such termination, the Company will no longer be required to file periodic and other reports with the SEC with respect to the Company common stock in accordance with applicable law, rules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Consummated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Company stockholder approval is not obtained or if the merger is not consummated for any other reason, Company stockholders will not receive any payment for their shares of Company common stock in connection with the merger and holders of Company RSUs and Company options will not receive any payment for their vested equity awards and will not have their unvested equity awards converted to equivalent UHS equity awards in connection with the merger. Instead, the Company will remain an independent public company, the Company common stock will continue to be listed and traded on NASDAQ, the Company common stock will continue to be registered under the Exchange Act, the Company will continue to file periodic reports with the SEC, Company stockholders will continue to own their shares of Company common stock and will continue to be subject to the same general risks and opportunities as they currently are with respect to ownership of the Company common stock, including, among other things, general industry, economic and market conditions, and holders of Company RSUs and Company options will continue to hold their Company equity awards and will continue to be subject to the same general risks and opportunities as they currently are with respect to ownership of the Company equity awards, including, among other things, general industry, economic and market conditions.</w:t>
      </w:r>
    </w:p>
    <w:p>
      <w:pPr>
        <w:spacing w:after="0" w:line="194"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If the merger is not consummated, there is no assurance as to the effect of these risks and opportunities on the future value of your Company common stock, including the risk that the market price of Company common stock may decline to the extent that the current market price of the Company common stock reflects a market assumption that the merger will be consummated. If the merger is not consummated, from time to time, the Board will evaluate and review the Company’s business operations, properties, dividend policy and capitalization, among other things, make such changes as are deemed appropriate and continue to seek to identify strategic alternatives to maximize stockholder value. If the merger is not consummated, there is no assurance that any other transaction acceptable to the Company will be offered or that the business, operations, financial condition, earnings or prospects of the Company will not be adversely impacted. Pursuant to the merger agreement, under certain circumstances the Company is permitted to terminate the merger agreement in order to enter into an alternative transaction. Please see the section of this proxy statement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Under certain circumstances, if the merger agreement is terminated, the Company may be obligated to pay to UHS a $32,394,000 termination fee, as described in the section of this proxy statement entitled “</w:t>
      </w:r>
      <w:r>
        <w:rPr>
          <w:rFonts w:ascii="Times New Roman" w:cs="Times New Roman" w:eastAsia="Times New Roman" w:hAnsi="Times New Roman"/>
          <w:sz w:val="18"/>
          <w:szCs w:val="18"/>
          <w:i w:val="1"/>
          <w:iCs w:val="1"/>
          <w:color w:val="auto"/>
        </w:rPr>
        <w:t>The Merger Agreement—Company Termination Fee</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There is no financing condition to the consummation of the merger. UHS has represented in the merger agreement that it has the funds sufficient to enable Merger Sub and the surviving corporation to pay the merger consideration and any other amounts required to be paid in connection with the consummation of the transactions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contemplated by the merger agreement and to pay all related fees and expenses and that there is no restriction on the use of cash for such purpose and to perform its obligations under the merger agreement. UHS has also represented it has the financial resources and capabilities to fully perform all of its obligations under the merger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merger is consummated, holders of record and beneficial owners of shares of Company common stock who do not vote in favor of the merger agreement proposal and who do not wish to accept the merger consideration will have the right to demand an appraisal of their shares of Company common stock under Section 262 and, if all procedures described in Section 262 are strictly complied with, to receive an amount in cash equal to the fair value of their shares of Company common stock exclusive of any element of value arising from the accomplishment or expectation of the merger, as determined by the Delaware Court, together with interest (unless the Delaware Court in its discretion determines otherwise for good cause shown) to be paid upon the amount determined to be the fair value in lieu of receiving the merger consideration.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Company stockholders who properly demand, and do not otherwise lose, withdraw or waive, appraisal rights under Section 262 will not receive the merger consideration they would otherwise be entitled to receive pursuant to the merger agreement. Instead, they will receive an amount determined to be the “fair value” of their shares of Company common stock following petition to, and an appraisal by, the Delaware Court. Company stockholders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Company stockholders wishing to exercise appraisal rights are urged to consult their legal and financial advisors before attempting to exercise such rights.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copy of Section 262 may be accessed without subscription or cost at the following publicly available website: https://delcode.delaware.gov/title8/c001/sc09/index.html#262. The following summary is not a complete statement of the law relating to appraisal rights and is qualified in its entirety by reference to Section 262 and any amendments thereto after the date of this proxy statement. Any person who desires to exercise his, her or its appraisal rights should review carefully Section 262 and is urged to consult his, her or its legal and financial advisors before electing or attempting to exercise such rights. The following summary does not constitute legal or other advice, nor does it constitute a recommendation that stockholders seek to exercise their appraisal rights under Section 262. Failure to comply timely and properly with the requirements of Section 262 will result in the loss of a stockholder’s appraisal rights under the DGCL. A stockholder who loses his, her or its appraisal rights will be entitled to receive the merger consideration under the merger agreement, without interest and subject to any applicable withholding taxes.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holder of record or a beneficial owner of shares of Company common stock who (i) continuously holds such shares on and from the date of the making of the demand through the effective time, (ii) properly submits a written demand for appraisal of their applicable shares of Company common stock to the Company before the vote is taken on the merger agreement proposal at the special meeting, (iii) has not consented to or otherwise voted in favor of the merger (including by executing and returning a proxy) or otherwise withdrawn, lost or waived appraisal rights, (iv) strictly complies with all other procedures for exercising appraisal rights under Section 262, (v) does not thereafter fail to perfect or effectively withdraw his, her or its demand for appraisal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such shares or otherwise lose his, her or its rights to seek appraisal and (vi)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below), will be entitled to have their shares of Company common stock appraised by the Delaware Court and to receive payment in cash of the fair value of his, her or its shares of Company common stock exclusive of any element of value arising from the accomplishment or expectation of the merger, as determined by the Delaware Court, together with interest (unless the Delaware Court in its discretion determines otherwise for good cause shown) to be paid upon the amount determined to be the fair value from the effective time of the merger through the date of payment of the judgment.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262 requires that where a merger agreement is to be submitted for adoption at a meeting of stockholders, the stockholders must be notified that appraisal rights will be available not less than 20 days before the meeting to vote on the merger. Such notice must include either a copy of Section 262 or information directing the stockholders to a publicly available electronic resource at which Section 262 may be accessed without subscription or cost. This proxy statement constitutes the Company’s required notice to our stockholders that appraisal rights are available in connection with the merger, in compliance with the requirements of Section 262. If you wish to consider exercising your appraisal rights, you should carefully review the text of Section 262, which may be accessed without subscription or cost at the following publicly available website: https://delcode.delaware.gov/title8/c001/sc09/index.html#262. Failure to comply timely and properly with the requirements of Section 262 will result in the loss of your appraisal rights under the DGCL.</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you elect to demand appraisal of your shares of Company common stock, you must satisfy each of the following conditions: you must deliver to the Company a written demand for appraisal of your shares of Company common stock before the taking of the vote on the merger, which demand must reasonably inform us of the identity of the holder of record of shares of Company common stock who intends to demand appraisal of his, her or its shares of Company common stock and, for beneficial owners only, such demand must be accompanied by documentary evidence of such beneficial owner’s beneficial ownership and a statement that such documentary evidence is a true and correct copy of what it purports to be, and must provide an address at which such beneficial owner consents to receive notices given by the Company and to be set forth on the Chancery List (as defined below); you must not vote or submit a proxy in favor of the proposal to adopt the merger agreement; you must hold your shares of Company common stock continuously through the effective time; and you must comply in all respects with the other applicable requirements of Section 262.</w:t>
      </w:r>
    </w:p>
    <w:p>
      <w:pPr>
        <w:spacing w:after="0" w:line="1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 Company stockholder who elects to exercise appraisal rights must mail his, her or its written demand for appraisal to the following address: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Talkspace,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P.O. Box 659</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Portsmouth, NH 03802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John Reilly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Chief Legal Officer and Executive Vice President, Government Relations</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Demands for appraisal may not be submitted by electronic transmission. Such written demands must be delivered to and received by the Company before the vote on the adoption of the merger agreement at the special meeting.</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record holder who holds shares of Company common stock as a nominee for others, such as a broker, fiduciary, depositary or other nominee, may exercise appraisal rights with respect to the shares held for all or less than all beneficial owners of shares as to which such person is the record owner. In such case, the demand must set forth the number of shares of Company common stock covered by such demand. Where the number of shares of Company common stock is not expressly stated, the demand will be presumed to cover all shares of Company common stock outstanding in the name of such record owner.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Within 10 days after the effective time, the surviving corporation must give written notice that the merger has become effective to (i) each Company stockholder and (ii) each beneficial owner of Company common stock, in each case who has properly filed a written demand for appraisal in accordance with Section 262 and who did not vote in favor of the proposal to adopt the merger agreement. At any time within 60 days after the effective time, or thereafter with the written approval of the Company, any holder of record or beneficial holder entitled to appraisal rights who properly made a written demand for appraisal in accordance with Section 262 and who has not commenced an appraisal proceeding or joined a proceeding as a named party may withdraw the demand and accept the merger consideration specified by the merger agreement for some or all of that person’s shares of Company common stock, without interest and subject to any applicable withholding taxes, by delivering to the surviving corporation a written withdrawal of the demand for appraisal. A withdrawal of a holder of record’s or beneficial owner’s demand for appraisal will be deemed to be acceptance of the terms of the merger agreement, which terms are summarized in this proxy statement and which merger agreement is attached in its entirety to this proxy statement as Annex A. However, any such attempt to withdraw made more than 60 days after the effective time will require the surviving corporation’s written approval.</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either the surviving corporation or any stockholder who has properly and timely demanded appraisal and otherwise complied with Section 262 and who is otherwise entitled to appraisal rights under Section 262 may commence an appraisal proceeding by filing a petition in the Delaware Court, with a copy served on the surviving corporation in the case of a petition filed by a stockholder, demanding a determination of the fair value of the shares of Company common stock held by all stockholders that have demanded appraisal. The surviving corporation is under no obligation, and there is no present intent on the part of the Company or the surviving corporation, to file an appraisal petition. Stockholders seeking to exercise appraisal rights should assume that the Company and the surviving corporation will not file such a petition or initiate any negotiations with respect to the fair value of shares of Company common stock. Accordingly, stockholders who desire to have their shares of Company common stock appraised should initiate any petitions necessary for the perfection of their appraisal rights within the time periods and in the manner prescribed in Section 262. If, within 120 days after the effective time, no petition has been filed as provided above, all rights to appraisal will cease and any stockholder that previously demanded appraisal will become entitled only to the merger consideration under the merger agreement, without interest and subject to any applicable withholding taxes.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 appraisal proceeding in the Delaware Court will be dismissed as to any holder of record or beneficial owner without the approval of the Delaware Court, and such approval may be conditioned upon such terms as the Delaware Court deems just;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shall not affect the right of any holder of record or beneficial owner who has properly made an appraisal demand but who has not commenced an appraisal proceeding or joined that proceeding as a named party to withdraw such person’s demand for appraisal and to accept the merger consideration within 60 days after the effective time of the merger. If the surviving corporation does not approve a holder of record’s or beneficial owner’s request to withdraw a demand for appraisal when that approval is required or, except with respect to any holder of record or beneficial owner who withdraws such person’s demand in accordance with the proviso in the immediately preceding sentence, if the Delaware Court does not approve the dismissal of an appraisal proceeding with respect to a holder of record or beneficial owner, the holder of record or beneficial owner will be entitled to receive only the appraised value of such holder’s shares of Company common stock determined in any such appraisal proceeding, which value could be less than, equal to or more than the merger consideration being offered pursuant to the merger agreement.</w:t>
      </w:r>
    </w:p>
    <w:p>
      <w:pPr>
        <w:spacing w:after="0" w:line="19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within 120 days after the effective time, any person who has theretofore complied with the applicable provisions of Section 262 will be entitled, upon written request, to receive from the surviving corporation a statement setting forth the aggregate number of shares of Company common stock not voted in favor of the approval of the adoption of the merger agreement and with respect to which demands for appraisal were received by the surviving corporation and the aggregate number of holders of such shares (provided that, where a beneficial owner makes a demand pursuant to Section 262, the holder of record of such shares of Company common stock shall not be considered a separate stockholder holding such shares of the Company for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purposes of such aggregate number). Such statement must be given within 10 days after the written request therefor has been received by the surviving corporation or within 10 days after the expiration of the period for the delivery of demands as described above, whichever is later.</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the filing of a petition by a holder of record or beneficial holder, service of a copy of such petition must be made upon the surviving corporation by such holder. The surviving corporation shall be required, within 20 days after such service, to file in the office of the Register in Chancery in which the petition was filed a duly verified list containing the names and addresses of all stockholders who have demanded appraisal of their shares of Company common stock and with whom the surviving corporation has not reached agreements as to the value of such shares (which we refer to as the “Chancery List”). The Register in Chancery, if so ordered by the Delaware Court, shall give notice of the time and place fixed for the hearing of such petition by registered or certified mail to the surviving corporation and to all such stockholders set forth on the Chancery List.</w:t>
      </w:r>
    </w:p>
    <w:p>
      <w:pPr>
        <w:spacing w:after="0" w:line="18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If a petition for an appraisal is timely filed by a holder of record or beneficial holder, at the hearing on such petition, the Delaware Court will determine which stockholders have complied with Section 262 and have become entitled to appraisal rights provided thereby. The Delaware Court may require the stockholders who have demanded an appraisal of their shares of Company common stock and who hold shares represented by certificates to submit their certificates of shares of Company common stock to the Register in Chancery for notation thereon of the pendency of the appraisal proceedings; and if any person fails to comply with such direction, the Delaware Court may dismiss the proceedings as to such person. If immediately before the merger, the shares of the class or series of stock of the corporation were listed on a national securities exchange (which we expect to be the case), the Delaware Court will dismiss the appraisal proceedings as to all holders of such shares who are otherwise entitled to appraisal rights unless</w:t>
      </w:r>
    </w:p>
    <w:p>
      <w:pPr>
        <w:spacing w:after="0" w:line="2" w:lineRule="exact"/>
        <w:rPr>
          <w:sz w:val="20"/>
          <w:szCs w:val="20"/>
          <w:color w:val="auto"/>
        </w:rPr>
      </w:pPr>
    </w:p>
    <w:p>
      <w:pPr>
        <w:ind w:left="120" w:right="20" w:hanging="4"/>
        <w:spacing w:after="0" w:line="260" w:lineRule="auto"/>
        <w:tabs>
          <w:tab w:leader="none" w:pos="3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entitled to appraisal exceeds 1% of the outstanding shares of the class or series eligible for appraisal or (ii) the value of the consideration provided in the merger for such total number of shares exceeds $1,000,000.</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application by the surviving corporation or any stockholder entitled to participate in the appraisal proceedings, the Delaware Court may, in its discretion, proceed to trial upon the appraisal prior to the final determination of the stockholders entitled to appraisal. Any stockholder whose name appears on the Chancery List may participate fully in all proceedings until it is finally determined that such stockholder is not entitled to appraisal rights under Section 262.</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 proceedings are not dismissed, the appraisal proceeding shall be conducted in accordance with the rules of the Delaware Court, including any rules specifically governing appraisal proceedings. Through such proceedings the Delaware Court shall determine the fair value of shares of Company common stock taking into account all relevant factors, exclusive of any element of value arising from the accomplishment or expectation of the merger, together with interest (unless the Delaware Court in its discretion determines otherwise for good cause shown) to be paid upon the amount determined to be the fair value. Unless the Delaware Court,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the period between the effective time and the date of payment of the judgment. At any time before the entry of judgment in the proceedings, the surviving corporation may pay to each stockholder entitled to appraisal an amount in cash, in which case interest shall accrue after such payment only on the sum of (i) the difference, if any, between the amount so paid and the fair value of the shares of Company common stock as determined by the Delaware Court, and (ii) interest theretofore accrued, unless paid by the surviving corporation as part of the pre-judgment payment to the stockholder.</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When the fair value of the shares of Company common stock is determined, the Delaware Court will direct the payment of such value, with interest thereon, if any, to the stockholders entitled to receive the same.</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Although the Company believes that the merger consideration is fair, no representation is made as to the outcome of the appraisal of fair value as determined by the Delaware Court and stockholders should recognize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that such an appraisal could result in a determination of a value higher or lower than, or the same as, the merger consideration. Moreover, the surviving corporation does not anticipate offering more than the merger consideration to any stockholder exercising appraisal rights and reserves the right to assert, in any appraisal proceeding, that, for purposes of Section 262, the “fair value” of the relevant shares of Company common stock is less than the merger consideration.</w:t>
      </w:r>
    </w:p>
    <w:p>
      <w:pPr>
        <w:spacing w:after="0" w:line="17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determining “fair value”, the Delaware Court is required to take into account all relevant factors. In </w:t>
      </w:r>
      <w:r>
        <w:rPr>
          <w:rFonts w:ascii="Times New Roman" w:cs="Times New Roman" w:eastAsia="Times New Roman" w:hAnsi="Times New Roman"/>
          <w:sz w:val="18"/>
          <w:szCs w:val="18"/>
          <w:i w:val="1"/>
          <w:iCs w:val="1"/>
          <w:color w:val="auto"/>
        </w:rPr>
        <w:t>Weinberger v. UOP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were known or could be ascertained as of the date of the merger which throw any light on future prospects of the merged corporation.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the Delaware Supreme Court stated that such exclusion is a “narrow exclusion [that] does not encompass known elements of value”, but which rather applies only to the speculative elements of value arising from such accomplishment or expectation.</w:t>
      </w:r>
    </w:p>
    <w:p>
      <w:pPr>
        <w:spacing w:after="0" w:line="18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to mean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stockholder’s exclusive remedy.</w:t>
      </w:r>
    </w:p>
    <w:p>
      <w:pPr>
        <w:spacing w:after="0" w:line="18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cost of the appraisal proceeding may be determined by the Delaware Court and allocated among the parties as the Delaware Court deems equitable in the circumstances. However, costs do not include attorneys’ and expert witness fees. Each party is responsible for his, her or its attorneys’ and expert witness fees, although, upon application of a stockholder whose name appears on the Chancery List who participated in the proceeding and incurred expenses in connection therewith, the Delaware Court may order that all or a portion of such expenses, including, without limitation, reasonable attorneys’ and expert witness fees, be charged pro rata against the value of all shares of Company common stock entitled to appraisal not dismissed pursuant to Section 262(k) of the DGCL or subject to such an award pursuant to a reservation of jurisdiction under Section 262(k) of the DGCL. Determinations by the Delaware Court are subject to appellate review by the Delaware Supreme Court.</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any holder of record or beneficial owner who demands appraisal of his, her or its shares of Company common stock under Section 262 fails to perfect, effectively withdraws, or otherwise waives or loses such stockholder’s right to appraisal, such stockholder’s shares of Company common stock will be deemed to have been converted at the effective time of the merger into the right to receive the merger consideration as provided in the merger agreement, without interest. A holder of record or beneficial owner will fail to perfect, effectively withdraw or otherwise waive or lose such stockholder’s right to appraisal if no petition for appraisal is filed within 120 days after the effective time of the merger or if the holder of record or beneficial owner delivers to the surviving corporation a written withdrawal of such stockholder’s or beneficial owner’s demand for appraisal and an acceptance of the merger consideration as provided in the merger agreement in accordance with Section 262 within 60 days of the effective time of the merger.</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holder of record or beneficial holder who has duly demanded appraisal in compliance with Section 262 will not be entitled to vote for any purpose any shares of Company common stock subject to such demand or to receive payment of dividends or other distributions on such shares, except for dividends or distributions payable to Company stockholders of record at a date prior to the effective time.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appraisal proceeding in the Delaware Court shall be dismissed as to any person without the approval of the Delaware Court, and such approval may be conditioned upon such terms as the Delaware Court deems just, including without limitation, a reservation of jurisdiction for any application to the Delaware Court made under Section 262(j) of the DGCL; provided, however, that the foregoing shall not affect the right of any person who has not commenced an appraisal proceeding or joined such a proceeding as a named party to withdraw such person’s demand for appraisal and to accept the terms offered upon the merger within 60 days after the effective time. If no petition for appraisal is filed with the Delaware Court within 120 days after the effective time, all rights to appraisal will cease and any stockholder that previously demanded appraisal will become entitled only to the merger consideration under the merger agreement.</w:t>
      </w:r>
    </w:p>
    <w:p>
      <w:pPr>
        <w:spacing w:after="0" w:line="18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FAILURE TO COMPLY STRICTLY WITH ALL OF THE PROCEDURES SET FORTH IN SECTION 262 MAY RESULT IN THE LOSS OF A HOLDER OF RECORD’S OR BENEFICIAL OWNER’S STATUTORY APPRAISAL RIGHTS. IN THAT EVENT, YOU WILL BE ENTITLED TO RECEIVE THE MERGER CONSIDERATION FOR YOUR DISSENTING SHARES IN ACCORDANCE WITH THE MERGER AGREEMENT, WITHOUT INTEREST AND SUBJECT TO ANY APPLICABLE WITHHOLDING TAXES. CONSEQUENTLY, ANY HOLDER OF RECORD OR BENEFICIAL OWNER WISHING TO EXERCISE APPRAISAL RIGHTS IS ENCOURAGED TO CONSULT FINANCIAL AND LEGAL COUNSEL BEFORE ATTEMPTING TO EXERCISE THOSE RIGHTS.</w:t>
      </w:r>
    </w:p>
    <w:p>
      <w:pPr>
        <w:spacing w:after="0" w:line="18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are any inconsistencies between the foregoing summary, on the one hand, and Section 262, on the other hand, Section 262 will govern. The summary included herein does not constitute legal or other advice, nor does it constitute a recommendation that persons seek to exercise their appraisal rights under Section 262. Failure to comply timely and properly with the requirements of Section 262 will result in the loss of a person’s appraisal rights under the DGCL. A person who loses his, her or its appraisal rights will be entitled to receive the merger consideration under the merger agreement, without interest and subject to any applicable withholding taxes.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Company’s directors and executive officers have interests in the merger that may be different from, or in addition to, the interests of the Company stockholders generally. The members of the Board were aware of and considered these interests in reaching the determination to adopt the merger agreement and to recommend that Company stockholders approve the merger agreement proposal.</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Company’s non-employee directors for purposes of the discussion below are Mr. Douglas Braunstein, Ms. Swati Abbott, Ms. Liat Ben-Zur, Mr. Michael Hansen, Ms. Madhu Pawar, Mr. Erez Shachar, Mr. Curtis Warfield and Ms. Jacqueline Yeaney.</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Company’s executive officers for purposes of the discussion below are Dr. Jon Cohen, M.D. (Chief Executive Officer), Mr. Ian Harris (Chief Financial Officer), Mr. Gil Margolin (Chief Technology Officer), Mr. John C. Reilly (Chief Legal Officer and Executive Vice President, Government Relations) and Ms. Katelyn Watson (Chief Marketing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Consideration Payable for Outstanding Shares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Company’s directors and executive officers will be entitled to receive, for each share of Company common stock he or she holds, the merger consideration, on the same terms and conditions and in the same manner as other Company stockholders. Each share of Company common stock bearing a legend that such share is subject to forfeiture that is, or has been, forfeited pursuant to Section 1.9(c) of the sponsor support agreement will automatically be canceled and will cease to exist and no consideration will be delivered in exchange therefor.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information regarding beneficial ownership of shares of Company common stock by each of the Company’s current directors and executive officers and all of such directors and executive officers as a group, please see the section of this proxy statement entitled “</w:t>
      </w:r>
      <w:r>
        <w:rPr>
          <w:rFonts w:ascii="Times New Roman" w:cs="Times New Roman" w:eastAsia="Times New Roman" w:hAnsi="Times New Roman"/>
          <w:sz w:val="18"/>
          <w:szCs w:val="18"/>
          <w:i w:val="1"/>
          <w:iCs w:val="1"/>
          <w:color w:val="auto"/>
        </w:rPr>
        <w:t>Security Ownership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Owners, Management and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120</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Warrants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Each Company warrant that is issued and outstanding as of immediately prior to the effective time will, immediately following the effective time, continue to be outstanding according to its terms; provided that, following the effective time, each Company warrant will,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shares of Company common stock for which such Company warrant was exercisable for immediately prior to the effective time. Pursuant to the warrant agreement, if a holder properly exercises a Company warrant within 30 days following the Company’s public disclosure of the consummation of the merger in a Current Report on Form 8-K, then the warrant price with respect to such exercise shall be reduced by an amount (in dollars, and in no event less than zero) equal to the difference of (i) the warrant price in effect immediately prior to such reduction minus (ii) (A) the merger consideration minus (B) the Black-Scholes Warrant Value. If the closing occurs after June 22, 2026, the Company warrants will expire in accordance with their terms and will no longer be exercisable.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At the effective time, each Company RSU outstanding as of immediately prior to the effective time and that is or becomes vested as of the effective time will be canceled and converted into the right to receive an amount in cash (without interest) equal to the product (rounded up to the nearest cent) of (i) the aggregate number of shares of Company common stock underlying such vested Company RSU and (ii) the merger consideration.</w:t>
      </w:r>
    </w:p>
    <w:p>
      <w:pPr>
        <w:spacing w:after="0" w:line="15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Company RSU outstanding as of immediately prior to the effective time and that is and remains unvested as of the effective time will be assumed by UHS and converted into restricted stock units relating to a number of UHS Class B shares equal to the product (rounded up to the nearest whole share) of (i) the number of shares of Company common stock underlying such Company RSU and (ii) the exchange ratio, with the same terms and conditions that applied to such Company RSU immediately prior to the effective time (including with respect to vesting, effect of termination of employment and dividend equivalents).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Company option outstanding and unexercised as of immediately prior to the effective time and that is or becomes vested as of the effective time will be canceled and converted into the right to receive an amount in cash (without interest) equal to the product (rounded up to the nearest cent) of (i) the aggregate number of shares of Company common stock subject to such vested Company option, and (ii) the excess, if any, of (A) the merger consideration over (B) the per share exercise price of such vested Company option; provided, however, that any such vested Company option with a per share exercise price that is equal to or greater than the merger consideration shall be canceled for no consideration.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the effective time, each Company option outstanding and unexercised as of immediately prior to the effective time and that is unvested as of the effective time will be assumed by UHS and converted into a stock option with respect to a number of UHS Class B shares (rounded down to the nearest whole share) equal to the product of (i) the number of shares of Company common stock subject to such Company option immediately prior to the effective time and (ii) the exchange ratio, at an exercise price per share (rounded up to the nearest whole cent) equal to (a) the exercise price per share of such Company option immediately prior to the effective time divided by (b) the exchange ratio. Each assumed Company option will be subject to the same terms and conditions (including with respect to vesting and effect of termination of employment) that applied to the corresponding Company option immediately prior to the effective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effective time, the Company may fully accelerate the vesting of any Company RSUs and Company options held by non-employee directors of the Company.</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vested Company equity awards, the payment of the merger consideration will be made, subject to any applicable withholding taxes, as promptly as reasonably practicable following the effective time (and in no event later than the first regularly scheduled payroll date that occurs more than five business days following the effective time).</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Finally, the Company ESPP will be terminated and all accumulated contributions of each participant thereunder will be used to purchase shares of Company common stock immediately following the conclusion of any ongoing purchase period or, if earlier, two business days prior to the effective time.</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by type of Company equity award and for each director and each executive officer of the Company, an estimate of the aggregate value of such Company equity awards that may be held by each such individual at the effective time. The amounts set forth in the table below have been determined based on the number of Company equity awards held by each such individual as of April 13, 2026 (the latest practicable date to determine such amounts before the filing of this proxy statement), and assuming that (i) with respect to Company equity awards that convert into equivalent UHS equity awards, the price per share of Company common stock at the effective time is $5.15, which is the five-day average closing price of Company common stock following the first public announcement of the transaction on March 9, 2026, as required by SEC rules, (ii) all Company RSUs and Company options, in each case, that are or become vested at the effective time are valued based on the merger consideration of $5.25 per share (in the case of Company options, less the applicable exercise price of such Company options), (iii) the merger had been consummated on September 15, 2026, which is the assumed closing date only for purposes of this compensation-related disclosure and (iv) the individuals included in the tables below do not receive any additional grants of Company equity awards or forfeit any Company equity awards prior to September 15, 2026, however, the values in the table below do reflect the Company equity awards that are expected to vest prior to such date.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0"/>
                <w:szCs w:val="10"/>
                <w:b w:val="1"/>
                <w:bCs w:val="1"/>
                <w:color w:val="auto"/>
              </w:rPr>
              <w:t>(1)(2)</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0"/>
                <w:szCs w:val="10"/>
                <w:b w:val="1"/>
                <w:bCs w:val="1"/>
                <w:color w:val="auto"/>
              </w:rPr>
              <w:t>(3)</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0"/>
                <w:szCs w:val="10"/>
                <w:b w:val="1"/>
                <w:bCs w:val="1"/>
                <w:color w:val="auto"/>
              </w:rPr>
              <w:t>(2)</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Non-Employee Directors</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Douglas L. Braunstein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2,579,200</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253,166</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2,832,366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Shachar</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347,765</w:t>
            </w:r>
          </w:p>
        </w:tc>
        <w:tc>
          <w:tcPr>
            <w:tcW w:w="1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347,765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Curtis Warfield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253,166</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253,166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Yeaney</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253,166</w:t>
            </w:r>
          </w:p>
        </w:tc>
        <w:tc>
          <w:tcPr>
            <w:tcW w:w="1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253,166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Madhu Pawar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253,166</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253,166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Hansen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850,897</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253,169</w:t>
            </w:r>
          </w:p>
        </w:tc>
        <w:tc>
          <w:tcPr>
            <w:tcW w:w="1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1,104,066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Swati Abbott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172,795</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413,858</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586,653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Liat Ben-Zur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172,795</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413,858</w:t>
            </w:r>
          </w:p>
        </w:tc>
        <w:tc>
          <w:tcPr>
            <w:tcW w:w="1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586,653</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Cohen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4,791,524</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5,484,601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10,276,125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Ian Harris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52,341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100,307</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2,028,208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2,180,855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Reilly</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523,646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149,843</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1,202,085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1,875,574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Gil Margolin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170,190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89,263</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713,807</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973,260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Katelyn Watson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152,883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56,487</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1,113,214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1,322,584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Company options for which the exercise price is equal to or greater than the assumed stock price of $5.25.</w:t>
      </w:r>
    </w:p>
    <w:p>
      <w:pPr>
        <w:spacing w:after="0" w:line="27" w:lineRule="exact"/>
        <w:rPr>
          <w:rFonts w:ascii="Times New Roman" w:cs="Times New Roman" w:eastAsia="Times New Roman" w:hAnsi="Times New Roman"/>
          <w:sz w:val="18"/>
          <w:szCs w:val="18"/>
          <w:color w:val="auto"/>
        </w:rPr>
      </w:pPr>
    </w:p>
    <w:p>
      <w:pPr>
        <w:ind w:left="540" w:right="620" w:hanging="424"/>
        <w:spacing w:after="0" w:line="250"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in this column assume that the Company has provided for accelerated vesting of all Company equity awards held by non-employee directors immediately prior to the effective time.</w:t>
      </w:r>
    </w:p>
    <w:p>
      <w:pPr>
        <w:ind w:left="540" w:right="40" w:hanging="424"/>
        <w:spacing w:after="0" w:line="260"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Cohen Term Sheet (as defined and discussed further below in the section of this proxy statement entitled “</w:t>
      </w:r>
      <w:r>
        <w:rPr>
          <w:rFonts w:ascii="Times New Roman" w:cs="Times New Roman" w:eastAsia="Times New Roman" w:hAnsi="Times New Roman"/>
          <w:sz w:val="18"/>
          <w:szCs w:val="18"/>
          <w:i w:val="1"/>
          <w:iCs w:val="1"/>
          <w:color w:val="auto"/>
        </w:rPr>
        <w:t>—Individual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—Cohen Term Sheet</w:t>
      </w:r>
      <w:r>
        <w:rPr>
          <w:rFonts w:ascii="Times New Roman" w:cs="Times New Roman" w:eastAsia="Times New Roman" w:hAnsi="Times New Roman"/>
          <w:sz w:val="18"/>
          <w:szCs w:val="18"/>
          <w:color w:val="auto"/>
        </w:rPr>
        <w:t>”), at the effective time, Dr. Cohen’s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unvested Company options will be canceled and converted into a cash-based award. As such, the value of Dr. Cohen’s unvested Company options has been excluded from this table.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Executive Severance Payments and Benefits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Dr. Cohen, Messrs. Harris, Margolin and Reilly and Ms. Watson participate in the Company’s Executive Severance Plan (which we refer to as the “Severance Plan”), which provides for the following severance payments and benefits in the event of a termination without cause or for good reason (each, as defined in the Severance Plan) (which we refer to as a “qualifying termination”) in connection with a change in control transaction such as the merger.</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Severance Plan, upon a participant’s qualifying termination within three months prior to or one year following a change in control, then such participant will be entitled to the following severance payments and benefits:</w:t>
      </w:r>
    </w:p>
    <w:p>
      <w:pPr>
        <w:spacing w:after="0" w:line="67" w:lineRule="exact"/>
        <w:rPr>
          <w:sz w:val="20"/>
          <w:szCs w:val="20"/>
          <w:color w:val="auto"/>
        </w:rPr>
      </w:pPr>
    </w:p>
    <w:p>
      <w:pPr>
        <w:ind w:left="1080" w:right="14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equal to 200% (100%, in the case of Ms. Watson) of the executive’s then-current base salary and annual target bonus for the year in which such qualifying termination occurred, payable over the 24-month period (12-month period, in the case of Ms. Watson) following such qualifying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executive’s target bonus for the year of termination, prorated based on the number of days during the applicable performance year that the executive was employed through his or her qualifying termination;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(12 months, in the case of Ms. Watson) of payment or reimbursement of COBRA premiums for healthcare coverage at levels the same or similar to the coverage provided prior to the executive’s termination of employment;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acceleration of all outstanding Company equity awards held by such participant as of the date of his or her termination.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above severance benefits are contingent on the executive’s execution and non-revocation of a release of claims in favor of the Company and compliance with any restrictive covenants to which the executive is subject. In the event that any payment or benefit constitutes a parachute payment within the meaning of Section 280G of the Code, the Severance Plan provides a “best pay cap” approach whereby any severance payments and benefits the executive receives are reduced to the extent necessary so that no portion thereof is subject to the excise tax imposed under Section 4999 of the Code, but only if (a) the net amount of such payments, as so reduced, is greater than or equal to (b) the net amount of such severance payments without such reduction. Cash severance values for our executive officers are provided below under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Retention Bonuses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and UHS have agreed that the Company may establish a cash retention bonus program, under which the Company’s employees, including the executive officers, may receive awards in an aggregate amount of up to $2.5 million (which we refer to as the “Retention Pool”). Participants in and individual award amounts under the Retention Pool will be selected by the Company, subject to the approval of UHS. As of the date hereof, no executive officer has been granted an award under the Retention Pool.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each current or former director or officer of the Company will be entitled to certain ongoing indemnification and coverage under directors’ and officers’ liability insurance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policies following the merger. For a more detailed description of the provisions of the merger agreement relating to director and officer indemnification, please see the section of this proxy statement entitled “</w:t>
      </w:r>
      <w:r>
        <w:rPr>
          <w:rFonts w:ascii="Times New Roman" w:cs="Times New Roman" w:eastAsia="Times New Roman" w:hAnsi="Times New Roman"/>
          <w:sz w:val="17"/>
          <w:szCs w:val="17"/>
          <w:i w:val="1"/>
          <w:iCs w:val="1"/>
          <w:color w:val="auto"/>
        </w:rPr>
        <w:t>The Merger Agreement—Indemnification and Insurance</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110</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Interests of Douglas Braunstein in our Financial Advisor</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Mr. Braunstein is currently a Vice Chairman of Wells Fargo &amp; Company (an affiliate of Wells Fargo, our financial advisor in connection with the transactions contemplated by the merger agreement). Wells Fargo will receive a fee in connection with the transactions contemplated by the merger, a portion of which became due and owing as of March 6, 2026, the date Wells Fargo rendered its fairness opinion to the Board, and the remainder of which is contingent upon the closing of the merger. The aggregate fee expected to be received by Wells Fargo in connection with the transactions contemplated by the merger agreement constitutes less than 1% of Wells Fargo’s consolidated annual revenue. For additional information on Wells Fargo’s fee, see the section of this proxy statement entitled “—</w:t>
      </w:r>
      <w:r>
        <w:rPr>
          <w:rFonts w:ascii="Times New Roman" w:cs="Times New Roman" w:eastAsia="Times New Roman" w:hAnsi="Times New Roman"/>
          <w:sz w:val="18"/>
          <w:szCs w:val="18"/>
          <w:i w:val="1"/>
          <w:iCs w:val="1"/>
          <w:color w:val="auto"/>
        </w:rPr>
        <w:t>The Opinion of Wells Fargo</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63</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Individual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members of the Company’s senior management have entered into offer letter term sheets with UHS regarding their roles and compensation with UHS following the effective time (each of which we refer to as a “Term Sheet”). Each Term Sheet will become effective at the effective time and provides for base salary, annual target bonus and eligibility to receive annual grants of UHS equity awards. Furthermore, each Term Sheet is contingent on the executive’s (i) execution of a restrictive covenant agreement and alternative resolution of conflicts agreement, in each case, consistent with those entered into with similarly situated executives of UHS and consent and (ii) acknowledgement that any changes to his or her position (including status, offices, title, and reporting requirements), authority, duties or responsibilities in connection with or as a result of the merger will not constitute “good reason” under the Severance Plan. Specific details of each Term Sheet entered into as of the date of this proxy statement are described below. Certain members of the Company’s senior management have discussed with UHS the terms and conditions of their continued employment following the effective time, but, as of the date of this proxy statement and other than as described herein, the parties have not agreed to any such terms.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Cohen Term Sheet</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Dr. Cohen’s Term Sheet (which we refer to as the “Cohen Term Sheet”), Dr. Cohen will serve as Chief Executive Officer of the Company following the effective time and be eligible to receive (i) an annual base salary of $600,000, (ii) an annual bonus with a maximum payout equal to 200% of his annual base salary and (iii) beginning in 2027, annual grants of UHS equity awards with a grant date value equal to $750,000, with terms and conditions consistent with similarly situated executives of UHS. At the effective time, Dr. Cohen’s unvested Company options will be canceled and converted into a cash-based award equal to their intrinsic value based on the value of the merger consideration, payable quarterly over two years in eight equal installments, subject to continuous employment through the date of each installment (which we refer to as the “converted options”). Additionally, Dr. Cohen will be awarded a cash-based award of $2,400,000, equal to, and in lieu of, the value of severance benefits to which he would have been entitled upon a qualifying termination under the Severance Plan within three months prior to or one year following a change in control, payable quarterly over two years in eight equal payments, subject to continuous employment through the date of each installment (which we refer to as the “cash-based severance award” and, together with the converted options, the “Closing Payments”). In the event of a qualifying termination under the Severance Plan (as modified by the Cohen Term Sheet) following the effective time, any unpaid portion of the Closing Payments will become payable in a lump sum. Pursuant to the Cohen Term Sheet, at any time following the second anniversary of the effective time and in no event following the fourth anniversary thereof, Dr. Cohen may elect to transition from his position as Chief Executive Officer to a consultant role in exchange for a quarterly retainer of $25,000 and continued vesting of his unvested equity awards in accordance with the applicable vesting schedules. In the event the Company terminates Dr. Cohen’s consulting role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than for Dr. Cohen’s material failure to perform the services associated with his consulting role), his then-outstanding and unvested equity awards will fully vest. In addition, the Cohen Term Sheet provides that Dr. Cohen and UHS will negotiate in good faith to enter into a customary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Harris Term Sheet</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Pursuant to Mr. Harris’s Term Sheet (which we refer to as the “Harris Term Sheet”), Mr. Harris will serve as Chief Financial Officer of the Company following the effective time and be eligible to receive (i) an annual base salary of $400,000, (ii) a target bonus of up to 100% of his annual base salary and (iii) a cash sign-on bonus equal to $500,000, payable at the effective time (which we refer to as the “Sign-On Bonus”). The Harris Term Sheet provides that if Mr. Harris experiences a qualifying termination under the Severance Plan (as modified by the Harris Term Sheet) within the six-month period following the effective time, he will be entitled to a gross-up payment with respect to any excise tax incurred under Section 4999 of the Code, provided that the amount of such payment shall not exceed $1,600,000. If Mr. Harris experiences a qualifying termination (as modified by the Harris Term Sheet) within one year following the effective time or if Mr. Harris resigns for any reason during the period beginning on the six-month anniversary of the effective time and ending on the one-year anniversary of the effective time, Mr. Harris will receive the value of severance benefits to which he would have been entitled under the Severance Plan upon a qualifying termination within three months prior to or one year following a change in control, reduced by the value of the Sign-On Bonus.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Margolin Term Sheet</w:t>
      </w:r>
    </w:p>
    <w:p>
      <w:pPr>
        <w:spacing w:after="0" w:line="119" w:lineRule="exact"/>
        <w:rPr>
          <w:sz w:val="20"/>
          <w:szCs w:val="20"/>
          <w:color w:val="auto"/>
        </w:rPr>
      </w:pPr>
    </w:p>
    <w:p>
      <w:pPr>
        <w:jc w:val="both"/>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Pursuant to Mr. Margolin’s Term Sheet (which we refer to as the “Margolin Term Sheet”), Mr. Margolin will serve as Chief Technology Officer of the Company following the effective time and be eligible to receive (i) an annual base salary of $500,000, (ii) a target bonus of 150% of his annual base salary, which, during the first two years of his employment with UHS following the effective time, will be payable at no less than target level,</w:t>
      </w:r>
    </w:p>
    <w:p>
      <w:pPr>
        <w:spacing w:after="0" w:line="1" w:lineRule="exact"/>
        <w:rPr>
          <w:sz w:val="20"/>
          <w:szCs w:val="20"/>
          <w:color w:val="auto"/>
        </w:rPr>
      </w:pPr>
    </w:p>
    <w:p>
      <w:pPr>
        <w:ind w:left="120" w:right="60" w:hanging="4"/>
        <w:spacing w:after="0" w:line="271" w:lineRule="auto"/>
        <w:tabs>
          <w:tab w:leader="none" w:pos="43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2026, annual grants of UHS equity awards with a grant date value equal to $500,000, with terms and conditions consistent with similarly situated executives of UHS and (iv) a cash retention bonus equal to $3,000,000, payable in two equal installments on the first and second anniversaries of the effective time, subject to continued employment through the date of each installment. The Margolin Term Sheet provides that if Mr. Margolin experiences a qualifying termination (as modified by the Margolin Term Sheet), dies, or becomes disabled, he (or his estate, as applicable), will receive any then-unpaid portion of the cash retention bonus in a single lump sum within 60 days of such termination, death or disability.</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Fees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permitted to pay to each non-employee director his or her unpaid cash retainer for the calendar quarter in which the effective time occurs. The Company is also permitted to accelerate the vesting of any Company RSUs and Company options held by each current non-employee director of the Company immediately prior to the effective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Item 402(t) of Regulation S-K, the table below sets forth for each of the Company’s named executive officers estimates of the amounts of compensation that are payable in connection with or otherwise relate to the transactions. The Company stockholders are being asked to approve, on a non-binding, advisory basis, such compensation. Because the vote to approve such compensation is advisory only, it will not be binding on any of the Company, the Board, UHS or the surviving corporation. Accordingly, if the merger agreement proposal is approved by the Company stockholders and the merger is consummated, the compensation will be payable regardless of the outcome of the vote to approve such compensation, subject only to the conditions applicable thereto, which are described in the footnotes to the tables below and above under “</w:t>
      </w:r>
      <w:r>
        <w:rPr>
          <w:rFonts w:ascii="Times New Roman" w:cs="Times New Roman" w:eastAsia="Times New Roman" w:hAnsi="Times New Roman"/>
          <w:sz w:val="18"/>
          <w:szCs w:val="18"/>
          <w:i w:val="1"/>
          <w:iCs w:val="1"/>
          <w:color w:val="auto"/>
        </w:rPr>
        <w:t>—Interests 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potential payments in the tables below are quantified in accordance with Item 402(t) of Regulation S-K. The estimated values are based on</w:t>
      </w:r>
    </w:p>
    <w:p>
      <w:pPr>
        <w:spacing w:after="0" w:line="27" w:lineRule="exact"/>
        <w:rPr>
          <w:sz w:val="20"/>
          <w:szCs w:val="20"/>
          <w:color w:val="auto"/>
        </w:rPr>
      </w:pPr>
    </w:p>
    <w:p>
      <w:pPr>
        <w:ind w:left="120" w:hanging="4"/>
        <w:spacing w:after="0" w:line="251" w:lineRule="auto"/>
        <w:tabs>
          <w:tab w:leader="none" w:pos="3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that the merger had been consummated on September 15, 2026, which is the assumed closing date only for purposes of this compensation-related disclosure, (ii) with respect to Company equity awards that are or become vested at the effective time, the per share merger consideration of $5.25, (iii) with respect to Company equity awards that are unvested at the effective time, the price per share of Company common stock at the effective time of $5.15, which is the five-day average closing price of Company common stock following the first public announcement of the transaction on March 9, 2026, as required by SEC rules, (iv) the named executive officers’ salary and annual target bonus as in effect as of April 13, 2026, (v) the number of unvested Company RSUs held by the named executive officers as of April 13, 2026, the latest practicable date to determine such amounts before the filing of this proxy statement and (vi) an assumption that each named executive officer experiences a termination at the effective time under circumstances that would entitle the executive to severance benefits. As such, the amounts indicated below are estimates based on multiple assumptions that may or may not actually occur, including assumptions described in this proxy statement, and do not reflect certain compensation actions that may occur before the consummation of the merger. As a result, the actual amounts, if any, to be received by a named executive officer may materially differ from the amounts set forth below.</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disclosure, “double-trigger” refers to payments or benefits that require two conditions, the consummation of the transactions as well as another condition, such as a qualifying termination or continued employment through a certain date. “Single-trigger” refers to payments or benefits that become due or payable solely as a result of consummation of the transactions.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455" w:right="5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Cash ($)</w:t>
            </w:r>
            <w:r>
              <w:rPr>
                <w:rFonts w:ascii="Times New Roman" w:cs="Times New Roman" w:eastAsia="Times New Roman" w:hAnsi="Times New Roman"/>
                <w:sz w:val="10"/>
                <w:szCs w:val="10"/>
                <w:b w:val="1"/>
                <w:bCs w:val="1"/>
                <w:color w:val="auto"/>
              </w:rPr>
              <w:t>(1)</w:t>
            </w:r>
          </w:p>
        </w:tc>
        <w:tc>
          <w:tcPr>
            <w:tcW w:w="13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Equity ($)</w:t>
            </w:r>
            <w:r>
              <w:rPr>
                <w:rFonts w:ascii="Times New Roman" w:cs="Times New Roman" w:eastAsia="Times New Roman" w:hAnsi="Times New Roman"/>
                <w:sz w:val="10"/>
                <w:szCs w:val="10"/>
                <w:b w:val="1"/>
                <w:bCs w:val="1"/>
                <w:color w:val="auto"/>
              </w:rPr>
              <w:t>(2)</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496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40" w:type="dxa"/>
            <w:vAlign w:val="bottom"/>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3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Jon Cohen</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4,664,867</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10,276,125</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14,940,992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Harris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1,940,933</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2,180,855</w:t>
            </w: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1,600,000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5,721,788</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 Margolin</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4,940,933</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973,260</w:t>
            </w:r>
          </w:p>
        </w:tc>
        <w:tc>
          <w:tcPr>
            <w:tcW w:w="15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5,914,193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Reilly</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1,248,329</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1,875,574</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3,123,903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Katelyn Watson</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705,900</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1,322,584</w:t>
            </w:r>
          </w:p>
        </w:tc>
        <w:tc>
          <w:tcPr>
            <w:tcW w:w="15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2,028,484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40" w:hanging="424"/>
        <w:spacing w:after="0" w:line="266"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named executive officer’s (i) potential cash severance, payable pursuant to the terms of the Severance Plan, as modified by such named executive officer’s Term Sheet, as applicable, (ii) retention or sign-on bonus and (iii) in the case of Dr. Cohen, the Closing Payments, which amounts are set forth in the table below.</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xml:space="preserve">Severance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(a)</w:t>
            </w: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Retention / Sign-</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Closing Payments</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On Bonus ($)</w:t>
            </w:r>
            <w:r>
              <w:rPr>
                <w:rFonts w:ascii="Times New Roman" w:cs="Times New Roman" w:eastAsia="Times New Roman" w:hAnsi="Times New Roman"/>
                <w:sz w:val="10"/>
                <w:szCs w:val="10"/>
                <w:b w:val="1"/>
                <w:bCs w:val="1"/>
                <w:color w:val="auto"/>
              </w:rPr>
              <w:t>(b)</w:t>
            </w: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(c)</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Cohen</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482,600</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4,182,267</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Ian Harris</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1,440,933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500,000</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1,940,933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 Margolin</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1,940,933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3,000,000</w:t>
            </w:r>
          </w:p>
        </w:tc>
        <w:tc>
          <w:tcPr>
            <w:tcW w:w="16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4,940,933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John C. Reilly</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1,248,329</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1,248,329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Katelyn Watson</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705,900</w:t>
            </w:r>
          </w:p>
        </w:tc>
        <w:tc>
          <w:tcPr>
            <w:tcW w:w="15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080" w:hanging="532"/>
        <w:spacing w:after="0" w:line="25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severance equal to (i) a cash payment equal to 200% (100% in the case of Ms. Watson) of the executive’s then-current base salary and annual target bonus for the year in which his or her qualifying termination (for purposes of the “</w:t>
      </w:r>
      <w:r>
        <w:rPr>
          <w:rFonts w:ascii="Times New Roman" w:cs="Times New Roman" w:eastAsia="Times New Roman" w:hAnsi="Times New Roman"/>
          <w:sz w:val="18"/>
          <w:szCs w:val="18"/>
          <w:i w:val="1"/>
          <w:iCs w:val="1"/>
          <w:color w:val="auto"/>
        </w:rPr>
        <w:t>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section, as modified by the applicable Term Sheet) occurred, payable over the 24-month period (12-month period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Ms. Watson) following such qualifying termination; (ii) a lump sum cash payment equal to the executive’s target bonus for the year of termination, prorated based on the number of days during the applicable performance year that the executive was employed through his qualifying termination; and (iii) the value of up to 18 months (12 months in the case of Ms. Watson) of payment or reimbursement of COBRA premiums for healthcare coverage at levels the same or similar to the coverage provided prior to the executive’s termination of employment. Dr. Cohen’s cash severance has been reduced by the value of the cash-based severance award, and Mr. Harris’s cash severance has been reduced by the value of the Sign-On Bonus. These amounts are “double-trigger” payments since they are only payable if the executive incurs a qualifying termination.</w:t>
      </w:r>
    </w:p>
    <w:p>
      <w:pPr>
        <w:spacing w:after="0" w:line="5" w:lineRule="exact"/>
        <w:rPr>
          <w:rFonts w:ascii="Times New Roman" w:cs="Times New Roman" w:eastAsia="Times New Roman" w:hAnsi="Times New Roman"/>
          <w:sz w:val="18"/>
          <w:szCs w:val="18"/>
          <w:color w:val="auto"/>
        </w:rPr>
      </w:pPr>
    </w:p>
    <w:p>
      <w:pPr>
        <w:ind w:left="1080" w:right="120" w:hanging="532"/>
        <w:spacing w:after="0" w:line="250"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executive’s retention or sign-on bonus, as applicable, which, in the case of Mr. Harris, is a “single-trigger” payment since the Sign-On Bonus becomes payable solely as a result of the occurrence of the effective time and, in the case of Mr. Margolin, is a “double-trigger” payment since his retention bonus requires either continued employment through the second anniversary of the effective time or certain terminations of employment.</w:t>
      </w:r>
    </w:p>
    <w:p>
      <w:pPr>
        <w:spacing w:after="0" w:line="1" w:lineRule="exact"/>
        <w:rPr>
          <w:rFonts w:ascii="Times New Roman" w:cs="Times New Roman" w:eastAsia="Times New Roman" w:hAnsi="Times New Roman"/>
          <w:sz w:val="18"/>
          <w:szCs w:val="18"/>
          <w:color w:val="auto"/>
        </w:rPr>
      </w:pPr>
    </w:p>
    <w:p>
      <w:pPr>
        <w:ind w:left="1080" w:hanging="532"/>
        <w:spacing w:after="0" w:line="260"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Payments payable to Dr. Cohen pursuant to the Cohen Term Sheet, which are “double-trigger” payments since they require either continued employment through the second anniversary of the effective time or certain terminations of employment.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40" w:hanging="424"/>
        <w:spacing w:after="0" w:line="266"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value of all outstanding Company equity awards. Unvested Company equity awards are “double-trigger” payments because they would accelerate and vest upon a qualifying termination on or following the effective time, and vested Company equity awards are “single-trigger” payments since they will become payable at the effective time.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Unvested Company</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Vested Company</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Company RSUs</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6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(a)</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Cohen</w:t>
            </w:r>
          </w:p>
        </w:tc>
        <w:tc>
          <w:tcPr>
            <w:tcW w:w="1200" w:type="dxa"/>
            <w:vAlign w:val="bottom"/>
            <w:tcBorders>
              <w:top w:val="single" w:sz="8" w:color="auto"/>
            </w:tcBorders>
            <w:shd w:val="clear" w:color="auto" w:fill="CCEEFF"/>
          </w:tcPr>
          <w:p>
            <w:pPr>
              <w:jc w:val="right"/>
              <w:ind w:right="320"/>
              <w:spacing w:after="0" w:line="210" w:lineRule="exact"/>
              <w:rPr>
                <w:sz w:val="20"/>
                <w:szCs w:val="20"/>
                <w:color w:val="auto"/>
              </w:rPr>
            </w:pPr>
            <w:r>
              <w:rPr>
                <w:rFonts w:ascii="Times New Roman" w:cs="Times New Roman" w:eastAsia="Times New Roman" w:hAnsi="Times New Roman"/>
                <w:sz w:val="24"/>
                <w:szCs w:val="24"/>
                <w:color w:val="auto"/>
                <w:vertAlign w:val="subscript"/>
              </w:rPr>
              <w:t xml:space="preserve"> </w:t>
            </w:r>
            <w:r>
              <w:rPr>
                <w:rFonts w:ascii="Times New Roman" w:cs="Times New Roman" w:eastAsia="Times New Roman" w:hAnsi="Times New Roman"/>
                <w:sz w:val="11"/>
                <w:szCs w:val="11"/>
                <w:color w:val="auto"/>
              </w:rPr>
              <w:t xml:space="preserve">  (b)</w:t>
            </w:r>
          </w:p>
        </w:tc>
        <w:tc>
          <w:tcPr>
            <w:tcW w:w="5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4,791,524</w:t>
            </w:r>
          </w:p>
        </w:tc>
        <w:tc>
          <w:tcPr>
            <w:tcW w:w="6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5,484,601</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10,276,125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Ian Harris</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100,307</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52,341</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2,028,208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2,180,855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 Margolin</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89,263</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170,190</w:t>
            </w:r>
          </w:p>
        </w:tc>
        <w:tc>
          <w:tcPr>
            <w:tcW w:w="16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713,807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973,260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John C. Reilly</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149,843</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523,646</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1,202,085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1,875,574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Katelyn Watson</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56,487</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152,883</w:t>
            </w:r>
          </w:p>
        </w:tc>
        <w:tc>
          <w:tcPr>
            <w:tcW w:w="16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1,113,214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1,322,584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hanging="532"/>
        <w:spacing w:after="0"/>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named executive officers hold vested Company RSUs.</w:t>
      </w:r>
    </w:p>
    <w:p>
      <w:pPr>
        <w:spacing w:after="0" w:line="27" w:lineRule="exact"/>
        <w:rPr>
          <w:rFonts w:ascii="Times New Roman" w:cs="Times New Roman" w:eastAsia="Times New Roman" w:hAnsi="Times New Roman"/>
          <w:sz w:val="18"/>
          <w:szCs w:val="18"/>
          <w:color w:val="auto"/>
        </w:rPr>
      </w:pPr>
    </w:p>
    <w:p>
      <w:pPr>
        <w:ind w:left="1080" w:right="340" w:hanging="532"/>
        <w:spacing w:after="0" w:line="260" w:lineRule="auto"/>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Cohen Term Sheet, at the effective time, Dr. Cohen’s unvested Company options will be canceled and converted into a cash-based award. As such, the value of Dr. Cohen’s unvested Company options has been excluded from this table.</w:t>
      </w:r>
    </w:p>
    <w:p>
      <w:pPr>
        <w:spacing w:after="0" w:line="86"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potential gross-up payment to Mr. Harris with respect to any excise tax incurred under Section 4999 of the Code upon Mr. Harris’s qualifying termination within the six-month period following the effective time. This is a “double-trigger” payment since it requires a qualifying termination.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consequences to holders with respect to the disposition of Company common stock pursuant to the merger. It is not intended to be a complete analysis or description of all potential U.S. federal income tax consequences of the merger. This discussion is based upon the provisions of the Code, applicable U.S. Treasury Regulations, rulings and judicial decisions as of the date hereof, all of which are subject to change or varying interpretation, possibly with retroactive effect. Any such changes could affect the accuracy of the statements and conclusions set forth herein. The Internal Revenue Service (which we refer to as the “IRS”) may not agree with the tax consequences described in this discussion.</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discussion assumes that holders of shares of Company common stock hold their shares as capital assets within the meaning of Section 1221 of the Code (generally, property held for investment). This discussion does not address all aspects of U.S. federal income taxation that may be relevant to a holder of Company common stock in light of such holder’s particular circumstances, nor does it discuss the special considerations applicable to holders of shares of Company common stock subject to special treatment under the U.S. federal income tax laws (including, for example, financial institutions or broker-dealers, mutual funds, partnerships or other pass-through entities and their partners or members, regulated investment companies and real estate investment trusts, tax-exempt organizations, retirement or other tax-deferred accounts, insurance companies, dealers in securities or non-U.S. currencies, traders in securities who elect to use the mark-to-market method of accounting, controlled foreign corporations, passive foreign investment companies, U.S. expatriates, holders who acquired their shares of Company common stock through vesting of units or otherwise as compensation, holders subject to the alternative minimum tax, holders who exercise their appraisal rights in connection with the merger, holders who hold their shares of Company common stock as part of a hedge, straddle, constructive sale or conversion transaction, U.S. holders (as defined below) whose functional currency is not the U.S. dollar, accrual method holders who prepare an “applicable financial statement” (as defined in Section 451 of the Code) and holders who own or have owned (directly, indirectly or constructively) 5% or more of the Company common stock (by vote or value)). In addition, this discussion does not address any tax consequences arising under the laws of any state, local or non-U.S. jurisdiction or U.S. federal non-income tax consequences (including, for example, the federal estate or gift tax or the application of the Medicare tax on net investment income under Section 1411 of the Code).</w:t>
      </w:r>
    </w:p>
    <w:p>
      <w:pPr>
        <w:spacing w:after="0" w:line="19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Company common stock, the tax treatment of a partner in such partnership generally will depend on the status of the partner and activities of the partnership. If you are a partner of a partnership holding Company common stock, you should consult your own tax advisor.</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All holders should consult their own tax advisor to determine the particular tax consequences to them (including the application and effect of any state, local or non-U.S. income and other tax laws) of the receipt of cash in exchange for shares of Company common stock pursuant to the merger.</w:t>
      </w:r>
    </w:p>
    <w:p>
      <w:pPr>
        <w:spacing w:after="0" w:line="17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merger agreement, the term “U.S. holder” means a beneficial owner of Company common stock,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9" w:lineRule="auto"/>
        <w:tabs>
          <w:tab w:leader="none" w:pos="10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(1) its administration is subject to the primary supervision of a court within the United States and one or more U.S. persons (within the meaning of Section 7701(a)(30) of the Code) have the authority to control all substantial decisions of the trust or (2) it has a valid election in effect under applicable U.S. Treasury Regulations to be treated as a U.S. person for U.S. federal income tax purposes; or</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merger agreement, a “non-U.S. holder” means a beneficial owner (other than a partnership or an entity classified as a partnership that is subject to U.S. federal income tax reporting) of Company common stock that is not a U.S.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receipt of cash by a U.S. holder pursuant to the merger will be a taxable transaction for U.S. federal income tax purposes. A U.S. holder generally will recognize gain or loss for U.S. federal income tax purposes equal to the difference, if any, between the amount of cash received pursuant to the merger and such U.S. holder’s adjusted tax basis in the shares of Company common stock converted into cash pursuant to the merger. Such gain or loss generally will be capital gain or loss and will be long-term capital gain or loss if the holder’s holding period for such shares exceeds one year as of the date of the merger. Long-term capital gains for certain non-corporate U.S. holders, including individuals, are generally eligible for a reduced rate of U.S. federal income taxation. The deductibility of capital losses is subject to limitations. If a U.S. holder acquired different blocks of Company common stock at different times or at different prices, such U.S. holder must determine its adjusted tax basis, holding period and gain or loss separately with respect to each block of Company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information reporting and backup withholding below, any gain recognized on the receipt of cash pursuant to the merger by a non-U.S. holder generally will not be subject to U.S. federal income tax unless:</w:t>
      </w:r>
    </w:p>
    <w:p>
      <w:pPr>
        <w:spacing w:after="0" w:line="67" w:lineRule="exact"/>
        <w:rPr>
          <w:sz w:val="20"/>
          <w:szCs w:val="20"/>
          <w:color w:val="auto"/>
        </w:rPr>
      </w:pPr>
    </w:p>
    <w:p>
      <w:pPr>
        <w:ind w:left="1080" w:right="20" w:hanging="424"/>
        <w:spacing w:after="0" w:line="258"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holder (and, if required by an applicable income tax treaty, is attributable to a permanent establishment or, in the case of an individual, a fixed base in the United States maintained by such non-U.S. holder), in which case the non-U.S. holder generally will be subject to tax on such gain in the same manner as a U.S. holder and, if the non-U.S. holder is a corporation, the holder may be subject to branch profits tax at the rate of 30% on the effectively connected gain (or such lower rate as may be specified by an applicable income tax treaty);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merger and certain other conditions are met, in which case the non-U.S. holder generally will be subject to tax at a 30% rate (or a lower applicable income tax treaty rate) on any gain derived from the disposition of the Company common stock pursuant to the merger (other than gain effectively connected with a U.S. trade or business), which may be offset by certain U.S. source capital losses; or</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common stock constitutes a “United States real property interest” (which we refer to as “USRPI”) for U.S. federal income tax purposes under the Foreign Investment in Real Property Tax Act of 1980 (which we refer to as “FIRPTA”).</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Company common stock constitutes a USRPI under FIRPTA, a non-U.S. holder will be subject to U.S. federal income tax on any gain recognized on the receipt of cash in exchange for their shares of Company common stock in the merger on a net basis at applicable U.S. graduated rates in the same manner as a U.S. holder. The Company common stock will constitute a USRPI if we have been a “United States real property holding corporation” (which we refer to as “USRPHC”) for U.S. federal income tax purposes at any time within the shorter of (x) the five-year period ending on the effective date of the merger and (y) the non-U.S. holder’s holding period for the shares of Company common stock. Although there can be no assurances in this regard, we believe we have not been a USRPHC at any time during the five-year period preceding the merger. The determination of USRPHC status depends on the fair market value of our USRPIs relative to the fair market value of our other trade or business assets and our non-U.S. real property interests. In the event that we are, or have been, a USRPHC, a non-U.S. holder’s shares of the Company common stock nevertheless will not</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constitute a USRPI if the shares of the Company common stock are “regularly traded on an established securities market” (within the meaning of applicable U.S. Treasury Regulations) at the effective time and the non-U.S. holder owned (directly, indirectly or constructively) 5% or less of the Company common stock at all times during the shorter of (x) the five-year period ending on the effective date of the merger and (y) the non-U.S. holder’s holding period for the shares. The Company common stock is currently listed on NASDAQ and we believe that, for as long as the Company common stock continues to be so listed, our common stock will be treated as “regularly traded on an established securities market.”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the foregoing rules in light of their particular facts and circumstances and the procedures for claiming tax treaty benefits or otherwise establishing an exemption from U.S. tax with respect to any portion of the merger consideration payable to them pursuant to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Generally, information reporting requirements may apply in connection with payments made to U.S. holders and non-U.S. holders in connection with the merger.</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Backup withholding of tax (currently at a rate of 24%)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U.S. holder is not subject to backup withholding, or otherwise establishes an exemption, and otherwise complies with the backup withholding rules.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Backup withholding of tax may also apply to the proceeds received by a non-U.S. holder pursuant to the merger, unless the non-U.S. holder provides the applicable withholding agent with a properly completed and executed IRS Form W-8BEN or IRS Form W-8BEN-E (or other applicable IRS Form W-8), attesting to such non-U.S. holder’s status as a non-U.S. person and otherwise complies with applicable certification requirements. Copies of information returns may be made available to the tax authorities of the country in which the non-U.S. holder resides or is incorporated under the provisions of a specific treaty or agreement.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on a payment to a U.S. holder or a non-U.S. holder generally will be allowed as a credit against such U.S. holder’s or non-U.S. holder’s U.S. federal income tax liability, if any, and may entitle such U.S. holder or non-U.S. holder to a refund, provided that the required information is timely furnished to the IRS.</w:t>
      </w:r>
    </w:p>
    <w:p>
      <w:pPr>
        <w:spacing w:after="0" w:line="17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GENERAL INFORMATION PURPOSES ONLY. IT DOES NOT ADDRESS TAX CONSIDERATIONS THAT MAY VARY WITH, OR ARE CONTINGENT ON, YOUR INDIVIDUAL CIRCUMSTANCES OR THE APPLICATION OF ANY U.S. NON-INCOME TAX LAWS OR THE LAWS OF ANY STATE, LOCAL OR NON-U.S. JURISDICTION, AND HOLDERS SHOULD CONSULT THEIR TAX ADVISORS REGARDING SUCH MATTERS AND THE TAX CONSEQUENCES OF THE MERGER TO THEM IN LIGHT OF THEIR PARTICULAR CIRCUMSTANCES, INCLUDING THE APPLICABILITY AND EFFECT OF ANY U.S. FEDERAL, STATE, LOCAL AND NON-U.S. INCOME, ALTERNATIVE MINIMUM TAX AND OTHER TAX LAWS AND OF CHANGES IN THOSE TAX LAWS.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Company received two demand letters from purported stockholders of the Company alleging disclosure deficiencies in the preliminary proxy statement filed by the Company with the SEC on April 7, 2026. The demand letters demand that the Company and the Board issue certain corrective or supplemental disclosures. The Company believes that the disclosures set forth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preliminary proxy statement comply with applicable law and that the allegations asserted in the demand letters are without merit. As of the date of this proxy statement, the Company is not aware of the filing of lawsuits challenging the merger or the preliminary proxy statement; however, such lawsuits or additional demand letters relating to the merger or the preliminary proxy statement may be filed or received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in Connection with the Merger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parties to the merger agreement intend to, and are obligated to, coordinate and cooperate with each other and use reasonable best efforts to, as promptly as reasonably practicable, among other things, (i) obtain all approvals, consents, registrations, waivers, permits, authorizations, exemptions, clearances, orders and other confirmations from any governmental authority necessary, proper or advisable to consummate and make effective, in the most expeditious manner reasonably practicable, the transactions contemplated by the merger agreement and (ii) defend or contest in good faith any action or judgment that would otherwise prevent or impede, interfere with, hinder or delay in any material respect the consummation of the transactions contemplated by the merger agreement, in each case, as described in the section of this proxy statement entitled “</w:t>
      </w:r>
      <w:r>
        <w:rPr>
          <w:rFonts w:ascii="Times New Roman" w:cs="Times New Roman" w:eastAsia="Times New Roman" w:hAnsi="Times New Roman"/>
          <w:sz w:val="18"/>
          <w:szCs w:val="18"/>
          <w:i w:val="1"/>
          <w:iCs w:val="1"/>
          <w:color w:val="auto"/>
        </w:rPr>
        <w:t>The Merger Agreement—Reasonable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Best Efforts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107</w:t>
      </w:r>
      <w:r>
        <w:rPr>
          <w:rFonts w:ascii="Times New Roman" w:cs="Times New Roman" w:eastAsia="Times New Roman" w:hAnsi="Times New Roman"/>
          <w:sz w:val="18"/>
          <w:szCs w:val="18"/>
          <w:color w:val="auto"/>
        </w:rPr>
        <w:t>. The Company and UHS currently believe that the necessary regulatory approvals can be obtained during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2026; however, there can be no assurances that such approvals will be obtained in accordance with this timing or at all.</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HSR Act Clearance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Consummation of the merger is subject to the requirements of the HSR Act and the rules promulgated by the FTC, which prevent transactions such as the merger from being consummated until (i) certain information and materials are furnished to the DOJ and the FTC and (ii) the applicable waiting period under the HSR Act has expired or been terminated. The Company and UHS filed their respective Notification and Report Forms with the FTC and the Antitrust Division of the DOJ on March 27, 2026. The required 30-day waiting period under the HSR Act will expire at 11:59 p.m. Eastern time on April 27, 2026.</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State Regulatory Notifications and Approvals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Consummation of the merger is subject to the approval, termination or expiration of any waiting periods and any required approvals or authorizations applicable to the consummation of the merger under certain state healthcare laws as set forth in the confidential disclosure schedules to the merger agreement delivered to UHS and Merger Sub. The parties to the merger agreement have filed and will file notices, applications and other statements, as required by any applicable healthcare laws and regulations of each applicable state. In particular, Washington, California and Illinois maintain notification requirements under their respective state laws that apply to the merger. The Company has submitted copies of the HSR filings to the applicable regulators in Washington and Illinois pursuant to those states’ mini-HSR laws, which submissions will satisfy the Company’s obligation to provide notice of the material healthcare transaction under the applicable state statutes without the need to submit separate notices in those states. UHS and the Company jointly submitted a notice of the healthcare transaction to the applicable regulator in California pursuant to the state’s healthcare laws. Oregon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maintains approval requirements under its state healthcare laws that apply to the merger. The Company has submitted the applicable notice filing to the applicable regulator in Oregon pursuant to the state’s healthcare laws. State regulatory and governmental authorities may take actions under the laws of their jurisdictions, which could include seeking to enjoin the consummation of the merger. For more information about regulatory approvals relating to the merger, see the section of this proxy statement entitled “</w:t>
      </w:r>
      <w:r>
        <w:rPr>
          <w:rFonts w:ascii="Times New Roman" w:cs="Times New Roman" w:eastAsia="Times New Roman" w:hAnsi="Times New Roman"/>
          <w:sz w:val="18"/>
          <w:szCs w:val="18"/>
          <w:i w:val="1"/>
          <w:iCs w:val="1"/>
          <w:color w:val="auto"/>
        </w:rPr>
        <w:t>The Merger Agreement—Conditions of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112</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Additional Approvals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and UHS intend to make all required filings under the Exchange Act relating to the merger and obtain all other approvals and consents that may be necessary to give effect to the merger.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expect that all required regulatory clearances and approvals will be obtained, we cannot assure you that these regulatory clearances and approvals will be timely obtained, or obtained at all, or that the granting of these regulatory clearances and approvals will not involve the imposition of additional conditions on the completion of the merger, including the requirement to divest assets, create or modify contractual rights or obligations or enter into supply or services agreements. These conditions could result in the conditions to the merger not being satisfied.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Delisting and Deregistration of the Common Stock</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merger is consummated, UHS will use reasonable best efforts to cause the shares of Company common stock and the Company warrants to be delisted from NASDAQ and deregistered under the Exchange Act as soon as reasonably practicable following the effective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The following summarizes the material provisions of the merger agreement. This summary does not purport to be complete, may not contain all of the information about the merger agreement that is or may be important to you and is qualified in its entirety by reference to the full merger agreement, a copy of which is attached to this proxy statement as Annex A and which we incorporate by reference into this proxy statement. We strongly recommend that you read the merger agreement and documents related thereto carefully and in their entirety, as the rights and obligations of the parties are governed by the express terms of the merger agreement and such documents and not by this summary or any other information contained in this proxy statement.</w:t>
      </w:r>
    </w:p>
    <w:p>
      <w:pPr>
        <w:spacing w:after="0" w:line="16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is included with this proxy statement only to provide you with information regarding the terms of the merger agreement and not to provide you with any other factual information regarding the Company, UHS, Merger Sub or their respective subsidiaries, affiliates or businesses. The merger agreement contains representations and warranties by each of the parties to the merger agreement. These representations and warranties have been made solely for the benefit of the other parties to the merger agreement and:</w:t>
      </w:r>
    </w:p>
    <w:p>
      <w:pPr>
        <w:spacing w:after="0" w:line="85"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made only for purposes of the merger agreement;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certain documents filed with, or furnished to, the SEC by the Company, from and after January 1, 2024, and on or prior to March 6,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confidential disclosures made by the Company in connection with the merger agreement;</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materiality qualifications contained in the merger agreement that may differ from what may be viewed as material by investors;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knowledge qualifiers contained in the merger agreement, which qualifiers are tied to the actual knowledge of certain persons after due inquiry;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March 9, 2026, or such other date as is specified in the merger agreement;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included in the merger agreement for the purpose of allocating risk between the Company, on the one hand, and UHS and Merger Sub, on the other hand, rather than establishing matters as facts.</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You should not rely on the representations and warranties or any descriptions thereof as characterizations of the actual state of facts or conditions of the Company, UHS, Merger Sub or any of their respective subsidiaries, affiliates or businesses. Moreover, information concerning the subject matter of the representations and warranties may have changed (and may continue to change) after March 9, 2026, which subsequent information may or may not be fully reflected in the Company’s public disclosures.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Accordingly, the representations and warranties and other provisions of the merger agreement should not be read alone, but instead should be read together with the information provided elsewhere in this proxy statement and in the documents incorporated by reference into this proxy statement. The Company will provide additional disclosure in its public reports of any material information necessary to provide the Company stockholders with a materially complete understanding of the disclosures relating to the merger agreement. See the section of this proxy statement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126</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Merger</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at the effective time, Merger Sub, an indirect wholly owned subsidiary of UHS, will be merged with and into the Company, the separate corporate existence of Merger Sub will thereupon cease and the Company will be the surviving corporation in the merger.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 and Effective Time of the Merger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the merger agreement has been terminated pursuant to its terms, or the parties agree in writing otherwise, the closing of the merger will take place at 10:00 a.m. (New York City time) on the second business day following the satisfaction or waiver (to the extent such waiver is permitted by applicable law) of the conditions set forth in the merger agreement (other than those conditions that by their nature are to be satisfied at the closing of the merger, but subject to the satisfaction or waiver of those conditions at the closing of the merger).</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merger will become effective at the time that the certificate of merger is filed with the Secretary of State of the State of Delaware or, to the extent permitted by applicable law, at such later time as is agreed to in writing by the parties to the merger agreement prior to the filing of such certificate of merger and specified therein.</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UHS, Merger Sub, the Company or any holder of any securities of the Company, UHS or Merger Sub, the certificate of incorporation of the Company, as in effect immediately prior to the effective time, will be amended and restated to read in its entirety as set forth on Exhibit A to the merger agreement, and as so amended and restated will be the certificate of incorporation of the surviving corporation until thereafter amended in accordance with applicable law and the certificate of incorporation and bylaws of the surviving corporation (and subject to compliance with the requirements of the merger agreement described under the section of this proxy statement entitled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below). At the effective time, by virtue of the merger and without any action on the part of UHS, Merger Sub, the Company or any other person, the bylaws of Merger Sub as in effect immediately prior to the effective time, will be the bylaws of the surviving corporation, except that references to Merger Sub’s name will be replaced with references to the surviving corporation’s name, until thereafter amended in accordance with applicable law and the certificate of incorporation and bylaws of the surviving corporation (and subject to compliance with the requirements of the merger agreement described under the section of this proxy statement entitled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below). The Company and UHS currently expect to consummate the merger in the third quarter of 2026, subject to receipt of the Company stockholder approval and the required regulatory approvals and the satisfaction or waiver (to the extent permitted by applicable law) of the other conditions to the merger described under the section of this proxy statement entitled “—</w:t>
      </w:r>
      <w:r>
        <w:rPr>
          <w:rFonts w:ascii="Times New Roman" w:cs="Times New Roman" w:eastAsia="Times New Roman" w:hAnsi="Times New Roman"/>
          <w:sz w:val="18"/>
          <w:szCs w:val="18"/>
          <w:i w:val="1"/>
          <w:iCs w:val="1"/>
          <w:color w:val="auto"/>
        </w:rPr>
        <w:t>Conditions of the Merger</w:t>
      </w:r>
      <w:r>
        <w:rPr>
          <w:rFonts w:ascii="Times New Roman" w:cs="Times New Roman" w:eastAsia="Times New Roman" w:hAnsi="Times New Roman"/>
          <w:sz w:val="18"/>
          <w:szCs w:val="18"/>
          <w:color w:val="auto"/>
        </w:rPr>
        <w:t>” below. For additional information, please see the section of this proxy statement entitled “</w:t>
      </w:r>
      <w:r>
        <w:rPr>
          <w:rFonts w:ascii="Times New Roman" w:cs="Times New Roman" w:eastAsia="Times New Roman" w:hAnsi="Times New Roman"/>
          <w:sz w:val="18"/>
          <w:szCs w:val="18"/>
          <w:i w:val="1"/>
          <w:iCs w:val="1"/>
          <w:color w:val="auto"/>
        </w:rPr>
        <w:t>The Merger—Regulatory Approvals in Connection with the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89</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Officers of the Surviving Corporation</w:t>
      </w:r>
    </w:p>
    <w:p>
      <w:pPr>
        <w:spacing w:after="0" w:line="12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By virtue of the merger and without any action on the part of UHS, Merger Sub, the Company or any other person, the directors of Merger Sub immediately prior to the effective time will be the directors of the surviving corporation immediately following the effective time until their respective successors are duly elected or appointed and qualified or their earlier death, resignation or removal in accordance with the certificate of incorporation and bylaws of the surviving corporation.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By virtue of the merger and without any action on the part of UHS, Merger Sub, the Company or any other person, the officers of Merger Sub immediately prior to the effective time will be the officers of the surviving corporation until their respective successors are duly appointed and qualified or their earlier death, resignation or removal in accordance with the certificate of incorporation and bylaws of the surviving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 To Be Received in the Merger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issued and outstanding share of Company common stock as of immediately prior to the effective time (other than canceled shares and appraisal shares) will be converted automatically into, and will thereafter represent only, the right to receive an amount in cash equal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$5.25 per share of Company common stock, without interest and subject to applicable withholding taxes. As of the effective time, each holder of Company common stock will cease to have any rights with respect thereto, except the right to receive the merger consideration to be paid in consideration therefor.</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between March 9, 2026 and the effective time, any change in the outstanding shares of Company common stock occurs as a result of any stock split, reverse stock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the merger agreement will be equitably adjusted to reflect such event.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Canceled Shares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shares of Company common stock that are owned by the Company immediately prior to the effective time or then held by UHS or Merger Sub will be canceled and will cease to exist and no consideration will be delivered in exchange therefor. Each share of Company common stock bearing a legend that such share is subject to forfeiture that is, or has been, forfeited pursuant to Section 1.9(c) of the sponsor support agreement will automatically be canceled and will cease to exist and no consideration will be delivered in exchange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At the effective time, each Company RSU outstanding as of immediately prior to the effective time and that is or becomes vested as of the effective time will be canceled and converted into the right to receive an amount in cash (without interest) equal to the product (rounded up to the nearest cent) of (i) the aggregate number of shares of Company common stock underlying such vested Company RSU and (ii) the merger consideration.</w:t>
      </w:r>
    </w:p>
    <w:p>
      <w:pPr>
        <w:spacing w:after="0" w:line="15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Company RSU outstanding as of immediately prior to the effective time and that is and remains unvested as of the effective time will be assumed by UHS and converted into restricted stock units relating to a number of UHS Class B shares equal to the product (rounded up to the nearest whole share) of (i) the number of shares of Company common stock underlying such Company RSU and (ii) the exchange ratio, with the same terms and conditions that applied to such Company RSU immediately prior to the effective time (including with respect to vesting, effect of termination of employment and dividend equivalents).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Company option outstanding and unexercised as of immediately prior to the effective time and that is or becomes vested as of the effective time will be canceled and converted into the right to receive an amount in cash (without interest) equal to the product (rounded up to the nearest cent) of (i) the aggregate number of shares of Company common stock subject to such vested Company option, and (ii) the excess, if any, of (A) the merger consideration over (B) the per share exercise price of such vested Company option; provided, however, that any such vested Company option with a per share exercise price that is equal to or greater than the merger consideration shall be canceled for no consideration.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the effective time, each Company option outstanding and unexercised as of immediately prior to the effective time and that is unvested as of the effective time will be assumed by UHS and converted into a stock option with respect to a number of UHS Class B shares (rounded down to the nearest whole share) equal to the product of (i) the number of shares of Company common stock subject to such Company option immediately prior to the effective time and (ii) the exchange ratio, at an exercise price per share (rounded up to the nearest whole cent) equal to (a) the exercise price per share of such Company option immediately prior to the effective time divided by (b) the exchange ratio. Each assumed Company option will be subject to the same terms and conditions (including with respect to vesting and effect of termination of employment) that applied to the corresponding Company option immediately prior to the effective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effective time, the Company may, in accordance with the terms of the Company’s Non-Employee Director Compensation Plan, fully accelerate the vesting of any Company RSUs and Company options held by non-employee directors of the Company.</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vested Company equity awards, the payment of the merger consideration will be made, subject to any applicable withholding taxes, as promptly as reasonably practicable following the effective time (and in no event later than the first regularly scheduled payroll date that occurs more than five business days following the effective time).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effective time, UHS will take all corporate action reasonably necessary to (i) reserve for issuance a sufficient number of UHS Class B shares for issuance with respect to the assumed Company equity awards and (ii) cause the registration of UHS Class B shares issuable with respect to the assumed Company equity awards to become effective as part of a registration statement on Form S-8 (or any successor or other appropriate form), and, thereafter, UHS will maintain the effectiveness of such registration statement for so long as such assumed Company equity awards remain outstanding.</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Finally, the Company ESPP will be terminated and all accumulated contributions of each participant thereunder will be used to purchase shares of Company common stock immediately following the conclusion of any ongoing purchase period or, if earlier, two business days prior to the effective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Company Warrants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Each Company warrant that is issued and outstanding as of immediately prior to the effective time will, immediately following the effective time, continue to be outstanding according to its terms; provided that, following the effective time, each Company warrant will,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shares of Company common stock for which such Company warrant was exercisable for immediately prior to the effective time. Pursuant to the warrant agreement, if a holder properly exercises a Company warrant within 30 days following the Company’s public disclosure of the consummation of the merger in a Current Report on Form 8-K, then the warrant price with respect to such exercise shall be reduced by an amount (in dollars, and in no event less than zero) equal to the difference of (i) the warrant price in effect immediately prior to such reduction minus (ii) (A) the merger consideration minus (B) the Black-Scholes Warrant Value. If the closing occurs after June 22, 2026, the Company warrants will expire in accordance with their terms and will no longer be exercisable.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for Stock</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the closing date of the merger agreement, UHS will designate a bank or trust company reasonably acceptable to the Company to act as paying agent for the payment of the merger consideration in accordance with the merger agreement. At or prior to the effective time, UHS will deposit or cause to be deposited with the paying agent an amount in cash sufficient to pay the aggregate merger consideration other than any amounts payable in respect of each Company equity award in accordance with the merger agreement.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promptly as practicable after the effective time (but in no event more than three business days thereafter), UHS and the surviving corporation will cause the paying agent to mail to each person who was, at the effective time, a holder of a share certificate or book-entry shares not held, directly or indirectly, through DTC (other than a share certificate or book-entry shares representing canceled shares and appraisal shares) (i) a letter of transmittal and (ii) instructions for use in effecting the surrender of such share certificates or book-entry shares to the paying agent in exchange for payment of the merger consideration as provided in the merger agreement.</w:t>
      </w:r>
    </w:p>
    <w:p>
      <w:pPr>
        <w:spacing w:after="0" w:line="183"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Upon delivery of a letter of transmittal, duly completed and validly executed in accordance with such letter’s instructions (and such other customary documents as may reasonably be required by the paying agent)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either (i) surrender to the paying agent of share certificates (or affidavits of loss in lieu thereof in accordance with the merger agreement) or</w:t>
      </w:r>
    </w:p>
    <w:p>
      <w:pPr>
        <w:spacing w:after="0" w:line="27" w:lineRule="exact"/>
        <w:rPr>
          <w:sz w:val="20"/>
          <w:szCs w:val="20"/>
          <w:color w:val="auto"/>
        </w:rPr>
      </w:pPr>
    </w:p>
    <w:p>
      <w:pPr>
        <w:ind w:left="120" w:right="140" w:hanging="4"/>
        <w:spacing w:after="0" w:line="253"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book-entry shares not held through DTC, by book receipt of an “agent’s message” in customary form by the paying agent in connection with the surrender of book-entry shares (or such other reasonable evidence, if any, of surrender with respect to such book-entry shares, as the paying agent may reasonably request), in each case as contemplated in the merger agreement, the holder of such share certificates or book-entry shares will be entitled to receive in exchange therefor the merger consideration for each share of Company common stock formerly represented by such share certificates or book-entry shares and the share certificates or book-entry shares so surrendered will forthwith be canceled.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With respect to book-entry shares held, directly or indirectly, through DTC, UHS and the Company will cooperate to establish procedures with the paying agent, DTC, DTC’s nominees and such other necessary third-party intermediaries to ensure that the paying agent will transmit to DTC or its nominees as promptly as practicable after the effective time, upon surrender of book-entry shares held of record by DTC or its nominees in accordance with DTC’s customary surrender procedures and other procedures as agreed by UHS, the Company, the paying agent, DTC, DTC’s nominees and such other necessary third-party intermediaries, the aggregate merger consideration to which the beneficial owners thereof are entitled to receive as a result of the merger.</w:t>
      </w:r>
    </w:p>
    <w:p>
      <w:pPr>
        <w:spacing w:after="0" w:line="187"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HOLDERS OF SHARE CERTIFICATES OR BOOK-ENTRY SHARES NOT HELD, DIRECTLY OR INDIRECTLY, THROUGH DTC, SHOULD NOT FORWARD THEIR STOCK CERTIFICATES TO THE PAYING AGENT WITHOUT A LETTER OF TRANSMITTAL AND SHOULD NOT RETURN THEIR STOCK CERTIFICATES WITH THE ENCLOSED PROXY CARD.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Books; No Further Ownership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merger consideration paid in respect of the shares of Company common stock in accordance with the merger agreement will be deemed to have been paid in full satisfaction of all ownership rights in such common stock, and at the effective time, the transfer books of the Company will be closed and thereafter there will be no further registration of transfers on the transfer books of the surviving corporation of the shares of Company common stock that were outstanding immediately prior to the effective time. From and after the effective time, the holders of the shares of Company common stock outstanding immediately prior to the effective time will cease to have any rights with respect to such shares, except as otherwise provided for in the merger agreement or by applicable law. If, at any time after the effective time, share certificates or book-entry shares are presented to the surviving corporation, for any reason, they will be canceled and exchanged as provided in the merger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Lost, Stolen or Destroyed Certificates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any share certificate has been lost, stolen or destroyed, the holder of such share certificate that has been lost, stolen or destroyed will have to make an affidavit of that fact and, if required by the surviving corporation, post a bond, in such reasonable amount as UHS may direct, as indemnity against any claim that may be made against UHS with respect to such share certificate, upon which the paying agent will pay, in exchange for such lost, stolen or destroyed share certificate, the applicable merger consideration.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Exchange Fund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any time following the first anniversary of the closing date of the merger, the surviving corporation will be entitled to require the paying agent to deliver to the surviving corporation (or its designee) any portion of the exchange fund (including any interest received with respect thereto) which has not been disbursed to holders of share certificates or book-entry shares, and thereafter such holders who have not theretofore complied with the requirements described in the section of this proxy statement entitled “—</w:t>
      </w:r>
      <w:r>
        <w:rPr>
          <w:rFonts w:ascii="Times New Roman" w:cs="Times New Roman" w:eastAsia="Times New Roman" w:hAnsi="Times New Roman"/>
          <w:sz w:val="18"/>
          <w:szCs w:val="18"/>
          <w:i w:val="1"/>
          <w:iCs w:val="1"/>
          <w:color w:val="auto"/>
        </w:rPr>
        <w:t>Payment for Stock</w:t>
      </w:r>
      <w:r>
        <w:rPr>
          <w:rFonts w:ascii="Times New Roman" w:cs="Times New Roman" w:eastAsia="Times New Roman" w:hAnsi="Times New Roman"/>
          <w:sz w:val="18"/>
          <w:szCs w:val="18"/>
          <w:color w:val="auto"/>
        </w:rPr>
        <w:t>” will be entitled to look only to UHS and the surviving corporation, as applicable, for, and UHS and the surviving corporation will remain liable for, payment of such holders’ claims for the merger consideration. Any amounts remaining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unclaimed by such holders at such time at which such amounts would otherwise escheat to or become property of any governmental authority will become, to the extent permitted by applicable law, the property of UHS or its designee, free and clear of all claims or interest of any person previously entitled thereto. Any portion of the merger consideration deposited with the paying agent for disbursement pursuant to the merger agreement for which appraisal rights have been perfected will be returned to the surviving corporation or UHS upon demand.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Liability</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merger agreement to the contrary, none of the parties to the merger agreement, the surviving corporation or the paying agent will be liable to any person for merger consideration properly delivered to a public official pursuant to any applicable state, federal or other abandoned property, escheat or similar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the merger agreement to the contrary, shares of Company common stock that are outstanding immediately prior to the effective time and that are held by any holder of record or beneficial holder who is entitled to demand and properly demands appraisal of such shares pursuant to, and who complies in all respects with, Section 262 will not be converted into the right to receive the merger consideration as provided in the merger agreement, but instead will be canceled and will represent the right to receive only those rights provided under Section 262. For additional information, please see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 The Company will give prompt notice to UHS of any demands received by the Company for appraisal of any shares of Company common stock and UHS will have the right to participate in and direct all negotiations and actions with respect to such demands. Prior to the effective time, the Company will not, without the prior written consent of UHS, make any payment with respect to, or settle or offer to settle, any demands or notices of dissent, waive any failure to timely deliver a written demand for appraisal under the DGCL, approve any withdrawal of any such demands, or offer, propose or otherwise agree to do any of the foregoing. Prior to the effective time, UHS will not, without the prior written consent of the Company (not to be unreasonably withheld, delayed or conditioned), require the Company to make any payment with respect to any demands for appraisal or notices of dissent or offer to settle or settle any such demands or notices.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that the Company, on the one hand, and UHS and Merger Sub, on the other hand, have made to one another, which are qualified in many cases by knowledge, materiality or Material Adverse Effect. With respect to the representations and warranties made by the Company, such representations and warranties are further qualified by (i) confidential disclosures to the merger agreement delivered to UHS and Merger Sub and (ii) certain sections of documents filed with, or furnished to, the SEC by the Company, from and after January 1, 2024, until March 6, 2026.</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in the merger agreement do not survive the closing or termination of the merger agreement.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the merger agreement, a “Material Adverse Effect” means, with respect to the Company, its subsidiaries and affiliated professional entities, any state of facts, condition, development, effect, change, event, circumstance or occurrence that, individually or in the aggregate, (i) has, or would be reasonably expected to have, a material adverse effect on the business, results of operations or financial condition of the Company, its subsidiaries and the affiliated professional entities taken as a whole or (ii) prevents, materially impairs or materially delays the consummation by the Company of the transactions contemplated by the merger agreement; provided, however, that, solely with respect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none of the following, and no state of facts, condition, development, effect, change, event, circumstance or occurrence arising out of or resulting from the following,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will constitute or be taken into account in determining whether a Material Adverse Effect has occurred, is continuing or would reasonably be expected to occur: any state of facts, condition, development, effect, change, event, circumstance or occurrence (A) generally affecting the industry in which the Company and its subsidiaries operate or the economy, credit or financial or capital markets, in the U.S. or elsewhere in the world, including changes in interest or exchange rates, monetary policy or inflation, or (B) to the extent arising out of, resulting from or attributable to (1) changes or prospective changes in applicable law or in GAAP or in accounting standards, or any changes or prospective changes in the interpretation or enforcement of any of the foregoing, or any changes or prospective changes in the general legal, regulatory, political or social conditions, in each case arising after March 9, 2026, (2) the negotiation, execution, announcement or performance of the merger agreement or the consummation of the transactions contemplated by the merger agreement (other than for purposes of certain representations or warranties set forth in the merger agreement), including the impact thereof on relationships, contractual or otherwise, with customers, payors, suppliers, distributors, partners, employees or regulators, or any litigation arising from allegations of breach of fiduciary duty or violation of law relating to the merger agreement or the transactions contemplated by the merger agreement, (3) acts of war (whether or not declared), military activity, sabotage, cyberattacks (other than those directly targeted at the Company, any of its subsidiaries or any of the affiliated professional entities), civil disobedience, government shutdown, government slowdown or terrorism, or any escalation or worsening of any such acts of war (whether or not declared), military activity, sabotage, cyberattacks (other than those directly targeted at the Company, any of its subsidiaries or any of the affiliated professional entities), civil disobedience, government shutdown, government slowdown or terrorism, (4) earthquakes, fires, floods, hurricanes, tornados or other natural disasters, weather-related events, casualty events, force majeure events or other comparable events, (5) any action taken by the Company or its subsidiaries that is required by the merger agreement or that is taken with UHS’s written consent or at UHS’s written request, or the failure to take any action by the Company or its subsidiaries if that action is prohibited by the merger agreement (provided that this clause (5) does not apply to any action omitted to be taken pursuant to certain interim operating covenants set forth in the merger agreement unless the Company has requested to take an action that is prohibited by such covenants and UHS has unreasonably withheld, delayed or conditioned its written consent to such action), (6) any change or prospective change in reimbursement rates or any change or prospective change to eligibility requirements, in each case, imposed by any governmental authority or third-party payor program, (7) any change in the Company’s credit ratings, (8) any decline in the market price, or change in trading volume, of the shares of the Company, (9) any failure to meet any internal or public projections, forecasts, guidance, estimates, milestones, budgets or internal or published financial or operating predictions of revenue, earnings, cash flow or cash position (it being understood that the exceptions in </w:t>
      </w:r>
      <w:r>
        <w:rPr>
          <w:rFonts w:ascii="Times New Roman" w:cs="Times New Roman" w:eastAsia="Times New Roman" w:hAnsi="Times New Roman"/>
          <w:sz w:val="18"/>
          <w:szCs w:val="18"/>
          <w:u w:val="single" w:color="auto"/>
          <w:color w:val="auto"/>
        </w:rPr>
        <w:t>clauses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do not prevent or otherwise affect a determination that the underlying cause of any such change, decline or failure referred to therein (if not otherwise falling within any of the exceptions provided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clauses (B)(1)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is a Material Adverse Effect) or (10) changes in funding policies of or spending by any governmental authority; provided, further, however, that any state of facts, condition, development, effect, change, event, circumstance or occurrence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may be taken into account in determining whether there has been, or would reasonably be expected to be, a Material Adverse Effect to the extent such state of facts, condition, development, effect, change, event, circumstance or occurrence has a disproportionate adverse effect on the Company, its subsidiaries and the affiliated professional entities, taken as a whole, as compared to other participants in the industry in which the Company, its subsidiaries and the affiliated professional entities operate (in which case only the incremental disproportionate impact or impacts (to the extent not otherwise excluded by this definition) may be taken into account in determining whether there has been, or would reasonably be expected to be, a Material Adverse Effect).</w:t>
      </w:r>
    </w:p>
    <w:p>
      <w:pPr>
        <w:spacing w:after="0" w:line="200"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A Material Adverse Effect with respect to UHS and Merger Sub means any effect, change, event or occurrence that would prevent or materially delay, interfere with, hinder or impair (i) the consummation by UHS or Merger Sub of any of the transactions contemplated by the merger agreement or</w:t>
      </w:r>
    </w:p>
    <w:p>
      <w:pPr>
        <w:spacing w:after="0" w:line="1" w:lineRule="exact"/>
        <w:rPr>
          <w:sz w:val="20"/>
          <w:szCs w:val="20"/>
          <w:color w:val="auto"/>
        </w:rPr>
      </w:pPr>
    </w:p>
    <w:p>
      <w:pPr>
        <w:ind w:left="5540" w:right="3760" w:hanging="5424"/>
        <w:spacing w:after="0" w:line="433" w:lineRule="auto"/>
        <w:tabs>
          <w:tab w:leader="none" w:pos="38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by UHS or Merger Sub with its material obligations under the merger agreement. 97</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made by the Company relate to, among other topics, the following:</w:t>
      </w:r>
    </w:p>
    <w:p>
      <w:pPr>
        <w:spacing w:after="0" w:line="131" w:lineRule="exact"/>
        <w:rPr>
          <w:sz w:val="20"/>
          <w:szCs w:val="20"/>
          <w:color w:val="auto"/>
        </w:rPr>
      </w:pPr>
    </w:p>
    <w:p>
      <w:pPr>
        <w:ind w:left="1080" w:right="7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valid existence, good standing, authority and qualification to conduct business with respect to the Company, its subsidiaries and the affiliated professional entities;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the Company, its subsidiaries and the affiliated professional entities;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to enter into the merger agreement and to consummate the merger and the other transactions contemplated by the merger agreement, and the binding nature of the merger agreement;</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with or violation of the Company’s or its subsidiaries’ or the affiliated professional entities’ organizational documents or applicable laws resulting from the execution of the merger agreement and consummation of the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 filing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with GAAP and SEC requirements with respect to reports and other documents filed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existence of internal controls and disclosure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statements in this proxy statement and this proxy statement is in material compliance with the Exchange Act;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actions or circumstances, of any material adverse effect and the conduct of the business in the ordinary course in all material respects, in each case since September 30,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holding of required permits;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benefits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intellectual property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data privacy laws and technology and information security matters;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real property owned by the Company, its subsidiaries or the affiliated professional entities and certain matters relating to the Company’s and its subsidiaries’ and the affiliated professional entities’ leased real properties;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related to compliance with healthcare laws and other regulations applicable to the Company, its subsidiaries and the affiliated professional entities ;</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stockholder rights agreements and inapplicability of anti-takeover laws;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opinions from the financial advisor to the Company regarding the fairness, from a financial point of view, of the merger consideration to be paid to the holders of shares of Company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transactions.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made by UHS and Merger Sub relate to, among other topics, the following:</w:t>
      </w:r>
    </w:p>
    <w:p>
      <w:pPr>
        <w:spacing w:after="0" w:line="131"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valid existence, good standing, authority and qualification to conduct their respective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conflict with or violation of UHS or Merger Sub’s organizational documents or applicable laws resulting from the execution of the merger agreement and consummation of the merger and the other transactions contemplated by the merger agreement;</w:t>
      </w:r>
    </w:p>
    <w:p>
      <w:pPr>
        <w:spacing w:after="0" w:line="45" w:lineRule="exact"/>
        <w:rPr>
          <w:rFonts w:ascii="Times New Roman" w:cs="Times New Roman" w:eastAsia="Times New Roman" w:hAnsi="Times New Roman"/>
          <w:sz w:val="17"/>
          <w:szCs w:val="17"/>
          <w:color w:val="auto"/>
        </w:rPr>
      </w:pPr>
    </w:p>
    <w:p>
      <w:pPr>
        <w:ind w:left="1080" w:right="3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to enter into the merger agreement and to consummate the transactions contemplated by the merger agreement, including the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operations of Merger Sub;</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sufficient funds to pay the aggregate merger consideration and other amounts required to be paid in connection with the consummation of the transactions contemplated by the merger agreement ;</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arrangements with Company management or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for inclusion in this proxy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non-ownership of Company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Regarding Conduct of Business by the Company Pending the Effective Time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merger agreement, in general, subject to certain exceptions (including as required by applicable law, judgment or a governmental authority, as expressly required or permitted by the merger agreement or as set forth in the confidential disclosure schedules to the merger agreement delivered to UHS and Merger Sub) and unless UHS otherwise consents in advance in writing (which consent is not to be unreasonably withheld, delayed or conditioned), the Company has agreed, and has agreed to cause each of its subsidiaries and to direct each of the affiliated professional entities to, use reasonable best efforts to carry on its business in all material respects in the ordinary course consistent with past practice and to preserve substantially intact the Company’s, each of its subsidiaries’ and each of the affiliated professional entities’ (i) current business organizations, (ii) material assets, properties, contracts and permits and (iii) current officers, employees and consultants (other than any terminations for cause or voluntary resignations), and relationships and goodwill with customers, suppliers, licensors, licensees, distributors, contractors, partners, governmental authorities and other persons having material business dealings with the Company, any of its subsidiaries or any of the affiliated professional entities.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also agreed under the merger agreement, subject to certain exceptions (including as required by applicable law, judgment or a governmental authority, as expressly required or permitted by the merger agreement or as set forth in the confidential disclosure schedules to the merger agreement delivered to UHS and Merger Sub) and unless UHS otherwise consents in advance in writing (which consent is not to be unreasonably withheld, delayed or conditioned), to certain restrictions on its activities during the period from March 9, 2026 to the effective time or earlier termination of the merger agreement. These restrictions on the Company’s activities are summarized below. In general, subject to certain exceptions, the Company will not, and will cause each of its subsidiaries and will direct each of the affiliated professional entities not to, without UHS’s prior written consent (such consent not to be unreasonably withheld, delayed or conditioned):</w:t>
      </w:r>
    </w:p>
    <w:p>
      <w:pPr>
        <w:spacing w:after="0" w:line="94" w:lineRule="exact"/>
        <w:rPr>
          <w:sz w:val="20"/>
          <w:szCs w:val="20"/>
          <w:color w:val="auto"/>
        </w:rPr>
      </w:pPr>
    </w:p>
    <w:p>
      <w:pPr>
        <w:ind w:left="1080" w:right="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transactions solely between or among the Company, its wholly owned subsidiaries and the affiliated professional entities, issue, sell, distribute, assign, transfer, grant or dispose of any shares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66" w:lineRule="auto"/>
        <w:rPr>
          <w:sz w:val="20"/>
          <w:szCs w:val="20"/>
          <w:color w:val="auto"/>
        </w:rPr>
      </w:pPr>
      <w:r>
        <w:rPr>
          <w:rFonts w:ascii="Times New Roman" w:cs="Times New Roman" w:eastAsia="Times New Roman" w:hAnsi="Times New Roman"/>
          <w:sz w:val="18"/>
          <w:szCs w:val="18"/>
          <w:color w:val="auto"/>
        </w:rPr>
        <w:t>its capital stock or other equity or voting interests, or any securities convertible into, or exchangeable or exercisable for, any shares of its capital stock or other equity or voting interests (including any warrants, options, restricted stock units or other rights of any kind to purchase any shares of its capital stock or other equity or voting interests), with certain specified exceptions;</w:t>
      </w:r>
    </w:p>
    <w:p>
      <w:pPr>
        <w:spacing w:after="0" w:line="81" w:lineRule="exact"/>
        <w:rPr>
          <w:sz w:val="20"/>
          <w:szCs w:val="20"/>
          <w:color w:val="auto"/>
        </w:rPr>
      </w:pPr>
    </w:p>
    <w:p>
      <w:pPr>
        <w:ind w:left="1080" w:right="80" w:hanging="424"/>
        <w:spacing w:after="0" w:line="25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transactions solely between or among the Company, its subsidiaries and the affiliated professional entities, directly or indirectly redeem, purchase or otherwise acquire any shares of the Company’s capital stock or other equity or voting interests, or any securities convertible (whether currently convertible or convertible only after the passage of time or the occurrence of certain events) into, or exchangeable or exercisable for, any shares of the Company’s capital stock or other equity or voting interests (including any warrants, options, restricted stock units or other rights of any kind to purchase any shares of the Company’s capital stock or other equity or voting interests) (other than pursuant to the forfeiture of, withholding of taxes with respect to or the net settlement of Company equity awards);</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transactions solely between or among the Company, its subsidiaries and the affiliated professional entities, establish a record date for, authorize, declare, make, set aside for payment or pay any dividend on, or make any other distribution in respect of any shares of its capital stock or other equity or voting interests;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recapitalize, reclassify or effect any similar change in capitalization of any shares of its capital stock or other equity or voting interests, except for any such transaction by a wholly owned subsidiary of the Company which remains a wholly owned subsidiary after consummation of such transaction;</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endorse or otherwise become liable for any indebtedness or obligations for borrowed money (including any notes, bonds, debentures, letters of credit, bank guarantees, performance bonds and/or other similar contractual obligations), issue, sell, redeem, purchase or otherwise acquire any debt securities or warrants or other rights to acquire any debt securities of the Company or any of its subsidiaries, guarantee any such indebtedness or obligations or debt securities of another person or enter into any “keep well” or other agreement to maintain or cause to be maintained any financial statement condition of another person (which we refer to, collectively, as “indebtedness”), except for (i) intercompany indebtedness solely between or among the Company, its subsidiaries and the affiliated professional entities in the ordinary course of business and (ii) letters of credit, bank guarantees, security or performance bonds or similar credit support instruments, overdraft facilities or cash management programs, in each case issued, made, entered into or drawn in the ordinary course of business;</w:t>
      </w:r>
    </w:p>
    <w:p>
      <w:pPr>
        <w:spacing w:after="0" w:line="93"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hedging transaction or other derivative agreements, except for (i) any such transaction or agreement entered into in the ordinary course of business, and (ii) renewals, extensions or refinancing of any swap or hedging transactions or other derivative agreements existing on March 9, 2026 or permitted to be entered into under the merger agreement;</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capital contributions or advances to any person other than (i) transactions solely between or among the Company, its wholly owned subsidiaries and the affiliated professional entities, (ii) in connection with any acquisition permitted under the acquisition covenant of the merger agreement described in the 11th bullet point of this list or (iii) accounts receivable in the ordinary course of business consistent with past practice;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dispose, assign, transfer or lease to any person, in a single transaction or series of related transactions, any of its material properties or assets (excluding intellectual property owned by the Company), except (i) transfers, sales or leases solely between or among the Company, its wholly owned subsidiaries and the affiliated professional entities, (ii) dispositions of assets that are obsolete, worn out, surplus or no longer used or useful in the conduct of the business of the Company or any of its subsidiaries, (iii) subleases of real property leased, subleased, licensed or otherwise occupied by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Company or any of its subsidiaries or any of the affiliated professional entities and expirations of the lease agreements of the Company, any of its subsidiaries or any of the affiliated professional entities with respect to real property in accordance with their terms and (iv) sales or leases in the ordinary course of business;</w:t>
      </w:r>
    </w:p>
    <w:p>
      <w:pPr>
        <w:spacing w:after="0" w:line="81" w:lineRule="exact"/>
        <w:rPr>
          <w:sz w:val="20"/>
          <w:szCs w:val="20"/>
          <w:color w:val="auto"/>
        </w:rPr>
      </w:pPr>
    </w:p>
    <w:p>
      <w:pPr>
        <w:ind w:left="1080" w:right="80" w:hanging="424"/>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assign, convey, sell, lease, license, subject to any encumbrance (other than encumbrances permitted under the merger agreement), cancel, abandon, allow to lapse, or expire, or otherwise dispose of any material intellectual property owned by the Company, except, in each case, intellectual property that in the Company’s reasonable discretion, should be abandoned or allowed to lapse or expire as part of the Company’s ordinary course of management of its intellectual property portfolio consistent with past practice;</w:t>
      </w:r>
    </w:p>
    <w:p>
      <w:pPr>
        <w:spacing w:after="0" w:line="8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encumbrance (other than encumbrances permitted under the merger agreement) on any of its material assets (excluding intellectual property owned by the Company), other than (i) to secure indebtedness and other obligations permitted under the indebtedness covenant of the merger agreement described in the 5th bullet point of this list or (ii) solely to the Company, a wholly owned subsidiary of the Company or an affiliated professional entity;</w:t>
      </w:r>
    </w:p>
    <w:p>
      <w:pPr>
        <w:spacing w:after="0" w:line="85"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by merger, sale of stock or other equity interests, sale of assets or otherwise) the capital stock, equity interests or material portion of the assets of any other person or any properties, assets, securities, business or division thereof;</w:t>
      </w:r>
    </w:p>
    <w:p>
      <w:pPr>
        <w:spacing w:after="0" w:line="67" w:lineRule="exact"/>
        <w:rPr>
          <w:rFonts w:ascii="Times New Roman" w:cs="Times New Roman" w:eastAsia="Times New Roman" w:hAnsi="Times New Roman"/>
          <w:sz w:val="18"/>
          <w:szCs w:val="18"/>
          <w:color w:val="auto"/>
        </w:rPr>
      </w:pPr>
    </w:p>
    <w:p>
      <w:pPr>
        <w:ind w:left="1080" w:hanging="424"/>
        <w:spacing w:after="0" w:line="276" w:lineRule="auto"/>
        <w:tabs>
          <w:tab w:leader="none" w:pos="108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pursuant to the terms of any Company benefit plan in effect on the date of the merger agreement or adopted, established, entered into or amended after the date of the merger agreement in a manner not in violation of the merger agreement or applicable law,</w:t>
      </w:r>
    </w:p>
    <w:p>
      <w:pPr>
        <w:ind w:left="108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grant to any employee (whether of the Company, any of its subsidiaries or any of the affiliated professional entities) with an annual base salary or wage rate in excess of $150,000 any material increase in such employee’s compensation or benefits (including any severance, retention or termination pay), (B) grant to employees (of the Company and its subsidiaries and the affiliated professional entities) any increases in compensation or benefits (including any severance, retention or termination pay) if the aggregate amount of such increases would exceed $1,000,000, (C) establish, adopt, enter into or materially amend any collective bargaining agreement or any material Company benefit plan, (D) take any action to accelerate any rights or benefits under any material Company benefit plan, (E) grant any Company equity awards or accelerate the vesting of any Company equity awards, (F) undertake any reduction in force which would result in any obligation under the Workers Adjustment and Retraining Notification Act of 1988, (G) terminate the employment of any executive officer (other than “for cause” as reasonably determined by the Company in the ordinary course of business) or (H) hire any new employee with an annual base salary or wage rate in excess of $150,000;</w:t>
      </w:r>
    </w:p>
    <w:p>
      <w:pPr>
        <w:spacing w:after="0" w:line="98" w:lineRule="exact"/>
        <w:rPr>
          <w:rFonts w:ascii="Times New Roman" w:cs="Times New Roman" w:eastAsia="Times New Roman" w:hAnsi="Times New Roman"/>
          <w:sz w:val="17"/>
          <w:szCs w:val="17"/>
          <w:color w:val="auto"/>
        </w:rPr>
      </w:pPr>
    </w:p>
    <w:p>
      <w:pPr>
        <w:ind w:left="1080" w:hanging="424"/>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financial accounting methods, principles or practices materially affecting the consolidated assets, liabilities or results of operations of the Company, its subsidiaries or the affiliated professional entities, except insofar as may be required (i) by GAAP (or any interpretation thereof), (ii) by any applicable law, including Regulation S-X under the Securities Act, or (iii) by any governmental authority or quasi-governmental authority (including the Financial Accounting Standards Board or any similar organization);</w:t>
      </w:r>
    </w:p>
    <w:p>
      <w:pPr>
        <w:spacing w:after="0" w:line="85"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adopt or change any tax accounting method or change any tax accounting period, (iii) file any amended material tax Return, (iv) enter into any closing agreement with respect to a material amount of taxes, (v) settle any material tax claim, audit, assessment or dispute, (vi) enter into any tax indemnification, sharing, allocation reimbursement or similar agreement (other than any customary tax indemnification provisions in ordinary course commercial agreements or arrangements that are not primarily related to taxes), (vii) initiate any voluntary tax disclosure or tax amnesty or similar filings with any taxing authority with respect to a material amount of taxes, or (viii) surrender any right to claim a material tax refund;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certificate of incorporation or bylaws or amend in any material respect the comparable organizational or governing documents or the Corporate Practice Documents (as defined in the merger agreement) of any subsidiary of the Company or of any affiliated professional entity;</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pending or threatened action against or involving the Company, any of its subsidiaries or any of the affiliated professional entities, other than settlements, releases, waivers or compromises of any pending or threatened action</w:t>
      </w:r>
    </w:p>
    <w:p>
      <w:pPr>
        <w:ind w:left="1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reflected or reserved against in the balance sheet (or the notes thereto) of the Company as of September 30, 2025 included in the documents filed with, or furnished to, the SEC by the Company, from and after January 1, 2024, and on or prior to March 6, 2026, for an amount not materially in excess of the amount so reflected or reserved (excluding any amount that may be paid under insurance policies or indemnification agreements) or (ii) for an amount not in excess of $100,000 individually or $200,000 in the aggregate (so long as, in the case of this clause (ii), the Company promptly notifies UHS following any such settlement, release, waiver or comprise); provided that no settlement of any pending or threatened action may involve (x) any material injunctive or equitable relief or impose material restrictions on the business activities of the Company, its subsidiaries and the affiliated professional entities, taken as a whole (other than customary non-disclosure obligations) or (y) any admission of wrongdoing by the Company, any of its subsidiaries or any of the affiliated professional entities;</w:t>
      </w:r>
    </w:p>
    <w:p>
      <w:pPr>
        <w:spacing w:after="0" w:line="9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renew, modify, amend or waive any material rights or any breaches under any Material Contract (as defined in the merger agreement) or any Corporate Practice Document (as defined in the merger agreement), or enter into any contract that would have been a Material Contract, Corporate Practice Document or a lease agreement had such contract been entered into prior to March 9, 2026, in each case, other than (i) terminations, renewals, modifications or amendments in the ordinary course of business on terms that are not materially adverse to the Company, its subsidiaries and the affiliated professional entities, (ii) entries into certain contracts that would have been a certain type of Material Contract described in the merger agreement had such contract been entered into prior to March 9, 2026 in the ordinary course of business or (iii) otherwise expressly permitted by the interim covenants section of the merger agreement;</w:t>
      </w:r>
    </w:p>
    <w:p>
      <w:pPr>
        <w:spacing w:after="0" w:line="94"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transfer, lease, cancel, fail to renew or fail to extend any material permit of the Company, any of its subsidiaries or any of the affiliated professional entities;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affiliate transactions;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not conducted or discontinue any line of business conducted, in each case, as of March 9, 2026 and that is material to the Company, its subsidiaries and the affiliated professional entities, taken as a whole;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that are greater than $100,000 in the aggregate, except for capital expenditures planned and budgeted as of March 9, 2026 and in an aggregate amount not in excess of the amount set forth in the confidential disclosure schedules to the merger agreement delivered to UHS and Merger Sub;</w:t>
      </w:r>
    </w:p>
    <w:p>
      <w:pPr>
        <w:spacing w:after="0" w:line="81"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or enter into, or permit to be adopted or entered into, a plan of complete or partial liquidation, dissolution, merger, consolidation, restructuring, recapitalization or other reorganization of the Company, its subsidiaries or the affiliated professional entities; or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or agree, in writing or otherwise, to take any of the foregoing actions.</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Nothing contained in the merger agreement is intended to give UHS or Merger Sub, directly or indirectly, the right to control or direct the Company’s, its subsidiaries’ or the affiliated professional entities’ operations prior to the effective time. Prior to the effective time, the Company will exercise, consistent with the terms and conditions of the merger agreement, complete control and supervision over its, its subsidiaries’ and affiliated professional entities’ respective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Solicitation; Change in Board Recommendation</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permitted by the merger agreement, from March 9, 2026 until the effective time or, if earlier, the termination of the merger agreement in accordance with its terms, the Company will, and will cause each of its subsidiaries and each of the affiliated professional entities to, and will direct and use reasonable best efforts to cause, its and their representatives acting on its and their behalf to, (i) immediately cease any solicitation, discussions or negotiations with any persons with respect to any takeover proposal (as defined below) or any proposal that would reasonably be expected to lead to a takeover proposal, and (ii) not, directly or indirectly, take any of the actions set forth in the bulleted list below.</w:t>
      </w:r>
    </w:p>
    <w:p>
      <w:pPr>
        <w:spacing w:after="0" w:line="89" w:lineRule="exact"/>
        <w:rPr>
          <w:sz w:val="20"/>
          <w:szCs w:val="20"/>
          <w:color w:val="auto"/>
        </w:rPr>
      </w:pPr>
    </w:p>
    <w:p>
      <w:pPr>
        <w:ind w:left="1080" w:right="600" w:hanging="424"/>
        <w:spacing w:after="0" w:line="312" w:lineRule="auto"/>
        <w:tabs>
          <w:tab w:leader="none" w:pos="10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solicit, knowingly facilitate or knowingly encourage (including by way of furnishing non-public information) any inquiries regarding, or the making of any proposal or offer that constitutes, or would reasonably be expected to lead to, a takeover proposal;</w:t>
      </w:r>
    </w:p>
    <w:p>
      <w:pPr>
        <w:spacing w:after="0" w:line="45" w:lineRule="exact"/>
        <w:rPr>
          <w:rFonts w:ascii="Times New Roman" w:cs="Times New Roman" w:eastAsia="Times New Roman" w:hAnsi="Times New Roman"/>
          <w:sz w:val="17"/>
          <w:szCs w:val="17"/>
          <w:color w:val="auto"/>
        </w:rPr>
      </w:pPr>
    </w:p>
    <w:p>
      <w:pPr>
        <w:ind w:left="1080" w:right="180" w:hanging="424"/>
        <w:spacing w:after="0" w:line="26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(except to notify any person of the provisions of the non-solicitation restrictions described in the merger agreement), or furnish to any other person any non-public information in connection with, or for the purpose of, knowingly encouraging or knowingly facilitating a takeover proposal;</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endorse, recommend or enter into any letter of intent, memorandum of understanding, agreement in principle, merger agreement, acquisition agreement or other similar agreement providing for or relating to a takeover proposal or any proposal or offer that would reasonably be expected to lead to a takeover proposal (other than an acceptable confidentiality agreement (as defined below));</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person (other than UHS and its subsidiaries) from the restrictions on “business combinations” or any similar provision contained in applicable takeover laws or the Company’s organizational and governing documents;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forebear in the enforcement of or amend any standstill agreement or any standstill provision in any other contract (it being understood that the Company may waive or release any such standstill provision solely to the extent reasonably necessary to permit the applicable person (if such person has not been solicited in breach of the non-solicitation restrictions described in the merger agreement) to make, on a confidential basis, a takeover proposal, if the Board has determined in good faith, after consultation with outside legal counsel, that failure to so waive or release such standstill would reasonably be expected to be inconsistent with the directors’ fiduciary duties under applicable law).</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Additionally, the Company was required to (i) promptly following March 9, 2026 discontinue all electronic or physical data room access granted to any person and any such person’s representatives (other than UHS, its affiliates and their respective representatives) and (ii) promptly following March 9, 2026, request the prompt return or destruction (to the extent provided for by the applicable confidentiality agreement) of all confidential information or documents previously furnished to any person and any such person’s representatives (other than UHS, its affiliates and their respective representatives) and all material incorporating such information created by any such person.</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at any time on or after March 9, 2026 and prior to obtaining the Company stockholder approval or if earlier, the termination of the merger agreement in accordance with its terms, the Company or any of its subsidiaries or any of their representatives receives a takeover proposal, which did not result from a material breach of the non-solicitation restrictions described above (it being understood that if any representative of the Company or any of its subsidiaries takes any action on behalf of the Company or its subsidiaries that if taken by the Company would be a breach of the non-solicitation restrictions described above, the taking of such action by such representative will be deemed to constitute a breach of the non-solicitation restrictions described above by the Company under the merger agreement), (i) the Company and its representatives may contact and engage in discussions with such person or group of persons making such takeover proposal or its or their representatives to clarify the terms and conditions thereof or to request that 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takeover proposal made orally be made in writing or to notify such person or group of persons or its or their representatives of the provisions of the Company’s obligations described above and (ii) if the Board or any duly authorized committee thereof determines in good faith, after consultation with its financial advisors and outside legal counsel, that (x) a bona fide written takeover proposal constitutes, or would reasonably be expected to result in, a superior proposal (as defined below) and (y) the failure to take such actions described below would reasonably be expected to be inconsistent with the directors’ fiduciary duties under applicable law, then the Company and any of its representatives may:</w:t>
      </w:r>
    </w:p>
    <w:p>
      <w:pPr>
        <w:spacing w:after="0" w:line="89" w:lineRule="exact"/>
        <w:rPr>
          <w:sz w:val="20"/>
          <w:szCs w:val="20"/>
          <w:color w:val="auto"/>
        </w:rPr>
      </w:pPr>
    </w:p>
    <w:p>
      <w:pPr>
        <w:ind w:left="1080" w:hanging="424"/>
        <w:spacing w:after="0" w:line="256"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acceptable confidentiality agreement with the person or group of persons making such takeover proposal and furnish pursuant to an acceptable confidentiality agreement information (including non-public information) with respect to the Company and its subsidiaries to the person or group of persons who has made such takeover proposal and its or their respective representatives; provided that the Company will promptly (and in any event within 24 hours) provide to UHS any material non-public information concerning the Company or any of its subsidiaries that is provided to any person given such access which was not previously provided to UHS or its representatives; and</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otherwise participate in discussions or negotiations with the person or group of persons making such takeover proposal and its or their representatives.</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will not, and will cause its subsidiaries not to, enter into any confidentiality agreement with any person (relating to a takeover proposal) that prohibits the sharing of any information with UHS (and its representatives) in accordance with the merger agreement.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March 9, 2026 and prior to obtaining the Company stockholder approval, the Company will (i) promptly (and, in any event, within 24 hours of receipt) notify UHS in the event that the Company or any of its subsidiaries or any of their representatives receives a takeover proposal, or any inquiries, proposals or requests for discussions, negotiations or non-public information that would reasonably be expected to lead to a takeover proposal, and will disclose to UHS the material terms and conditions of any such takeover proposal and the identity of the person or group of persons making such takeover proposal, (ii) upon the request of UHS, keep UHS reasonably informed on a prompt basis of the status, material details and any material developments with respect to any such takeover proposal, inquiries, proposals or requests (including any material changes thereto) and (iii) promptly (and in any event within 24 hours of receipt) provide to UHS copies of all correspondence and other written and electronic material exchanged between the Company or any of its subsidiaries or any of its or their representatives and any person that relates to the material terms or conditions of any such takeover proposal.</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the Board or any duly authorized committee thereof, will:</w:t>
      </w:r>
    </w:p>
    <w:p>
      <w:pPr>
        <w:spacing w:after="0" w:line="131" w:lineRule="exact"/>
        <w:rPr>
          <w:sz w:val="20"/>
          <w:szCs w:val="20"/>
          <w:color w:val="auto"/>
        </w:rPr>
      </w:pPr>
    </w:p>
    <w:p>
      <w:pPr>
        <w:ind w:left="1080" w:right="60" w:hanging="424"/>
        <w:spacing w:after="0" w:line="257"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include the Board’s recommendation that the Company stockholders entitled to vote adopt the merger agreement (which we refer to as the “Board recommendation”) in this proxy statement, (ii) withdraw or withhold (or modify or qualify in a manner adverse to UHS), or publicly propose to withdraw or withhold (or modify or qualify in a manner adverse to UHS), the Board recommendation,</w:t>
      </w:r>
    </w:p>
    <w:p>
      <w:pPr>
        <w:spacing w:after="0" w:line="1"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recommend the approval or adoption of, or approve or adopt, or publicly propose to recommend, approve or adopt, any takeover proposal (it being understood that the Board or any duly authorized committee thereof may, and may cause the Company to, make a customary “stop, look and listen” communication), (iv) fail to recommend against acceptance by the holders of Company common stock of a third party tender offer or exchange offer that constitutes a takeover proposal within 10 business days after the commencement of such offer pursuant to Rule 14d-2 promulgated under the Exchange Act or (v) commit or agree to take any of the foregoing actions (we refer to any action as described in this bullet point as an “adverse recommendation change”); or</w:t>
      </w:r>
    </w:p>
    <w:p>
      <w:pPr>
        <w:spacing w:after="0" w:line="9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or cause or permit the Company or any of its subsidiaries or any of the affiliated professional entities to execute or enter into, any letter of intent, memorandum of understanding, agreement in principle, merger agreement, acquisition agreement or other similar agreement providing for, or that is intended to or would reasonably be expected to lead to, a takeover proposal, other than any acceptable confidentiality agreement (we refer to each, as a “Company acquisition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7"/>
          <w:szCs w:val="17"/>
          <w:color w:val="auto"/>
        </w:rPr>
        <w:t>Notwithstanding the foregoing or any other provision of the merger agreement to the contrary, prior to obtaining the Company stockholder approval, but not after, the Board or any duly authorized committee thereof may (i) make an adverse recommendation change in response to an intervening event (as defined below) or in response to a superior proposal received after March 9, 2026 (which such superior proposal did not result from a material breach of the non-solicitation restrictions described above) or (ii) cause the Company to enter into a Company acquisition agreement with respect to a takeover proposal (where such takeover proposal constitutes a superior proposal, which such superior proposal did not result from a material breach of the non-solicitation restrictions described above by the Company) and terminate the merger agreement in accordance with the terms thereof, in either case, if the Board or any duly authorized committee thereof has determined in good faith, after consultation with its financial advisors and outside legal counsel, that the failure to take such action would reasonably be expected to be inconsistent with the directors’ fiduciary duties under applicable law; provided, however, that the Board or any duly authorized committee thereof will not, and the Company will not, will cause its subsidiaries not to, and will direct the affiliated professional entities not to, take any action set forth in clause (ii) above or, in the event such action is proposed to be taken in connection with an intervening event or a superior proposal, take any action set forth in clause (i) or clause (ii) above unless:</w:t>
      </w:r>
    </w:p>
    <w:p>
      <w:pPr>
        <w:spacing w:after="0" w:line="2" w:lineRule="exact"/>
        <w:rPr>
          <w:sz w:val="20"/>
          <w:szCs w:val="20"/>
          <w:color w:val="auto"/>
        </w:rPr>
      </w:pPr>
    </w:p>
    <w:p>
      <w:pPr>
        <w:ind w:left="120" w:hanging="4"/>
        <w:spacing w:after="0" w:line="251" w:lineRule="auto"/>
        <w:tabs>
          <w:tab w:leader="none" w:pos="3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UHS at least four business days’ prior written notice of its intention to take such action (which notice must state that the Company has received a written takeover proposal that constitutes a superior proposal, specify the identity of the party making such superior proposal and the material terms thereof, or, if in response to an intervening event, must have specified in reasonable detail the material facts and circumstances describing the intervening event and the rationale for the adverse recommendation change, and must state that the Board has determined to make an adverse recommendation change) (we refer to each such notice as a “match right notice”), (2) the Company has negotiated, and has caused its representatives to negotiate, in good faith with UHS during such notice period, to the extent UHS wishes to negotiate, to enable UHS to propose in writing a binding offer to effect revisions to the terms of the merger agreement such that it would cause such superior proposal to no longer constitute a superior proposal or, in the case of an intervening event, to effect revisions to the merger agreement or make another proposal so that the failure to make an adverse recommendation change would no longer reasonably be expected to be inconsistent with the directors’ fiduciary duties under applicable law and (3) following the end of such notice period, the Board (or any duly authorized committee thereof) must have considered in good faith such binding offer, and must, after consultation with its financial advisors and outside legal counsel, have determined that the superior proposal would continue to constitute a superior proposal if the revisions proposed in such binding offer were to be given effect or, if the match right notice is related to an intervening event, taking into account any revised terms committed to in writing by UHS, that failure to make an adverse recommendation change would reasonably be expected to be inconsistent with the directors’ fiduciary duties under applicable law (it being understood and agreed that any change to the financial or other material terms of any takeover proposal or any material development in any intervening event, in each case, that was previously the subject of a match right notice will require the Company to deliver to UHS a new match right notice as provided immediately above, provided that, for the purposes of such subsequent notice, all references to “four business days” are deemed to be “two business days”).</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purported termination of the merger agreement in connection with the Company’s entry into a Company acquisition agreement with respect to a takeover proposal will be void and of no force and effect unless the termination is in accordance with the termination provisions described in the section of this proxy statement entitled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113</w:t>
      </w:r>
      <w:r>
        <w:rPr>
          <w:rFonts w:ascii="Times New Roman" w:cs="Times New Roman" w:eastAsia="Times New Roman" w:hAnsi="Times New Roman"/>
          <w:sz w:val="18"/>
          <w:szCs w:val="18"/>
          <w:color w:val="auto"/>
        </w:rPr>
        <w:t xml:space="preserve"> and, to the extent required under the terms of the merger agreement, the Company pays or causes to be paid to UHS a termination fee (to the extent due and payable thereunder) prior to or concurrently with such termination so long as UHS has provided the Company with wire instructions for such payment.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merger agreement, “acceptable confidentiality agreement” means any customary confidentiality agreement entered into by the Company from and after March 9, 2026, that contains confidentiality provisions that are not materially less favorable in the aggregate to the Company than those contained in the confidentiality agreement between the Company and a subsidiary of UHS, except that such confidentiality agreement need not include explicit or implicit standstill provisions or otherwise restrict the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making of or amendment or modification to takeover proposals or any confidentiality agreement entered into prior to March 9,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purposes of the merger agreement, “takeover proposal” means any bona fide third party proposal or offer from any person or group (other than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UHS and its subsidiaries) relating to, in a single transaction or series of related transactions, any direct or indirect:</w:t>
      </w:r>
    </w:p>
    <w:p>
      <w:pPr>
        <w:spacing w:after="0" w:line="112" w:lineRule="exact"/>
        <w:rPr>
          <w:sz w:val="20"/>
          <w:szCs w:val="20"/>
          <w:color w:val="auto"/>
        </w:rPr>
      </w:pPr>
    </w:p>
    <w:p>
      <w:pPr>
        <w:jc w:val="both"/>
        <w:ind w:left="1080" w:right="24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disposition of 25% or more of the consolidated assets of the Company and its subsidiaries (based on the fair market value thereof, as determined in good faith by the Board or any duly authorized committee thereof), including through the acquisition of one or more subsidiaries of the Company owning such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disposition of securities representing 25% or more of the voting power of the then outstanding Company common stock;</w:t>
      </w:r>
    </w:p>
    <w:p>
      <w:pPr>
        <w:spacing w:after="0" w:line="130" w:lineRule="exact"/>
        <w:rPr>
          <w:rFonts w:ascii="Times New Roman" w:cs="Times New Roman" w:eastAsia="Times New Roman" w:hAnsi="Times New Roman"/>
          <w:sz w:val="18"/>
          <w:szCs w:val="18"/>
          <w:color w:val="auto"/>
        </w:rPr>
      </w:pPr>
    </w:p>
    <w:p>
      <w:pPr>
        <w:ind w:left="1080" w:right="500" w:hanging="424"/>
        <w:spacing w:after="0" w:line="312" w:lineRule="auto"/>
        <w:tabs>
          <w:tab w:leader="none" w:pos="10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tender offer or exchange offer that if consummated would result in any person or group (or the equityholders of any person) owning, directly or indirectly, securities representing 25% or more of the voting power of the then outstanding Company common stock; or</w:t>
      </w:r>
    </w:p>
    <w:p>
      <w:pPr>
        <w:spacing w:after="0" w:line="45" w:lineRule="exact"/>
        <w:rPr>
          <w:rFonts w:ascii="Times New Roman" w:cs="Times New Roman" w:eastAsia="Times New Roman" w:hAnsi="Times New Roman"/>
          <w:sz w:val="17"/>
          <w:szCs w:val="17"/>
          <w:color w:val="auto"/>
        </w:rPr>
      </w:pPr>
    </w:p>
    <w:p>
      <w:pPr>
        <w:ind w:left="1080" w:right="120" w:hanging="424"/>
        <w:spacing w:after="0" w:line="255"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share exchange, business combination, recapitalization, liquidation, dissolution or similar transaction involving the Company pursuant to which such person or group (or the equityholders of any person) would own, directly or indirectly, 25% or more of the consolidated assets of the Company and its subsidiaries (based on the fair market value thereof, as determined in good faith by the Board or any duly authorized committee thereof) or securities representing 25% or more of the aggregate voting power of the Company’s then outstanding securities or of the surviving entity in a merger, consolidation, share exchange or other business combination involving the Company or the resulting direct or indirect parent of the Company or such surviving entity, in each case, other than the transactions contemplated by the merger agreement.</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merger agreement, “superior proposal” means any bona fide written takeover proposal made after March 9, 2026 that the Board or any duly authorized committee thereof has determined in its good faith judgment, after consultation with its financial advisors and outside legal counsel, (i) would be more favorable to the stockholders of the Company than the transactions contemplated by the merger agreement from a financial point of view and (ii) is reasonably capable of being completed, in each case, taking into account all legal, regulatory, financial, financing and other aspects of such proposal and of the merger agreement (provided that, for purposes of the definition of “superior proposal”, the references to “25%” in the definition of takeover proposal will be deemed to be references to “50%”).</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merger agreement, an “intervening event” means any state of facts, event, change, development, condition, occurrence or circumstances not known (or if known, the magnitude or material consequences of which were unknown and not reasonably foreseeable) by the Board as of March 9, 2026, but which state of facts, event, change, development, condition, occurrence or circumstances (or consequences thereof) becomes known to the Board after March 9, 2026 and prior to receipt of the Company stockholder approval, other than (i) a takeover proposal or the receipt, existence or terms thereof, (ii) changes in the trading price or trading volume of the Company common stock, in and of itself (it being understood that the underlying causes, facts or occurrences giving rise or contributing to such changes may be taken into account whether an intervening event has occurred), (iii) the Company or any of its subsidiaries meeting or exceeding any published analyst estimates or expectations of the Company’s and its subsidiaries’ revenue, earnings or other financial performance or results of operations for any period, in and of itself, or exceeding the Company’s and its subsidiaries’ internal or external budgets, plans or forecasts of revenues, earnings or other financial performance or results of operations, in and of itself (it being understood that the underlying causes, facts or occurrences giving rise or contributing to the Company and its subsidiaries meeting or exceeding such estimates, projections, budgets, plans or forecasts may be taken into account whether an intervening event has occurred), (iv) any effect attributable to the negotiation, execution or announcement of the merger agreement, the merger and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contemplated by the merger agreement or (v) any effect resulting from or arising out of a breach of the merger agreement by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Reasonable Best Efforts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of the parties to the merger agreement has agreed to coordinate and cooperate with the other parties and use, and will cause its affiliates to use, reasonable best efforts (unless, with respect to any action, another standard of performance is expressly provided for in the merger agreement) to, as promptly as reasonably practicable:</w:t>
      </w:r>
    </w:p>
    <w:p>
      <w:pPr>
        <w:spacing w:after="0" w:line="81" w:lineRule="exact"/>
        <w:rPr>
          <w:sz w:val="20"/>
          <w:szCs w:val="20"/>
          <w:color w:val="auto"/>
        </w:rPr>
      </w:pPr>
    </w:p>
    <w:p>
      <w:pPr>
        <w:ind w:left="1080" w:right="100" w:hanging="424"/>
        <w:spacing w:after="0" w:line="258"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actions, and do, or cause to be done, and assist and cooperate with the other parties in doing, all things necessary, proper or advisable to cause the conditions to closing of the merger to be satisfied as promptly as reasonably practicable and to consummate and make effective, in the most expeditious manner reasonably practicable, the transactions contemplated by the merger agreement, including preparing and filing promptly and fully all documentation to effect all necessary, proper and advisable filings, notices, petitions, statements, registrations, declarations, submissions of information, applications, reports and other documents;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approvals, consents, registrations, waivers, permits, authorizations, exemptions, clearances, orders and other confirmations from any governmental authority or third-party necessary, proper or advisable to consummate the transactions contemplated by the merger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any additional instruments necessary to consummate the transactions contemplated by the merger agreement ;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or contest in good faith any action brought by any governmental authority or a third-party or any judgment that could otherwise prevent or impede, interfere with, hinder or delay in any material respect the consummation of the transactions contemplated by the merger agreement.</w:t>
      </w:r>
    </w:p>
    <w:p>
      <w:pPr>
        <w:spacing w:after="0" w:line="176" w:lineRule="exact"/>
        <w:rPr>
          <w:sz w:val="20"/>
          <w:szCs w:val="20"/>
          <w:color w:val="auto"/>
        </w:rPr>
      </w:pPr>
    </w:p>
    <w:p>
      <w:pPr>
        <w:jc w:val="both"/>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In addition, the Company and UHS will each use, and will cause its affiliates to use, reasonable best efforts to take all action necessary to ensure that no takeover law is or becomes applicable to any of the transactions contemplated by the merger agreement and refrain from taking any actions that would cause the applicability of such laws and if the restrictions of any takeover law become applicable to any of the transactions contemplated by the merger agreement, take all action necessary to ensure that the transactions contemplated by the merger agreement may be consummated as promptly as practicable on the terms contemplated by the merger agreement and otherwise lawfully minimize the effect of such takeover law on the transactions.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therewith, each of the parties has agreed to, and to cause their affiliates to:</w:t>
      </w:r>
    </w:p>
    <w:p>
      <w:pPr>
        <w:spacing w:after="0" w:line="131" w:lineRule="exact"/>
        <w:rPr>
          <w:sz w:val="20"/>
          <w:szCs w:val="20"/>
          <w:color w:val="auto"/>
        </w:rPr>
      </w:pPr>
    </w:p>
    <w:p>
      <w:pPr>
        <w:ind w:left="1080" w:right="12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notification and report form under the HSR Act with respect to the transactions contemplated by the merger agreement no later than March 30, 2026;</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requisite filings with the governmental authorities set forth in the confidential disclosure schedules to the merger agreement delivered to UHS and Merger Sub as promptly as reasonably practicable following March 9, 2026;</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practicable, to any requests for additional information and documentary material that may be requested pursuant to the HSR Act or any other applicable law;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take, and to cause its affiliates to take, any and all steps necessary to avoid or eliminate each and every impediment and obtain all consents under any laws that may be required by any foreign or U.S. federal, state or local governmental authority, in each case with competent jurisdiction, so as to enable the parties to consummate the transactions contemplated by the merger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parties have also agreed to use, and to cause their respective affiliates to use, reasonable best efforts to:</w:t>
      </w:r>
    </w:p>
    <w:p>
      <w:pPr>
        <w:spacing w:after="0" w:line="131" w:lineRule="exact"/>
        <w:rPr>
          <w:sz w:val="20"/>
          <w:szCs w:val="20"/>
          <w:color w:val="auto"/>
        </w:rPr>
      </w:pPr>
    </w:p>
    <w:p>
      <w:pPr>
        <w:ind w:left="1080" w:hanging="424"/>
        <w:spacing w:after="0" w:line="253"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cooperate in all respects with each other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FTC, the DOJ or any other governmental authority in connection with the transactions contemplated by the merger agreement and in connection with any investigation or other inquiry by or before the FTC, the DOJ or any other governmental authority relating to the transactions contemplated by the merger agreement or any proceeding initiated by a private person relating to the transactions contemplated by the merger agreement</w:t>
      </w:r>
    </w:p>
    <w:p>
      <w:pPr>
        <w:spacing w:after="0" w:line="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other parties hereto promptly and fully informed in all material respects of any written or verbal communication received by such party from, or given by such party to, the FTC, the DOJ or any other governmental authority (including by promptly sending the other parties a copy of all documents, information, correspondence or other communications) and of any material written or verbal communication received or given in connection with any proceeding by a private person, in each case regarding any of the transactions contemplated by the merger agreement; provided, however, that such material may be redacted or provided on an outside counsel only basis as necessary (x) to address reasonable legal privilege concerns or contractual confidentiality obligations or (y) to comply with applicable law;</w:t>
      </w:r>
    </w:p>
    <w:p>
      <w:pPr>
        <w:spacing w:after="0" w:line="94"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laws and the confidentiality agreement between the Company and a subsidiary of UHS relating to the exchange of information, and to the extent reasonably practicable, promptly consult with the other parties to the merger agreement with respect to information relating to the other parties to the merger agreement and their respective affiliates, as the case may be, that appears in any filing made with, or written materials submitted to, any third person or the FTC, the DOJ or any other governmental authority in connection with the transactions contemplated by the merger agreement, other than “Transaction-Related Documents” as that term is used in the rules and regulations under the HSR Act; and</w:t>
      </w:r>
    </w:p>
    <w:p>
      <w:pPr>
        <w:spacing w:after="0" w:line="92"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FTC, the DOJ or such other applicable governmental authority or other person, promptly give the other parties to the merger agreement the opportunity to attend and participate in such meetings and conferences (whether in person, by telephone or otherwise).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of the Company, UHS and Merger Sub has agreed to not knowingly take (and each of the Company and UHS has agreed to cause their respective affiliates or affiliated professional entities not to knowingly take) any action with the intention to, or that would reasonably be expected to, materially hinder or materially delay the expiration or termination of any waiting period under the HSR Act or the obtaining of approval of the DOJ or FTC or any other governmental authority as necessary.</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UHS and the Company will jointly coordinate and cooperate in developing (i) the timing and strategy for obtaining any approvals, consents, registrations, waivers, permits, authorizations, exemptions, clearances, orders and other confirmations from any governmental authority in connection with the transactions contemplated by the merger agreement and (ii) the positions to be taken and the regulatory actions to be requested in any filing or submission with any governmental authority in connection with the transactions contemplated by the merger agreement and in connection with any investigation or other inquiry or litigation by or before, or any negotiations with, any governmental authority relating to the transactions contemplated by the merger agreement and of all other regulatory matters incidental thereto; subject to UHS considering in good faith the views and comments of the Company and its outside counsel, UHS will make the final determination as to the appropriate course of action with matters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Neither UHS nor the Company will (and will cause their respective affiliates or affiliated professional entities not to) commit to or agree with any governmental authority to stay, toll or extend any applicable waiting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period under the HSR Act or any other applicable laws, pull and refile under the HSR Act more than once, or any other applicable laws or enter into a timing agreement with any governmental authority, without the prior written consent of the other party (such consent may be provided by email and may not be unreasonably withheld, delayed or conditioned). In addition and without limiting the foregoing, UHS and the Company may not, and UHS will cause its affiliates not to, effect or agree to any business combination (whether structured as a merger, business combination, tender offer, exchange offer or similar transaction) with, or the acquisition of any assets, licenses, rights, product lines, operations or businesses of, any person that would reasonably be expected to materially hinder or materially delay the consummation of the transactions contemplated by the merger agreement.</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foregoing, each of UHS and Company will use reasonable best efforts to promptly take, and cause its affiliates to take, all actions necessary to secure the expiration or termination of any applicable waiting period under the HSR Act or any other applicable law and resolve any objections asserted with respect to the transactions contemplated by the merger agreement under any applicable law raised by any governmental authority, in order to prevent the entry of, or to have vacated, lifted, reversed or overturned, any restraint that would prevent, prohibit, restrict or delay the consummation of the transactions contemplated by the merger agreement, including:</w:t>
      </w:r>
    </w:p>
    <w:p>
      <w:pPr>
        <w:spacing w:after="0" w:line="89" w:lineRule="exact"/>
        <w:rPr>
          <w:sz w:val="20"/>
          <w:szCs w:val="20"/>
          <w:color w:val="auto"/>
        </w:rPr>
      </w:pPr>
    </w:p>
    <w:p>
      <w:pPr>
        <w:ind w:left="1080" w:right="16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settlements, undertakings, consent decrees, stipulations or other agreements with any governmental authority or with any other person;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divesting or otherwise conveying or holding separate particular assets or categories of assets or businesses of UHS, its subsidiaries or any affiliate of the foregoing;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to sell, divest or otherwise convey or hold separate any particular assets or categories of assets or businesses of the Company and its subsidiaries contemporaneously with or subsequent to the effective time;</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Company to sell, divest or otherwise convey or hold separate any of the particular assets or categories of assets or businesses of the Company, any of its subsidiaries or affiliated professional entities prior to the effective time;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existing relationships, contractual rights or obligations of (x) the Company or its affiliates or (y) UHS, its subsidiaries or any affiliate of the foregoing;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any relationship, contractual right, license or obligation of (x) the Company, its affiliates or affiliated professional entities or</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UHS, its subsidiaries or any affiliate of the foregoing;</w:t>
      </w:r>
    </w:p>
    <w:p>
      <w:pPr>
        <w:spacing w:after="0" w:line="112"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effectuating any other change or restructuring of (x) the Company, its affiliates or affiliated professional entities or (y) UHS, its subsidiaries or any affiliate of the foregoing; or</w:t>
      </w:r>
    </w:p>
    <w:p>
      <w:pPr>
        <w:spacing w:after="0" w:line="67" w:lineRule="exact"/>
        <w:rPr>
          <w:rFonts w:ascii="Times New Roman" w:cs="Times New Roman" w:eastAsia="Times New Roman" w:hAnsi="Times New Roman"/>
          <w:sz w:val="18"/>
          <w:szCs w:val="18"/>
          <w:color w:val="auto"/>
        </w:rPr>
      </w:pPr>
    </w:p>
    <w:p>
      <w:pPr>
        <w:ind w:left="1080" w:hanging="424"/>
        <w:spacing w:after="0" w:line="281" w:lineRule="auto"/>
        <w:tabs>
          <w:tab w:leader="none" w:pos="10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or agreeing to limit, UHS’s (or any of its subsidiaries’ or affiliates’) freedom of action (and, in each case, entering into agreements or stipulating to the entry of any Judgment by, or filing appropriate applications with, the FTC, the Antitrust Division of the DOJ or any other governmental authority in connection with any of the foregoing and, in the case of actions by or with respect to the Company, by consenting to such action by the Company) (we refer to any such action described in the above bullet points as a “restriction”).</w:t>
      </w:r>
    </w:p>
    <w:p>
      <w:pPr>
        <w:spacing w:after="0" w:line="16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UHS and the Company will use reasonable best efforts to respond to and seek to resolve as promptly as reasonably practicable any objections asserted by any governmental authority with respect to the transactions contemplated by the merger agreement.</w:t>
      </w:r>
    </w:p>
    <w:p>
      <w:pPr>
        <w:spacing w:after="0" w:line="162"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Notwithstanding the foregoing or anything else to the contrary in the merger agreement, nothing in the merger agreement will (i) require UHS, any of its affiliates or any of its subsidiaries or the Company, any of its subsidiaries or any of the affiliated professional entities or (ii) permit the Company, any of its subsidiaries or any of the affiliated professional entities, without the prior written consent of UHS, to discuss, negotiate, agree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accept or undertake (or to consent to the Company, any of its subsidiaries or any of the affiliated professional entities agreeing to, accepting or undertaking) any restriction that would reasonably be expected to be material to the Company, its subsidiaries and the affiliated professional entities, taken as a whole.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merger agreement provides that from and after the effective time, the surviving corporation will, and UHS will cause the surviving corporation to, in each case to the fullest extent permissible by applicable law, (i) indemnify and hold harmless each current or former director or officer of the Company or its subsidiaries and each other person who immediately prior to the effective time was indemnified or was required to be indemnified by the Company or its subsidiaries pursuant to the Company’s certificate of incorporation and bylaws and the organizational documents of such subsidiaries as in effect on March 9, 2026 or in any agreement in existence as of March 9, 2026 providing for indemnification or advancement of expenses between the Company or any of its subsidiaries and such person (which we refer to each as an “indemnitee” and, collectively, as the “indemnitees”) with respect to all claims, liabilities, losses, damages, judgments, fines, penalties, costs (including amounts paid in settlement or compromise) and expenses (including fees and expenses of legal counsel) in connection with any action (whether civil, criminal, administrative or investigative), whenever asserted, based on or arising out of, in whole or in part, (x) the fact that an indemnitee is or was a member, director, manager, officer, employee or agent of the Company or such subsidiary or (y) acts or omissions by an indemnitee in the indemnitee’s capacity as a member, director, manager, officer, employee or agent of the Company or such subsidiary or taken at the request of the Company or such subsidiary (including in connection with serving at the request of the Company or such subsidiary as a representative of another person (including any employee benefit plan)), in each case under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at, or at any time prior to, the effective time (including any action relating in whole or in part to the transactions or relating to the enforcement of this provision or any other indemnification or expense advancement right of any indemnitee) and (ii) assume (in the case of the surviving corporation, in the merger without any further action) all obligations of the Company and such subsidiaries to the indemnitees in respect of indemnification, advancement of expenses and exculpation from liabilities for acts or omissions occurring at or prior to the effective time as provided in the Company’s certificate of incorporation and bylaws and the organizational documents of such subsidiaries as in effect on March 9, 2026 or in any agreement in existence as of March 9, 2026 providing for indemnification or advancement of expenses between the Company or any of its subsidiaries and any indemnitee, in each case, as in effect on March 9, 2026.</w:t>
      </w:r>
    </w:p>
    <w:p>
      <w:pPr>
        <w:spacing w:after="0" w:line="19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to the fullest extent permissible by applicable law, UHS will cause the certificate of incorporation and bylaws of the surviving corporation, and the surviving corporation will cause the organizational documents of its subsidiaries, to contain provisions no less favorable to the indemnitees with respect to limitation of liabilities, indemnification and exculpation, in each case, than are set forth as of March 9, 2026 in the Company’s certificate of incorporation and bylaws and the organizational documents of such subsidiaries as in effect on March 9, 2026, which provisions may not be amended, repealed or otherwise modified in a manner that would adversely affect the rights thereunder of any of the indemnitees. In addition, from the effective time, UHS will cause the surviving corporation to, without requiring a preliminary determination of entitlement to indemnification, advance any reasonable and documented out-of-pocket expenses (including reasonable fees and expenses of legal counsel) of any indemnitee in accordance with the merger agreement (including in connection with enforcing the indemnity and other obligations referred to in the merger agreement) as incurred to the fullest extent permitted under applicable law; provided, however, that such indemnitee will be required to provide a written undertaking to repay such amounts if it is ultimately determined in a final non-appealable judgment that such indemnitee is not entitled to be indemnified under applicable law.</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none of UHS, the surviving corporation or any of its subsidiaries will settle, compromise or consent to the entry of any judgment in any threatened or actual litigation, claim or proceeding relating to any acts or omissions covered by the above indemnification provisions (each of which we refer to as a “claim”) for which indemnification would reasonably be expected to be sought by an indemnitee under the merger agreement, unless such settlement, compromise or consent includes an unconditional release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indemnitee from all liability arising out of such claim or such indemnitee otherwise consents in writing to such settlement, compromise or consent.</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requires, subject to certain limits on the costs and premiums to be paid, from and for six years after the effective time, UHS to cause the surviving corporation to maintain in effect the Company’s current directors’ and officers’ liability insurance policies covering acts or omissions occurring at or prior to the effective time with respect to those individuals who are, as of March 9, 2026, or prior to the effective time become, covered under such policies on terms and scope with respect to such coverage, and in an amount, no less favorable to such individuals than those of such policies in effect on March 9, 2026 (provided that UHS may substitute therefor policies, issued by reputable insurers, of at least the same coverage with respect to matters existing or occurring prior to the effective time, including a “tail” policy); provided that, prior to the effective time, the Company may purchase a six-year prepaid “tail” policy (subject to certain limits on the premium to be paid) on terms and conditions providing at least substantially equivalent benefits as the policies of directors’ and officers’ liability insurance maintained by the Company and its subsidiaries with respect to matters existing or occurring prior to the effective time, covering without limitation the transactions and, in such event, the foregoing obligations of the surviving corporation will be deemed satisfied and the surviving corporation will be required to, and UHS will cause the surviving corporation to, use reasonable best efforts to cause such tail policy to be maintained in full force and effect, for its full term, and to honor all of its obligations thereunder. In no event will the Company or surviving corporation be required to pay for such policies an aggregate amount in excess of 300% of the current annual premiums paid by the Company for such insurance.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obligations of UHS and the surviving corporation with respect to indemnification under the merger agreement are (i) intended to be for the benefit of, and will be enforceable by each indemnitee, his or her heirs and his or her representatives and (ii) in addition to, and not in substitution for, any other rights to indemnification or contribution that any such individual may have under the Company’s certificate of incorporation and bylaws or the organizational documents of the Company’s subsidiaries as in effect on March 9, 2026 or by contract or otherwise. The obligations of UHS and the surviving corporation with respect to indemnification under the merger agreement will not be terminated or modified in such a manner as to adversely affect the rights of any indemnitee to whom such provisions apply unless (x) such termination or modification is required by applicable law or (y) the affected indemnitee will have consented in writing to such termination or modification. In the event that (i) UHS, the surviving corporation or any of their respective successors or assigns (A) consolidates with or merges into any other person, entity or group and is not the continuing or surviving corporation or entity of such consolidation or merger or (B) transfers or conveys all or substantially all of its properties and assets to any person, group or entity or (ii) UHS or any of its successors or assigns dissolves the surviving corporation, then, in each such case, proper provision will be made so that the successors and assigns of UHS or the surviving corporation will assume all of the obligations thereof with respect to indemnification set forth in the merger agreement.</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Nothing in the merger agreement is intended to, will be construed to or will release, waive or impair any rights to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the merger agreement is not prior to or in substitution for any such claims under such policies.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UHS’s and the surviving corporation’s obligations under the merger agreement will only continue in full force and effect for a period of six years from the effective time; provided, that if any claim (whether arising before, at or after the effective time) is brought against an indemnitee on or prior to the sixth anniversary of the effective time, the indemnification provisions of the merger agreement will continue in effect until the full and final resolution of such claim.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merger agreement provides that for a period of twelve months following the effective time (such period, which we refer to as the “comparability period”), UHS will, and will cause the Company and its subsidiaries to, (i) provide a base salary or wage rate, as applicable, and short-and long-term incentive opportunities (excluding equity purchase, equity and equity-based compensation opportunities and change of control or similar type transaction bonuses) to each employee of the Company or any of its subsidiaries immediately prior to the effective time (each of which we refer to as a “continuing employee”) that are, in each case, no less favorable than those in effect immediately prior to the effective time, (ii) provide severance benefits to each continuing employee that are no less favorable than those that would have been provided to such continuing employee under the applicable severance benefit plans, programs, policies, agreements and arrangements as in effect immediately prior to the effective time (after giving effect to any provisions relating to a “change in control”, “change of control” or other term of similar import), (iii) provide employee benefit plans and arrangements (other than (x) base salary, wage rate, short- and long-term incentive opportunities, severance and retention benefits, equity purchase, equity and equity-based compensation benefits, change in control, defined benefit, post-retirement or retiree medical benefits and (y) loans to employees for educational purposes, for purposes of satisfying withholding tax in connection with equity awards or for any other purpose) to each continuing employee that are substantially comparable in the aggregate to those provided to such continuing employee immediately prior to the effective time and</w:t>
      </w:r>
    </w:p>
    <w:p>
      <w:pPr>
        <w:spacing w:after="0" w:line="1" w:lineRule="exact"/>
        <w:rPr>
          <w:sz w:val="20"/>
          <w:szCs w:val="20"/>
          <w:color w:val="auto"/>
        </w:rPr>
      </w:pPr>
    </w:p>
    <w:p>
      <w:pPr>
        <w:ind w:left="120" w:right="560" w:hanging="4"/>
        <w:spacing w:after="0" w:line="260" w:lineRule="auto"/>
        <w:tabs>
          <w:tab w:leader="none" w:pos="4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January 1, 2027, provide equity purchase, equity, and equity-based compensation opportunities to each continuing employee that are substantially comparable to those provided to similarly situated employees of UHS with comparable levels of seniority and responsibilities.</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each continuing employee who is eligible to receive an annual cash bonus in accordance with the terms of the applicable bonus plan or arrangement, UHS will cause the surviving corporation and its subsidiaries to pay such continuing employee a cash bonus payment for the year in which the effective time occurs (if such continuing employee remains employed on the date such payment is to be made) in accordance with the terms of such applicable bonus plan or arrangement.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Additional Covenants and Agreements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also contains additional covenants between the Company, UHS and Merger Sub relating to, among other things, (i) public announcements with respect to the transactions contemplated by the merger agreement; (ii) access to information and confidentiality; (iii) coordination with respect to litigation relating to the merger; (iv) restrictions on the ability of Merger Sub to expend funds; (v) covenants relating to the de-listing of the shares of Company common stock from NASDAQ and deregistering such Company common stock under the Exchange Act; (vi) the filing of this proxy statement and (vii) restrictions on the Company’s ability to adjourn the special meeting and a prohibition on postponing the special meeting without UHS’s consent.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of the Merger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Mutual Closing Conditions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party’s obligations to effect the merger are subject to the satisfaction (or written waiver by each party to the merger agreement, if permissible under applicable law), at or prior to the closing date of the merger, of certain conditions,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restraints in the U.S. will be in effect enjoining, restraining or otherwise making illegal, preventing or prohibiting the consummation of the merger;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(and any extension thereof) applicable to the consummation of the merger under the HSR Act will have expired or been terminated;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will have been obtained;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periods (and any extension thereof) and any required approvals or authorizations applicable to the consummation of the merger under state healthcare laws set forth in the confidential disclosure schedules to the merger agreement delivered to UHS and Merger Sub will have expired or been terminated or been obtained,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of UHS and Merger Sub to Closing</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UHS and Merger Sub to effect the merger are subject to the satisfaction (or written waiver by UHS, if permissible under applicable law) on or prior to the closing date of the merger of certain additional conditions, including:</w:t>
      </w:r>
    </w:p>
    <w:p>
      <w:pPr>
        <w:spacing w:after="0" w:line="67" w:lineRule="exact"/>
        <w:rPr>
          <w:sz w:val="20"/>
          <w:szCs w:val="20"/>
          <w:color w:val="auto"/>
        </w:rPr>
      </w:pPr>
    </w:p>
    <w:p>
      <w:pPr>
        <w:ind w:left="1080" w:right="30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materiality qualifiers, the truthfulness and correctness of representations and warranties of the Company to the extent specified in the merger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complied with or performed in all material respects its obligations required to be complied with or performed by it at or prior to the effective time under the merger agreement;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Material Adverse Effect having occurred and being continuing.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of the Company to Closing</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are subject to the satisfaction (or written waiver by the Company, if permissible under applicable law) on or prior to the closing date of the merger of certain additional conditions, including:</w:t>
      </w:r>
    </w:p>
    <w:p>
      <w:pPr>
        <w:spacing w:after="0" w:line="67" w:lineRule="exact"/>
        <w:rPr>
          <w:sz w:val="20"/>
          <w:szCs w:val="20"/>
          <w:color w:val="auto"/>
        </w:rPr>
      </w:pPr>
    </w:p>
    <w:p>
      <w:pPr>
        <w:ind w:left="1080" w:right="20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materiality qualifiers, the truthfulness and correctness of representations and warranties of UHS and Merger Sub to the extent specified in the merger agreement;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UHS and Merger Sub having complied with or performed in all material respects their obligations required to be complied with or performed by them at or prior to the effective time under the merger agreement.</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consummation of the merger and the transactions is not conditioned upon UHS’s receipt of financing. Each party may waive any of the conditions to its obligations to consummate the merger except where waiver is not permitted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Frustration of Closing Conditions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Neither UHS nor Merger Sub may rely on the failure of any mutual closing conditions or conditions of UHS and Merger Sub to closing to be satisfied if such failure was caused by the failure of UHS or Merger Sub to perform any of its obligations under the merger agreement. The Company may not rely on the failure of any mutual closing conditions or conditions of the Company to closing to be satisfied if such failure was caused by the Company’s failure to perform any of its obligations under the merger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 of Conditions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conditions to the closing set forth in the merger agreement will be deemed to have been satisfied or waived from and after the closing.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transactions abandoned, at any time prior to the effective time (except as otherwise provided in the merger agreement) by the mutual written consent of the Company and UHS.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Either the Company or UHS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the Company, on the one hand, or UHS, on the other hand, may terminate the merger agreement and abandon the merger at any time prior to the effective time (except as otherwise provided in the merger agreement), if:</w:t>
      </w:r>
    </w:p>
    <w:p>
      <w:pPr>
        <w:spacing w:after="0" w:line="67" w:lineRule="exact"/>
        <w:rPr>
          <w:sz w:val="20"/>
          <w:szCs w:val="20"/>
          <w:color w:val="auto"/>
        </w:rPr>
      </w:pPr>
    </w:p>
    <w:p>
      <w:pPr>
        <w:ind w:left="1080" w:right="160" w:hanging="424"/>
        <w:spacing w:after="0" w:line="276" w:lineRule="auto"/>
        <w:tabs>
          <w:tab w:leader="none" w:pos="10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time has not occurred on or before December 9, 2026 (as automatically extended to March 9, 2027 if, on December 9, 2026, all of the conditions to the closing have been satisfied or (to the extent permitted by applicable law) waived other than those conditions</w:t>
      </w:r>
    </w:p>
    <w:p>
      <w:pPr>
        <w:ind w:left="108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related to the HSR Act or the absence of legal restraints related to the HSR Act or any state healthcare law and (ii) that by their nature are to be satisfied at the closing, which conditions are capable of being satisfied at the closing) (which date, we refer to as the “outside date”); provided that this right to terminate the merger agreement will not be available to any party if the failure to consummate the merger by the outside date was principally caused by or is the result of a material breach of the merger agreement by such party (treating UHS and Merger Sub as one party);</w:t>
      </w:r>
    </w:p>
    <w:p>
      <w:pPr>
        <w:spacing w:after="0" w:line="90" w:lineRule="exact"/>
        <w:rPr>
          <w:rFonts w:ascii="Times New Roman" w:cs="Times New Roman" w:eastAsia="Times New Roman" w:hAnsi="Times New Roman"/>
          <w:sz w:val="17"/>
          <w:szCs w:val="17"/>
          <w:color w:val="auto"/>
        </w:rPr>
      </w:pPr>
    </w:p>
    <w:p>
      <w:pPr>
        <w:ind w:left="1080" w:right="20" w:hanging="424"/>
        <w:spacing w:after="0" w:line="257"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restraint set forth under the first bullet point described in the section of this proxy statement entitled “</w:t>
      </w:r>
      <w:r>
        <w:rPr>
          <w:rFonts w:ascii="Times New Roman" w:cs="Times New Roman" w:eastAsia="Times New Roman" w:hAnsi="Times New Roman"/>
          <w:sz w:val="18"/>
          <w:szCs w:val="18"/>
          <w:i w:val="1"/>
          <w:iCs w:val="1"/>
          <w:color w:val="auto"/>
        </w:rPr>
        <w:t>—Conditions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Mutual Closing Conditions</w:t>
      </w:r>
      <w:r>
        <w:rPr>
          <w:rFonts w:ascii="Times New Roman" w:cs="Times New Roman" w:eastAsia="Times New Roman" w:hAnsi="Times New Roman"/>
          <w:sz w:val="18"/>
          <w:szCs w:val="18"/>
          <w:color w:val="auto"/>
        </w:rPr>
        <w:t>” has become final and non-appealable; provided that the party seeking to terminate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bullet point has used the required efforts to prevent the entry of and to remove such restraint in accordance with its obligations under the merger agreement, has not breached in any material respect its respective obligations under regulatory efforts covenant under the merger agreement and has not been the primary cause of such restraint due to a failure to perform any such obligations; or</w:t>
      </w:r>
    </w:p>
    <w:p>
      <w:pPr>
        <w:spacing w:after="0" w:line="89"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(including any adjournments or postponements thereof) was concluded and Company stockholder approval was not obtained.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UHS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UHS may also terminate the merger agreement and abandon the transactions by written notice to the Company at any time prior to the effective time (except as otherwise provided in the merger agreement):</w:t>
      </w:r>
    </w:p>
    <w:p>
      <w:pPr>
        <w:spacing w:after="0" w:line="67" w:lineRule="exact"/>
        <w:rPr>
          <w:sz w:val="20"/>
          <w:szCs w:val="20"/>
          <w:color w:val="auto"/>
        </w:rPr>
      </w:pPr>
    </w:p>
    <w:p>
      <w:pPr>
        <w:ind w:left="1080" w:hanging="424"/>
        <w:spacing w:after="0" w:line="254"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breached any of its representations or warranties or failed to perform any of its covenants or agreements set forth in the merger agreement, which breach or failure to perform (i) would give rise to the failure of a condition set forth under the first and second bullet points described in the section of this proxy statement entitled “</w:t>
      </w:r>
      <w:r>
        <w:rPr>
          <w:rFonts w:ascii="Times New Roman" w:cs="Times New Roman" w:eastAsia="Times New Roman" w:hAnsi="Times New Roman"/>
          <w:sz w:val="18"/>
          <w:szCs w:val="18"/>
          <w:i w:val="1"/>
          <w:iCs w:val="1"/>
          <w:color w:val="auto"/>
        </w:rPr>
        <w:t>—Conditions of the Merger—Conditions of UHS and Merger Sub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and (ii) is incapable of being cured or, if capable of being cured by the outside date, has not been cured by the Company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earlier of the outside date or the thirtieth calendar day following receipt by the Company of written notice of such breach or failure to perform from UHS describing such breach or failure to perform and stating UHS’s intention to terminate the merger agreement pursuant to this bullet point; provided that UHS will not have the right to terminate the merger agreement pursuant to this bullet point if UHS or Merger Sub is then in material breach of any of its representations, warranties, covenants or agreements under the merger agreement (which breach has not been cured); or</w:t>
      </w:r>
    </w:p>
    <w:p>
      <w:pPr>
        <w:spacing w:after="0" w:line="93"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special meeting (including any adjournments or postponements thereof), if the Board has made or effected an adverse recommendation 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may also terminate the merger agreement and abandon the transactions by written notice to UHS at any time prior to the effective time (except as otherwise provided in the merger agreement):</w:t>
      </w:r>
    </w:p>
    <w:p>
      <w:pPr>
        <w:spacing w:after="0" w:line="67" w:lineRule="exact"/>
        <w:rPr>
          <w:sz w:val="20"/>
          <w:szCs w:val="20"/>
          <w:color w:val="auto"/>
        </w:rPr>
      </w:pPr>
    </w:p>
    <w:p>
      <w:pPr>
        <w:ind w:left="1080" w:right="82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UHS or Merger Sub has breached any of its representations or warranties or failed to perform any of its covenants or agreements set forth in the merger agreement, which breach or failure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73" w:lineRule="auto"/>
        <w:rPr>
          <w:sz w:val="20"/>
          <w:szCs w:val="20"/>
          <w:color w:val="auto"/>
        </w:rPr>
      </w:pPr>
      <w:r>
        <w:rPr>
          <w:rFonts w:ascii="Times New Roman" w:cs="Times New Roman" w:eastAsia="Times New Roman" w:hAnsi="Times New Roman"/>
          <w:sz w:val="17"/>
          <w:szCs w:val="17"/>
          <w:color w:val="auto"/>
        </w:rPr>
        <w:t>to perform (i) would give rise to the failure of a condition set forth under the first and second bullet points described in the section of this proxy statement entitled “</w:t>
      </w:r>
      <w:r>
        <w:rPr>
          <w:rFonts w:ascii="Times New Roman" w:cs="Times New Roman" w:eastAsia="Times New Roman" w:hAnsi="Times New Roman"/>
          <w:sz w:val="17"/>
          <w:szCs w:val="17"/>
          <w:i w:val="1"/>
          <w:iCs w:val="1"/>
          <w:color w:val="auto"/>
        </w:rPr>
        <w:t>—Conditions of the Merger—Conditions of the Company to Closing</w:t>
      </w:r>
      <w:r>
        <w:rPr>
          <w:rFonts w:ascii="Times New Roman" w:cs="Times New Roman" w:eastAsia="Times New Roman" w:hAnsi="Times New Roman"/>
          <w:sz w:val="17"/>
          <w:szCs w:val="17"/>
          <w:color w:val="auto"/>
        </w:rPr>
        <w:t>” and (ii) is incapable of being cured or, if capable of being cured by the outside date, has not been cured by UHS prior to the earlier of the outside date or the thirtieth calendar day following receipt by UHS of written notice of such breach or failure to perform from the Company describing such breach or failure to perform and stating the Company’s intention to terminate the merger agreement pursuant to this bullet point; provided that the Company will not have the right to terminate the merger agreement pursuant to this bullet point if the Company is then in material breach of any of its representations, warranties, covenants or agreements under the merger agreement, which breach has not been cured; or</w:t>
      </w:r>
    </w:p>
    <w:p>
      <w:pPr>
        <w:spacing w:after="0" w:line="77" w:lineRule="exact"/>
        <w:rPr>
          <w:sz w:val="20"/>
          <w:szCs w:val="20"/>
          <w:color w:val="auto"/>
        </w:rPr>
      </w:pPr>
    </w:p>
    <w:p>
      <w:pPr>
        <w:ind w:left="1080" w:right="200" w:hanging="424"/>
        <w:spacing w:after="0" w:line="258"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Company stockholder approval, in connection with entering into a Company acquisition agreement providing for a superior proposal in accordance with the terms of the merger agreement, including the non-solicitation restrictions of the merger agreement, which Company acquisition agreement is entered into immediately following such termination; provided that prior to or concurrently with such termination the Company pays or causes to be paid the termination fee of $32,394,000 to the extent due and payable under the merger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Termination Fee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will be required to pay to UHS a termination fee of $32,394,000 if:</w:t>
      </w:r>
    </w:p>
    <w:p>
      <w:pPr>
        <w:spacing w:after="0" w:line="131" w:lineRule="exact"/>
        <w:rPr>
          <w:sz w:val="20"/>
          <w:szCs w:val="20"/>
          <w:color w:val="auto"/>
        </w:rPr>
      </w:pPr>
    </w:p>
    <w:p>
      <w:pPr>
        <w:ind w:left="1080" w:hanging="424"/>
        <w:spacing w:after="0" w:line="25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or UHS pursuant to the provisions described in the first or third bullet point described above in the section of this proxy statement entitled “</w:t>
      </w:r>
      <w:r>
        <w:rPr>
          <w:rFonts w:ascii="Times New Roman" w:cs="Times New Roman" w:eastAsia="Times New Roman" w:hAnsi="Times New Roman"/>
          <w:sz w:val="18"/>
          <w:szCs w:val="18"/>
          <w:i w:val="1"/>
          <w:iCs w:val="1"/>
          <w:color w:val="auto"/>
        </w:rPr>
        <w:t>—Termination of the Merger Agreement—Termination by Either the Company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UHS</w:t>
      </w:r>
      <w:r>
        <w:rPr>
          <w:rFonts w:ascii="Times New Roman" w:cs="Times New Roman" w:eastAsia="Times New Roman" w:hAnsi="Times New Roman"/>
          <w:sz w:val="18"/>
          <w:szCs w:val="18"/>
          <w:color w:val="auto"/>
        </w:rPr>
        <w:t>” or the merger agreement is terminated by UHS pursuant to the provision described in the first bullet point described above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of this proxy statement entitled “—</w:t>
      </w:r>
      <w:r>
        <w:rPr>
          <w:rFonts w:ascii="Times New Roman" w:cs="Times New Roman" w:eastAsia="Times New Roman" w:hAnsi="Times New Roman"/>
          <w:sz w:val="18"/>
          <w:szCs w:val="18"/>
          <w:i w:val="1"/>
          <w:iCs w:val="1"/>
          <w:color w:val="auto"/>
        </w:rPr>
        <w:t>Termination of the Merger Agreement—Termination by UHS</w:t>
      </w:r>
      <w:r>
        <w:rPr>
          <w:rFonts w:ascii="Times New Roman" w:cs="Times New Roman" w:eastAsia="Times New Roman" w:hAnsi="Times New Roman"/>
          <w:sz w:val="18"/>
          <w:szCs w:val="18"/>
          <w:color w:val="auto"/>
        </w:rPr>
        <w:t>”; provided that (i) a bona fide takeover proposal has been publicly made, proposed or communicated by a third-party (or such takeover proposal has otherwise been made known to the Board and has become publicly known) (x) in the case of a termination pursuant to the provisions described in the first or third bullet point described above in the section of this proxy statement entitled “—</w:t>
      </w:r>
      <w:r>
        <w:rPr>
          <w:rFonts w:ascii="Times New Roman" w:cs="Times New Roman" w:eastAsia="Times New Roman" w:hAnsi="Times New Roman"/>
          <w:sz w:val="18"/>
          <w:szCs w:val="18"/>
          <w:i w:val="1"/>
          <w:iCs w:val="1"/>
          <w:color w:val="auto"/>
        </w:rPr>
        <w:t>Termination of the Merger Agreement—Termination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Either the Company or UHS</w:t>
      </w:r>
      <w:r>
        <w:rPr>
          <w:rFonts w:ascii="Times New Roman" w:cs="Times New Roman" w:eastAsia="Times New Roman" w:hAnsi="Times New Roman"/>
          <w:sz w:val="18"/>
          <w:szCs w:val="18"/>
          <w:color w:val="auto"/>
        </w:rPr>
        <w:t>”, after the date of the merger agreement, or (y) in the case of a termination pursuant to the provision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bullet point described above in the section of this proxy statement entitled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by UHS</w:t>
      </w:r>
      <w:r>
        <w:rPr>
          <w:rFonts w:ascii="Times New Roman" w:cs="Times New Roman" w:eastAsia="Times New Roman" w:hAnsi="Times New Roman"/>
          <w:sz w:val="18"/>
          <w:szCs w:val="18"/>
          <w:color w:val="auto"/>
        </w:rPr>
        <w:t>”, prior to the date of the applicable breach and, in the case of a termination pursuant to provision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bullet point described above in the section of this proxy statement entitled “—</w:t>
      </w:r>
      <w:r>
        <w:rPr>
          <w:rFonts w:ascii="Times New Roman" w:cs="Times New Roman" w:eastAsia="Times New Roman" w:hAnsi="Times New Roman"/>
          <w:sz w:val="18"/>
          <w:szCs w:val="18"/>
          <w:i w:val="1"/>
          <w:iCs w:val="1"/>
          <w:color w:val="auto"/>
        </w:rPr>
        <w:t>Termination of the Merger Agreement—Termination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Either the Company or UHS</w:t>
      </w:r>
      <w:r>
        <w:rPr>
          <w:rFonts w:ascii="Times New Roman" w:cs="Times New Roman" w:eastAsia="Times New Roman" w:hAnsi="Times New Roman"/>
          <w:sz w:val="18"/>
          <w:szCs w:val="18"/>
          <w:color w:val="auto"/>
        </w:rPr>
        <w:t>”, such takeover proposal has not been publicly withdrawn prior to the time the merger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and (ii) within 12 months of the date the merger agreement is terminated, the Company consummates a takeover proposal (or enters into a definitive written agreement with respect to any transaction included within the definition of takeover proposal and such transaction is subsequently consummated at any time with the person or persons that made the takeover proposal referred to in clause (i); provided that, for purposes of clause (ii) of this bullet point, the references to “25%” in the definition of takeover proposal are deemed to be references to “50%”; or</w:t>
      </w:r>
    </w:p>
    <w:p>
      <w:pPr>
        <w:spacing w:after="0" w:line="98"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(i) by UHS pursuant to the provision described in the second bullet point described above in the section of this proxy statement entitled “—</w:t>
      </w:r>
      <w:r>
        <w:rPr>
          <w:rFonts w:ascii="Times New Roman" w:cs="Times New Roman" w:eastAsia="Times New Roman" w:hAnsi="Times New Roman"/>
          <w:sz w:val="18"/>
          <w:szCs w:val="18"/>
          <w:i w:val="1"/>
          <w:iCs w:val="1"/>
          <w:color w:val="auto"/>
        </w:rPr>
        <w:t>Termination of the Merger Agreement—Termination by UHS</w:t>
      </w:r>
      <w:r>
        <w:rPr>
          <w:rFonts w:ascii="Times New Roman" w:cs="Times New Roman" w:eastAsia="Times New Roman" w:hAnsi="Times New Roman"/>
          <w:sz w:val="18"/>
          <w:szCs w:val="18"/>
          <w:color w:val="auto"/>
        </w:rPr>
        <w:t>” or (ii) by the Company pursuant to the provision described in the second bullet point described above in the section of this proxy statement entitled “—</w:t>
      </w:r>
      <w:r>
        <w:rPr>
          <w:rFonts w:ascii="Times New Roman" w:cs="Times New Roman" w:eastAsia="Times New Roman" w:hAnsi="Times New Roman"/>
          <w:sz w:val="18"/>
          <w:szCs w:val="18"/>
          <w:i w:val="1"/>
          <w:iCs w:val="1"/>
          <w:color w:val="auto"/>
        </w:rPr>
        <w:t>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 by the Company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in all respects to UHS’s injunction, specific performance and equitable relief rights and related rights set forth in the provisions described below in the section of this proxy statement entitled “</w:t>
      </w:r>
      <w:r>
        <w:rPr>
          <w:rFonts w:ascii="Times New Roman" w:cs="Times New Roman" w:eastAsia="Times New Roman" w:hAnsi="Times New Roman"/>
          <w:sz w:val="18"/>
          <w:szCs w:val="18"/>
          <w:i w:val="1"/>
          <w:iCs w:val="1"/>
          <w:color w:val="auto"/>
        </w:rPr>
        <w:t>—Specific Enforcement</w:t>
      </w:r>
      <w:r>
        <w:rPr>
          <w:rFonts w:ascii="Times New Roman" w:cs="Times New Roman" w:eastAsia="Times New Roman" w:hAnsi="Times New Roman"/>
          <w:sz w:val="18"/>
          <w:szCs w:val="18"/>
          <w:color w:val="auto"/>
        </w:rPr>
        <w:t>” and certain reimbursement obligations of the Company, if the termination fee is paid to UHS in circumstances for which such fee is payable pursuant to the provisions described above in the section entitled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payment of the Company termination fee will constitute the sole and exclusive monetary damages remedy of UHS, Merger Sub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their respective former, current or future officers, directors, partners, stockholders, financing sources, managers, members or affiliates (which we refer to, collectively, as the “UHS related parties”) against the Company and its subsidiaries and any of their respective former, current or future officers, directors, partners, stockholders, managers, members or affiliates (which we refer to, collectively, as the “Company related parties”) for any loss suffered as a result of the failure of the transactions contemplated by the merger agreement to be consummated or for a breach or failure to perform under the merger agreement or otherwise, and upon payment of such amount none of the Company related parties have any further liability or obligation relating to or arising out of the merger agreement or the transactions contemplated by the merger agreement; provided that no such payment of the Company termination fee will relieve the Company related parties from any liability for damages resulting from a willful breach of the merger agreement or from fraud by such Company related party.</w:t>
      </w:r>
    </w:p>
    <w:p>
      <w:pPr>
        <w:spacing w:after="0" w:line="190"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While UHS may pursue both a grant of specific performance in accordance with the provisions described below in the section of this proxy statement entitled “</w:t>
      </w:r>
      <w:r>
        <w:rPr>
          <w:rFonts w:ascii="Times New Roman" w:cs="Times New Roman" w:eastAsia="Times New Roman" w:hAnsi="Times New Roman"/>
          <w:sz w:val="18"/>
          <w:szCs w:val="18"/>
          <w:i w:val="1"/>
          <w:iCs w:val="1"/>
          <w:color w:val="auto"/>
        </w:rPr>
        <w:t>—Specific Enforcement</w:t>
      </w:r>
      <w:r>
        <w:rPr>
          <w:rFonts w:ascii="Times New Roman" w:cs="Times New Roman" w:eastAsia="Times New Roman" w:hAnsi="Times New Roman"/>
          <w:sz w:val="18"/>
          <w:szCs w:val="18"/>
          <w:color w:val="auto"/>
        </w:rPr>
        <w:t>” and the payment of the applicable Company termination fee under the provision described above in the section entitled “—</w:t>
      </w: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 under no circumstances will UHS be permitted or entitled to receive both a grant of specific performance that results in the closing of the merger and any money damages, including all or any portion of the Company termination fee.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Whether or not the transactions contemplated by the merger agreement are consummated, all fees and expenses incurred in connection with the merger agreement and the transactions contemplated by the merger agreement will be paid by the party incurring or required to incur such fees or expenses, except as otherwise expressly set forth in the merger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of UHS, Merger Sub, the Company, the surviving corporation, the paying agent and their respective affiliates are entitled to deduct and withhold (or cause to be deducted and withheld) from any amounts otherwise payable pursuant to the merger agreement such amounts as are required to be deducted or withheld under applicable tax law. Except with respect to compensatory amounts, if any of UHS, Merger Sub, the Company, the surviving corporation, the paying agent or their respective affiliates determines that it is required to deduct and withhold any amount payable pursuant to the merger agreement, then it will use reasonable best efforts to provide notice to the person in respect of which such deduction or withholding is to be made and cooperate with such person in good faith to minimize the amount of deduction and withholding. To the extent that amounts are so deducted or withheld and paid over to the relevant governmental authority, such amounts will be treated for all purposes of the merger agreement as having been paid to the person in respect of which such deduction or withholding was made. Any compensatory amounts subject to payroll reporting and withholding that are payable pursuant to or as contemplated by the merger agreement shall be payable in accordance with the applicable payroll procedures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or Supplement</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Subject to compliance with applicable law, at any time prior to the effective time, the merger agreement may be amended or supplemented in any and all respects by written agreement of UHS and the Company; provided that following receipt of the Company stockholder approval, there will be no amendment or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provisions of the merger agreement which by law would require further approval by the Company stockholders without such approval.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 of Time, Waiver, etc.</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UHS and the Company may, subject to applicable law, (i) waive any inaccuracies in the representations and warranties of the other party contained in the merger agreement or in any document delivered pursuant to the merger agreement, (ii) extend the time for the performance of any of the obligations or acts of the other party or (iii) waive compliance by the other party with any of the agreements contained in the merger agreement applicable to such party or, except as otherwise provided in the merger agreement, waive any of such party’s conditions (it being understood that UHS and Merger Sub will be deemed a single party for purposes of the foregoing clauses (i) through (iii)); provided that, following receipt of the Company stockholder approval, there will be no waiver or extension of the merger agreement which by law would require further approval by the Company stockholders without such approval.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 Jurisdiction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is governed by, and will be construed in accordance with, the laws of the State of Delaware applicable to contracts executed in and to be performed entirely within that state, regardless of the laws that might otherwise govern under any applicable conflict of laws principles. Any legal, civil, criminal or administrative proceeding, suit, investigation, audit, claim, hearing, arbitration or other action by or before any governmental authority arising out of or relating to the merger agreement or the transactions will be heard and determined in the Delaware Court (or, if the Delaware Court declines to accept jurisdiction over any action, any state or federal court within the State of Delaware).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Enforcement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agreed that irreparable damage for which monetary relief (including the termination fee described above in the section of this proxy statement entitled “—</w:t>
      </w: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 even if available, would not be an adequate remedy, would occur in the event that any provision of the merger agreement is not performed in accordance with its specific terms or is otherwise breached, including if the parties fail to take any action required of them to consummate the merger agreement and the transactions contemplated by the merger agreement.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limitations, the parties to the merger agreement acknowledged and agreed that the parties are entitled to an injunction or injunctions, specific performance or other equitable relief to prevent breaches of the merger agreement and to enforce specifically the terms and provisions of the merger agreement; that the termination fee described above in the section entitled “—</w:t>
      </w: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 (i) is not intended to and does not adequately compensate for the harm that would result from a breach of the merger agreement and (ii) will not be construed to diminish or otherwise impair in any respect any party’s right to specific enforcement; and that the right of specific enforcement is an integral part of the transactions, and without that right, neither the Company nor UHS would have entered into the merger agreement. The parties agreed not to assert that a remedy of specific enforcement is unenforceable, invalid or contrary to law for any reason, and not to assert that a remedy of monetary damages would provide an adequate remedy or that the parties otherwise have an adequate remedy at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UHS Undertaking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UHS has guaranteed the due, prompt and faithful performance and discharge by, and compliance with, all of the obligations, covenants, terms, conditions and undertakings of Merger Sub under the merger agreement in accordance with the terms thereof, including any such obligations, covenants, terms, conditions and undertakings that are required to be performed, discharged or complied with following the effective time by the surviving corporation.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summarizes the material provisions of the voting agreements. This summary does not purport to be complete, may not contain all information about the voting agreements that is or may be important to you and is qualified in its entirety by reference to the full voting agreements, copies of which are attached to this proxy statement as Annex B and Annex C which we incorporate by reference into this proxy statement. We strongly recommend that you read the voting agreements and documents related thereto carefully and in their entirety, as the rights and obligations of the parties are governed by the express terms of the voting agreements and such other related documents and not by this summary or any other information contained in this proxy statement.</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voting agreements are included with this proxy statement only to provide you with information regarding the terms of the voting agreements and not to provide you with any other factual information regarding the Company, UHS, Merger Sub or their respective subsidiaries, affiliates or businesses.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As a condition to UHS entering into the merger agreement, the voting agreement stockholders executed and delivered to UHS the voting agreements, each dated March 9, 2026. At the close of business on April 13, 2026, the record date of the special meeting, (i) Mr. Braunstein’s subject shares consisted of 15,650,295 shares of Company common stock, which represented approximately 9.34% of the total outstanding voting power of the Company common stock as of the record date and (ii) Mr. Shachar’s subject shares consisted of 8,924,653 shares of Company common stock, which represented approximately 5.33% of the total outstanding voting power of the Company common stock as of the record date. In connection with the execution and delivery of the voting agreements, UHS and its affiliates did not pay the voting agreement stockholders any consideration in addition to the consideration they may receive pursuant to the merger agreement in respect of their Company common stock or, as applicable, any Company warrants or any Company equity awards. The voting agreements are attached to this proxy statement as Annex B and Annex C.</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their respective voting agreements, the voting agreement stockholders agreed, among other things, to:</w:t>
      </w:r>
    </w:p>
    <w:p>
      <w:pPr>
        <w:spacing w:after="0" w:line="131" w:lineRule="exact"/>
        <w:rPr>
          <w:sz w:val="20"/>
          <w:szCs w:val="20"/>
          <w:color w:val="auto"/>
        </w:rPr>
      </w:pPr>
    </w:p>
    <w:p>
      <w:pPr>
        <w:ind w:left="1080" w:right="40" w:hanging="424"/>
        <w:spacing w:after="0" w:line="253"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when a meeting of the Company stockholders is held, appear at such meeting or otherwise cause Mr. Braunstein’s subject shares or Mr. Shachar’s subject shares, as applicable, to be counted as present at such meeting for the purpose of establishing a quorum and, if applicable, vote in favor of any proposal to adjourn, recess or postpone any meeting of the Company stockholders at which the merger agreement or any other actions contemplated by the merger agreement is submitted for the consideration and vote of the Company stockholders at a later date if there are not proxies representing a sufficient number of shares of Company common stock to approve such matters on the date on which the meeting is held; and (ii) vote or cause to be voted at any such meeting (and at every postponement, recess or adjournment thereof), or execute and deliver or cause to be executed and delivered a written consent with respect to, all of</w:t>
      </w:r>
    </w:p>
    <w:p>
      <w:pPr>
        <w:spacing w:after="0" w:line="2" w:lineRule="exact"/>
        <w:rPr>
          <w:rFonts w:ascii="Times New Roman" w:cs="Times New Roman" w:eastAsia="Times New Roman" w:hAnsi="Times New Roman"/>
          <w:sz w:val="18"/>
          <w:szCs w:val="18"/>
          <w:color w:val="auto"/>
        </w:rPr>
      </w:pPr>
    </w:p>
    <w:p>
      <w:pPr>
        <w:ind w:left="10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Braunstein’s subject shares and Mr. Shachar’s subject shares, as applicable, (A) in favor of adopting the merger agreement and any other actions contemplated by the merger agreement in respect of which the approval of the Company stockholders is requested; (B) in favor of adoption of any proposal in respect of which the Board has (1) determined is reasonably necessary to facilitate any of the transactions contemplated by the merger agreement, (2) disclosed the determination described in the foregoing clause (1) in the proxy statement or other written materials disseminated to the Company stockholders and (3) recommended to be adopted or approved by the Company stockholders; (C) in favor of any proposal (to the extent permitted by the merger agreement) to adjourn, recess or postpone the applicable meeting; and (D) against (1) any alternative takeover proposal from a third party, whether or not constituting a superior proposal and (2)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66"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 enter into any agreement or undertaking or (ii) take any action or commit or agree to take any action, that would reasonably be expected to materially prevent, impair or interfere with the voting agreement stockholders’ abilities to perform any of their obligations pursuant to their respective voting agreements;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3"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directly or indirectly, subject to certain exceptions, (i) transfer, pledge, assign, exchange, lend, encumber or otherwise dispose of, whether voluntarily, involuntarily, by operation of law or otherwise (collectively, “transfer”) or enter into any contract, option or other arrangement or understanding with respect to the transfer of, any of Mr. Braunstein’s subject shares or Mr. Shachar’s subject shares, as applicable, to any person, (ii) tender into any tender or exchange offer any subject shares, whether voluntarily, involuntarily, by operation or otherwise or (iii) enter into any voting agreement, whether by proxy, voting agreement or otherwise, or grant a proxy or power of attorney or any other contract, option or other arrangement or understanding with respect to the tendering, voting of or sale, transfer, assignment, pledge, encumbrance, hypothecation or similar disposition (including by merger, by tendering into any tender or exchange offer, by testamentary disposition, by operation of law or otherwise) with respect to any of Mr. Braunstein’s subject shares or</w:t>
      </w: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Shachar’s subject shares, as applicable, or deposit any of Mr. Braunstein’s subject shares or Mr. Shachar’s subject shares, as applicable, into a voting trust.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voting agreements will terminate automatically, without any notice or other action by any person, upon the earliest of:</w:t>
      </w:r>
    </w:p>
    <w:p>
      <w:pPr>
        <w:spacing w:after="0" w:line="131" w:lineRule="exact"/>
        <w:rPr>
          <w:sz w:val="20"/>
          <w:szCs w:val="20"/>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merger agreement in accordance with its terms;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without the prior written consent of the voting agreement stockholders, into any material modification or amendment to the merger agreement that reduces the amount, changes the form or otherwise adversely affects the consideration payable to any of the voting agreement stockholders pursuant to the merger agreement as in effect on March 9, 2026;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mutual written agreement of all of the parties to the voting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MANAGEMENT AND DIRECTORS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Company common stock as of April 13, 2026, by:</w:t>
      </w:r>
    </w:p>
    <w:p>
      <w:pPr>
        <w:spacing w:after="0" w:line="131" w:lineRule="exact"/>
        <w:rPr>
          <w:sz w:val="20"/>
          <w:szCs w:val="20"/>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named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stockholders known to us to be beneficial owners of 5% or more of Company common stock (based on a review of filings made with the SEC on Schedules 13D, 13G and Form 4).</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April 13, 2026, there were approximately 167,512,566 shares of Company common stock issued and outstanding. Except as otherwise set forth below, the address of each beneficial owner is: c/o Talkspace, Inc., 622 Third Avenue, New York, NY 10017.</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includes any shares as to which the stockholder has sole or shared voting power or investment power, and also any shares that the stockholder has the right to acquire within 60 days of April 13, 2026, whether through the vesting of Company RSUs or the exercise or conversion of any Company option, Company warrant, convertible security or other right. The indication herein that shares are beneficially owned is not an admission on the part of the stockholder that he, she or it is a direct or indirect beneficial owner of those shares.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9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8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tcBorders>
              <w:top w:val="single" w:sz="8" w:color="auto"/>
            </w:tcBorders>
            <w:gridSpan w:val="2"/>
          </w:tcPr>
          <w:p>
            <w:pPr>
              <w:jc w:val="right"/>
              <w:ind w:right="860"/>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7"/>
              </w:rPr>
              <w:t>Percent of Total</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60" w:type="dxa"/>
            <w:vAlign w:val="bottom"/>
            <w:gridSpan w:val="2"/>
            <w:vMerge w:val="continue"/>
          </w:tcPr>
          <w:p>
            <w:pPr>
              <w:spacing w:after="0"/>
              <w:rPr>
                <w:sz w:val="17"/>
                <w:szCs w:val="17"/>
                <w:color w:val="auto"/>
              </w:rPr>
            </w:pPr>
          </w:p>
        </w:tc>
        <w:tc>
          <w:tcPr>
            <w:tcW w:w="1660" w:type="dxa"/>
            <w:vAlign w:val="bottom"/>
            <w:gridSpan w:val="2"/>
          </w:tcPr>
          <w:p>
            <w:pPr>
              <w:jc w:val="right"/>
              <w:ind w:right="820"/>
              <w:spacing w:after="0" w:line="205" w:lineRule="exact"/>
              <w:rPr>
                <w:sz w:val="20"/>
                <w:szCs w:val="20"/>
                <w:color w:val="auto"/>
              </w:rPr>
            </w:pPr>
            <w:r>
              <w:rPr>
                <w:rFonts w:ascii="Times New Roman" w:cs="Times New Roman" w:eastAsia="Times New Roman" w:hAnsi="Times New Roman"/>
                <w:sz w:val="16"/>
                <w:szCs w:val="16"/>
                <w:b w:val="1"/>
                <w:bCs w:val="1"/>
                <w:color w:val="auto"/>
                <w:w w:val="94"/>
              </w:rPr>
              <w:t>Shares</w:t>
            </w:r>
            <w:r>
              <w:rPr>
                <w:rFonts w:ascii="Times New Roman" w:cs="Times New Roman" w:eastAsia="Times New Roman" w:hAnsi="Times New Roman"/>
                <w:sz w:val="23"/>
                <w:szCs w:val="23"/>
                <w:b w:val="1"/>
                <w:bCs w:val="1"/>
                <w:color w:val="auto"/>
                <w:w w:val="94"/>
                <w:vertAlign w:val="superscript"/>
              </w:rPr>
              <w:t>(1)</w:t>
            </w:r>
            <w:r>
              <w:rPr>
                <w:rFonts w:ascii="Times New Roman" w:cs="Times New Roman" w:eastAsia="Times New Roman" w:hAnsi="Times New Roman"/>
                <w:sz w:val="16"/>
                <w:szCs w:val="16"/>
                <w:b w:val="1"/>
                <w:bCs w:val="1"/>
                <w:color w:val="auto"/>
                <w:w w:val="94"/>
              </w:rPr>
              <w:t xml:space="preserve"> (#)</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Beneficial Stockholders</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HEC Master Fund LP</w:t>
            </w:r>
            <w:r>
              <w:rPr>
                <w:rFonts w:ascii="Times New Roman" w:cs="Times New Roman" w:eastAsia="Times New Roman" w:hAnsi="Times New Roman"/>
                <w:sz w:val="25"/>
                <w:szCs w:val="25"/>
                <w:color w:val="auto"/>
                <w:vertAlign w:val="superscript"/>
              </w:rPr>
              <w:t>(2)</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18,980,600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Norwest Venture Partners XIII, LP</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9,802,972</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(4)</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8,966,867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Qumra Capital II, L.P.</w:t>
            </w:r>
            <w:r>
              <w:rPr>
                <w:rFonts w:ascii="Times New Roman" w:cs="Times New Roman" w:eastAsia="Times New Roman" w:hAnsi="Times New Roman"/>
                <w:sz w:val="25"/>
                <w:szCs w:val="25"/>
                <w:color w:val="auto"/>
                <w:vertAlign w:val="superscript"/>
              </w:rPr>
              <w:t>(5)</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8,573,437</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 Cohen</w:t>
            </w:r>
            <w:r>
              <w:rPr>
                <w:rFonts w:ascii="Times New Roman" w:cs="Times New Roman" w:eastAsia="Times New Roman" w:hAnsi="Times New Roman"/>
                <w:sz w:val="25"/>
                <w:szCs w:val="25"/>
                <w:color w:val="auto"/>
                <w:vertAlign w:val="superscript"/>
              </w:rPr>
              <w:t>(6)</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2,842,871</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Ian Harris</w:t>
            </w:r>
            <w:r>
              <w:rPr>
                <w:rFonts w:ascii="Times New Roman" w:cs="Times New Roman" w:eastAsia="Times New Roman" w:hAnsi="Times New Roman"/>
                <w:sz w:val="25"/>
                <w:szCs w:val="25"/>
                <w:color w:val="auto"/>
                <w:vertAlign w:val="superscript"/>
              </w:rPr>
              <w:t>(7)</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405,139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Gil Margolin</w:t>
            </w:r>
            <w:r>
              <w:rPr>
                <w:rFonts w:ascii="Times New Roman" w:cs="Times New Roman" w:eastAsia="Times New Roman" w:hAnsi="Times New Roman"/>
                <w:sz w:val="25"/>
                <w:szCs w:val="25"/>
                <w:color w:val="auto"/>
                <w:vertAlign w:val="superscript"/>
              </w:rPr>
              <w:t>(8)</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649,005</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Reilly</w:t>
            </w:r>
            <w:r>
              <w:rPr>
                <w:rFonts w:ascii="Times New Roman" w:cs="Times New Roman" w:eastAsia="Times New Roman" w:hAnsi="Times New Roman"/>
                <w:sz w:val="25"/>
                <w:szCs w:val="25"/>
                <w:color w:val="auto"/>
                <w:vertAlign w:val="superscript"/>
              </w:rPr>
              <w:t>(9)</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1,233,068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Katelyn Watson</w:t>
            </w:r>
            <w:r>
              <w:rPr>
                <w:rFonts w:ascii="Times New Roman" w:cs="Times New Roman" w:eastAsia="Times New Roman" w:hAnsi="Times New Roman"/>
                <w:sz w:val="25"/>
                <w:szCs w:val="25"/>
                <w:color w:val="auto"/>
                <w:vertAlign w:val="superscript"/>
              </w:rPr>
              <w:t>(10)</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207,199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Douglas L. Braunstein</w:t>
            </w:r>
            <w:r>
              <w:rPr>
                <w:rFonts w:ascii="Times New Roman" w:cs="Times New Roman" w:eastAsia="Times New Roman" w:hAnsi="Times New Roman"/>
                <w:sz w:val="25"/>
                <w:szCs w:val="25"/>
                <w:color w:val="auto"/>
                <w:vertAlign w:val="superscript"/>
              </w:rPr>
              <w:t>(11)</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26,263,697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Erez Shachar</w:t>
            </w:r>
            <w:r>
              <w:rPr>
                <w:rFonts w:ascii="Times New Roman" w:cs="Times New Roman" w:eastAsia="Times New Roman" w:hAnsi="Times New Roman"/>
                <w:sz w:val="25"/>
                <w:szCs w:val="25"/>
                <w:color w:val="auto"/>
                <w:vertAlign w:val="superscript"/>
              </w:rPr>
              <w:t>(12)</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8,989,857</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Curtis Warfield</w:t>
            </w:r>
            <w:r>
              <w:rPr>
                <w:rFonts w:ascii="Times New Roman" w:cs="Times New Roman" w:eastAsia="Times New Roman" w:hAnsi="Times New Roman"/>
                <w:sz w:val="25"/>
                <w:szCs w:val="25"/>
                <w:color w:val="auto"/>
                <w:vertAlign w:val="superscript"/>
              </w:rPr>
              <w:t>(13)</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266,562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Jacqueline Yeaney</w:t>
            </w:r>
            <w:r>
              <w:rPr>
                <w:rFonts w:ascii="Times New Roman" w:cs="Times New Roman" w:eastAsia="Times New Roman" w:hAnsi="Times New Roman"/>
                <w:sz w:val="25"/>
                <w:szCs w:val="25"/>
                <w:color w:val="auto"/>
                <w:vertAlign w:val="superscript"/>
              </w:rPr>
              <w:t>(14)</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372,012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Madhu Pawar</w:t>
            </w:r>
            <w:r>
              <w:rPr>
                <w:rFonts w:ascii="Times New Roman" w:cs="Times New Roman" w:eastAsia="Times New Roman" w:hAnsi="Times New Roman"/>
                <w:sz w:val="25"/>
                <w:szCs w:val="25"/>
                <w:color w:val="auto"/>
                <w:vertAlign w:val="superscript"/>
              </w:rPr>
              <w:t>(15)</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403,214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Hansen</w:t>
            </w:r>
            <w:r>
              <w:rPr>
                <w:rFonts w:ascii="Times New Roman" w:cs="Times New Roman" w:eastAsia="Times New Roman" w:hAnsi="Times New Roman"/>
                <w:sz w:val="25"/>
                <w:szCs w:val="25"/>
                <w:color w:val="auto"/>
                <w:vertAlign w:val="superscript"/>
              </w:rPr>
              <w:t>(16)</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404,170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Swati Abbott</w:t>
            </w:r>
            <w:r>
              <w:rPr>
                <w:rFonts w:ascii="Times New Roman" w:cs="Times New Roman" w:eastAsia="Times New Roman" w:hAnsi="Times New Roman"/>
                <w:sz w:val="25"/>
                <w:szCs w:val="25"/>
                <w:color w:val="auto"/>
                <w:vertAlign w:val="superscript"/>
              </w:rPr>
              <w:t>(17)</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121,858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Liat Ben-Zur</w:t>
            </w:r>
            <w:r>
              <w:rPr>
                <w:rFonts w:ascii="Times New Roman" w:cs="Times New Roman" w:eastAsia="Times New Roman" w:hAnsi="Times New Roman"/>
                <w:sz w:val="25"/>
                <w:szCs w:val="25"/>
                <w:color w:val="auto"/>
                <w:vertAlign w:val="superscript"/>
              </w:rPr>
              <w:t>(18)</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106,438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r>
              <w:rPr>
                <w:rFonts w:ascii="Times New Roman" w:cs="Times New Roman" w:eastAsia="Times New Roman" w:hAnsi="Times New Roman"/>
                <w:sz w:val="26"/>
                <w:szCs w:val="26"/>
                <w:color w:val="auto"/>
                <w:vertAlign w:val="superscript"/>
              </w:rPr>
              <w:t>(19)</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42,265,090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our outstanding Company common stock.</w:t>
      </w:r>
    </w:p>
    <w:p>
      <w:pPr>
        <w:spacing w:after="0" w:line="27" w:lineRule="exact"/>
        <w:rPr>
          <w:sz w:val="20"/>
          <w:szCs w:val="20"/>
          <w:color w:val="auto"/>
        </w:rPr>
      </w:pPr>
    </w:p>
    <w:p>
      <w:pPr>
        <w:ind w:left="540" w:hanging="424"/>
        <w:spacing w:after="0" w:line="255"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Company common stock beneficially owned for the directors and executive officers includes shares of Company common stock held as of the date of the table, stock options and warrants that are vested as of the date of the table, and stock options, warrants and RSUs that will vest within 60 days following the date of the table.</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40"/>
          </w:cols>
          <w:pgMar w:left="320" w:top="455" w:right="5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3"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13D/A filed on March 10, 2026 and information known to the Company, inclusive of (i) 7,640,000 shares of Company common stock beneficially owned through the ownership of warrants exercisable within 60 days of the date of March 10, 2026 and (ii) 1,545,000 shares of Company common stock bearing a legend that such shares are subject to forfeiture pursuant to Section 1.9(c) of the sponsor support agreement. Douglas Braunstein is the Managing Member of HEC Management GP LLC (“MGT GP”). MGT GP is the Managing Member of HEC Performance GP LLC and the Managing Partner of Hudson Executive Capital LP, which is the Investment Manager of the HEC Master Fund LP. Hudson Executive Capital LP and Mr. Braunstein disclaims beneficial ownership of the securities owned by HEC Master Fund LP except to the extent of his pecuniary interest therein. The address of HEC Master Fund LP is c/o Walkers Corporate Limited, 190 Elgin Avenue, George Town, Grand Cayman KY1-9001.</w:t>
      </w:r>
    </w:p>
    <w:p>
      <w:pPr>
        <w:ind w:left="540" w:right="8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information reported on a Schedule 13G/A filed on May 15, 2025, consists of shares of Company common stock held by Norwest Venture Partners XIII, LP (“NVP XIII”). Genesis VC Partners XIII, LLC is the general partner of NVP XIII and may be deemed to have sole voting and dispositive power over the shares held by NVP XIII. NVP Associates, LLC, the managing member of Genesis VC Partners XIII, LLC and each of Promod Haque, Jeffrey Crowe and Jon Kossow, as Co-Chief Executive Officers of NVP Associates, LLC and members of the general partner, may be deemed to share voting and dispositive power over the shares held by NVP XIII. Such persons and entities disclaim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ownership of the shares held by NVP XIII, except to the extent of any proportionate pecuniary interest therein.</w:t>
      </w:r>
    </w:p>
    <w:p>
      <w:pPr>
        <w:spacing w:after="0" w:line="2"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 filed on October 17, 2025, consists of shares of Company common stock held by BlackRock, Inc. (“BlackRock”). The address of BlackRock is 50 Hudson Yards New York, NY 10001.</w:t>
      </w:r>
    </w:p>
    <w:p>
      <w:pPr>
        <w:ind w:left="54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13D filed on March 30, 2026, consists of shares of Company common stock held by Qumra Capital II, L.P. (“Qumra II”). Qumra Capital GP II, L.P. (“Qumra GP II”) is the general partner of Qumra II and Qumra Capital Israel I Ltd. (“Qumra Capital Ltd.”) is the general partner of Qumra GP II. Boaz Dinte and Erez Shachar serve as the managing partners of Qumra Capital Ltd. and share voting and dispositive power with respect to the shares held by Qumra II. The address for these entities is c/o Qumra Capital, HaNevi’im St 4, Tel Aviv-Yafo, Israel.</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1,476,266 shares of Company common stock and (ii) 1,366,605 shares of Company common stock issuable upon the exercise of options or vesting of restricted stock units, exercisable as of or within 60 days of April 13, 2026.</w:t>
      </w:r>
    </w:p>
    <w:p>
      <w:pPr>
        <w:ind w:left="540" w:right="6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269,373 shares of Company common stock, including 6,767 shares of Company common stock bearing a legend that such shares are subject to forfeiture pursuant to Section 1.9(c) of the sponsor support agreement, (ii) 113,266 shares of Company common stock issuable upon the exercise of options or vesting of restricted stock units, exercisable as of or within 60 days of April 13, 2026 and (iii) 22,500 shares of Company common stock beneficially owned through the ownership of warrants exercisable within 60 days of the date of April 13, 2026.</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84,367 shares of Company common stock and (ii) 564,638 shares of Company common stock issuable upon the exercise of options or vesting of restricted stock units, exercisable as of or within 60 days of April 13, 2026.</w:t>
      </w:r>
    </w:p>
    <w:p>
      <w:pPr>
        <w:ind w:left="540" w:right="56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809,477 shares of Company common stock and (ii) 423,591 shares of Company common stock issuable upon the exercise of options or vesting of restricted stock units, exercisable as of or within 60 days of April 13, 2026.</w:t>
      </w:r>
    </w:p>
    <w:p>
      <w:pPr>
        <w:ind w:left="540" w:right="6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154,594 shares of Company common stock and (ii) 52,605 shares of Company common stock issuable upon the exercise of options or vesting of restricted stock units, exercisable as of or within 60 days of April 13, 2026.</w:t>
      </w:r>
    </w:p>
    <w:p>
      <w:pPr>
        <w:ind w:left="540" w:right="240" w:hanging="424"/>
        <w:spacing w:after="0" w:line="253"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shares of Company common stock held by Hudson Executive Capital LP, (ii) 2,274,446 shares of Company common stock, including 682,334 shares of Company common stock bearing a legend that such shares are subject to forfeiture pursuant to Section 1.9(c) of the sponsor support agreement, owned jointly among Mr. Braunstein and his spouse, including through a trust, (iii) 2,270,000 shares beneficially owned through the ownership of warrants exercisable within 60 days of April 13, 2026 owned jointly among Mr. Braunstein and his spouse and (iv) 703,402 shares underlying certain options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360"/>
        <w:spacing w:after="0" w:line="261" w:lineRule="auto"/>
        <w:rPr>
          <w:sz w:val="20"/>
          <w:szCs w:val="20"/>
          <w:color w:val="auto"/>
        </w:rPr>
      </w:pPr>
      <w:r>
        <w:rPr>
          <w:rFonts w:ascii="Times New Roman" w:cs="Times New Roman" w:eastAsia="Times New Roman" w:hAnsi="Times New Roman"/>
          <w:sz w:val="18"/>
          <w:szCs w:val="18"/>
          <w:color w:val="auto"/>
        </w:rPr>
        <w:t>exercisable within 60 days of April 13, 2026. Mr. Braunstein disclaims beneficial ownership of the securities owned by HEC Master Fund LP except to the extent of his pecuniary interest therein. See footnote 2.</w:t>
      </w:r>
    </w:p>
    <w:p>
      <w:pPr>
        <w:jc w:val="both"/>
        <w:ind w:left="540" w:right="10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(i) Company common stock held by Qumra II, (ii) 351,216 shares of Company common stock held by Mr. Shachar and (iii) 65,204 shares of Company common stock issuable upon the exercise of options or vesting of restricted stock units, exercisable as of or within 60 days of April 13, 2026. Mr. Shachar disclaims beneficial ownership of the shares held of record by Qumra II except to the extent of his pecuniary interest therein. See footnote 5.</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203,160 shares of Company common stock and (ii) 63,402 shares of Company common stock issuable upon the exercise of options or vesting of restricted stock units, exercisable as of or within 60 days of April 13, 2026.</w:t>
      </w:r>
    </w:p>
    <w:p>
      <w:pPr>
        <w:ind w:left="540" w:right="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308,610 shares of Company common stock and (ii) 63,402 shares of Company common stock issuable upon the exercise of options or vesting of restricted stock units, exercisable as of or within 60 days of April 13, 2026.</w:t>
      </w:r>
    </w:p>
    <w:p>
      <w:pPr>
        <w:ind w:left="540" w:right="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339,812 shares of Company common stock and (ii) 63,402 shares of Company common stock issuable upon the exercise of options or vesting of restricted stock units, exercisable as of or within 60 days of April 13, 2026.</w:t>
      </w:r>
    </w:p>
    <w:p>
      <w:pPr>
        <w:ind w:left="540" w:righ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184,267 shares of Company common stock and (ii) 219,903 shares of Company common stock issuable upon the exercise of options or vesting of restricted stock units, exercisable as of or within 60 days of April 13, 2026.</w:t>
      </w:r>
    </w:p>
    <w:p>
      <w:pPr>
        <w:ind w:left="540" w:right="1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92,866 shares of Company common stock and (ii) 28,992 shares of Company common stock issuable upon the exercise of options or vesting of restricted stock units, exercisable as of or within 60 days of April 13, 2026.</w:t>
      </w:r>
    </w:p>
    <w:p>
      <w:pPr>
        <w:ind w:left="540" w:right="1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77,446 shares of Company common stock and (ii) 28,992 shares of Company common stock issuable upon the exercise of options or vesting of restricted stock units, exercisable as of or within 60 days of April 13, 2026.</w:t>
      </w:r>
    </w:p>
    <w:p>
      <w:pPr>
        <w:ind w:left="540" w:hanging="424"/>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directors and executive officers as a group includes the named executive officers and current directors listed in the table above.</w:t>
      </w:r>
    </w:p>
    <w:p>
      <w:pPr>
        <w:spacing w:after="0" w:line="207" w:lineRule="exact"/>
        <w:rPr>
          <w:sz w:val="20"/>
          <w:szCs w:val="20"/>
          <w:color w:val="auto"/>
        </w:rPr>
      </w:pPr>
    </w:p>
    <w:p>
      <w:pPr>
        <w:jc w:val="center"/>
        <w:ind w:left="440"/>
        <w:spacing w:after="0" w:line="454" w:lineRule="auto"/>
        <w:rPr>
          <w:sz w:val="20"/>
          <w:szCs w:val="20"/>
          <w:color w:val="auto"/>
        </w:rPr>
      </w:pPr>
      <w:r>
        <w:rPr>
          <w:rFonts w:ascii="Times New Roman" w:cs="Times New Roman" w:eastAsia="Times New Roman" w:hAnsi="Times New Roman"/>
          <w:sz w:val="18"/>
          <w:szCs w:val="18"/>
          <w:color w:val="auto"/>
        </w:rPr>
        <w:t>To our knowledge, except as noted above, no person or entity is the beneficial owner of 5% or more of the voting power of the Company common stock. 122</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Shares of Company common stock are listed on NASDAQ under the trading symbol “TALK”. The table below provides the high and low intra-day trading prices for shares of common stock, as reported by NASDAQ for the periods specified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8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1, 2026 through April 17, 2026</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$ 5.20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$ 5.19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$ 3.71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$ 2.93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$ 3.53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$ 4.36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$ 3.78</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$ 2.50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$ 3.92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$ 3.77</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$ 2.61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$ 2.13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7"/>
              </w:rPr>
              <w:t>$ 1.32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r>
      <w:tr>
        <w:trPr>
          <w:trHeight w:val="234"/>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$ 1.00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$0.56</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6, 2026, the last full trading day prior to the public announcement of the execution of the merger agreement, the closing price for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Company common stock was $4.76 per share. The merger consideration of $5.25 per share to be paid for each share of Company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merger agreement represents a premium of approximately 10% over the closing price on March 6, 2026. On April 17, 2026, the latest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practicable trading day before the filing of this proxy statement, the reported closing price for shares of Company common stock on NASDAQ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$5.18. You are encouraged to obtain current market quotations for shares of Company common stock in connection with voting your shares of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close of business on April 13, 2026, the record date, there were 167,512,566 shares of Company common stock outstanding and entitled to vote, held by 61 Company stockholders of record. The number of holders is based upon the actual number of holders registered in our records at such date and excludes holders of shares in “street name” or persons, partnerships, associations, corporations or other entities identified in security positions listings maintained by depository trust companies.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never declared or paid cash dividends on shares of Company common stock. The Company has no intention to pay dividends on Company common stock at any time in the foreseeable future and under the terms of the merger agreement, the Company is prohibited from establishing a record date for, authorizing, declaring, making, or setting aside for payment or paying any dividend on, or making any other distribution in respect of, any shares of its capital stock or other equity or voting interests (other than transactions solely between or among the Company, its subsidiaries and the affiliated professional entities).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brokers) to satisfy the delivery requirements for proxy statements and annual reports with respect to two or more Company stockholders sharing the same address and Company stockholders that maintain more than one stockholder account on the books of our transfer agent by delivering a single proxy statement addressed to those Company stockholders. This procedure, which is commonly referred to as “householding”, potentially means extra convenience for Company stockholders and cost savings for companies.</w:t>
      </w:r>
    </w:p>
    <w:p>
      <w:pPr>
        <w:spacing w:after="0" w:line="166" w:lineRule="exact"/>
        <w:rPr>
          <w:sz w:val="20"/>
          <w:szCs w:val="20"/>
          <w:color w:val="auto"/>
        </w:rPr>
      </w:pPr>
    </w:p>
    <w:p>
      <w:pPr>
        <w:ind w:left="120" w:right="400" w:firstLine="440"/>
        <w:spacing w:after="0" w:line="281" w:lineRule="auto"/>
        <w:rPr>
          <w:sz w:val="20"/>
          <w:szCs w:val="20"/>
          <w:color w:val="auto"/>
        </w:rPr>
      </w:pPr>
      <w:r>
        <w:rPr>
          <w:rFonts w:ascii="Times New Roman" w:cs="Times New Roman" w:eastAsia="Times New Roman" w:hAnsi="Times New Roman"/>
          <w:sz w:val="17"/>
          <w:szCs w:val="17"/>
          <w:color w:val="auto"/>
        </w:rPr>
        <w:t>Brokers with account holders who are Company stockholders may be “householding” our proxy materials. A single proxy statement may be delivered to multiple Company stockholders sharing an address unless contrary instructions have been received from the affected Company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6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you may (i) notify your broker or (ii) contact Innisfree M&amp;A Incorporated at +1 (877) 750-5837 (U.S. and Canada) or +1 (412) 232-3651 (all other countries) or in writing at 501 Madison Avenue, 20th Floor, New York, New York 10022. Company stockholders who currently receive multiple copies of this proxy statement at their address and would like to request “householding” of their communications should contact their broker.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merger is consummated, we will not have public stockholders and there will be no public participation in any future stockholders’ meetings. The Company does not anticipate holding a 2026 annual meeting of stockholders if the merger is consummated in the third quarter of 2026. However, if the merger agreement is not adopted or the merger is not consummated within the expected timeframe, the Company may hold an annual meeting of stockholders in 2026.</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Proposals of Company stockholders intended to be presented at our 2026 annual meeting of stockholders pursuant to Rule 14a-8 promulgated under the Exchange Act must have been received by us at our offices at 622 Third Avenue, New York, New York 10017 in writing not later than December 31, 2025, the date that is 120 days prior to the first anniversary of the release of our proxy statement to stockholders in connection with our 2025 annual meeting of stockholders, in order to be included in the proxy statement and proxy card relating to the 2026 annual meeting of stockholders.</w:t>
      </w:r>
    </w:p>
    <w:p>
      <w:pPr>
        <w:spacing w:after="0" w:line="16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Company stockholders are entitled to present proposals for action and director nominations at the 2026 annual meeting of Company stockholders, if held, only if they comply with the applicable requirements of the proxy rules established by the SEC and the advance notice procedures under the Company’s bylaws. Our bylaws establish advance notice procedures for stockholders who wish to present a proposal, including the nomination of directors, before an annual meeting of stockholders, but do not intend for the proposal to be included in our proxy materials.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Company stockholders intending to present a proposal at the 2026 annual meeting of stockholders, but not to include the proposal in our proxy statement, or to nominate a person for election as a director, must comply with the requirements set forth in our bylaws. Our bylaws require, among other things, that we receive written notice from the stockholder of record of their intent to present such proposal or nomination not earlier than the 120th day and not later than the 90th day prior to the first anniversary of the preceding year’s annual meeting. Therefore, we must have received notice of such a proposal or nomination for the 2026 annual meeting of stockholders no earlier than the close of business on February 18, 2026, and no later than the close of business on March 20, 2026. The notice must contain the information required by the bylaws, a copy of which is available upon request to our Corporate Secretary. In the event that the date of the 2026 annual meeting of stockholders is more than 30 days before or more than 60 days after June 18, 2026, then we must receive such written notice not later than the 90th day prior to the 2026 annual meeting of stockholders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our bylaws, to comply with the universal proxy rules, Company stockholders who intend to solicit proxies in support of director nominees other than our nominees for the 2026 annual meeting of stockholders must provide notice that sets forth the information required by Rule 14a-19 under the Exchange Act no later than April 19, 2026. Any proposal, nomination or notice must contain the information required by our bylaws and should be addressed to the Corporate Secretary and be delivered to our principal executive offices at: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Talkspace,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John C. Reilly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622 Third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accordingly, file annual, quarterly and periodic reports, proxy statements and other information with the SEC. Our SEC filings are available over the internet at the SEC’s website at www.sec.gov.</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information into this proxy statement. This means that we can disclose important information by referring to another document filed separately with the SEC. The information incorporated by reference is deemed to be part of this proxy statement. This proxy statement and the information that we later file with the SEC may update and supersede the information incorporated by reference, and the information that we later file with the SEC may update and supersede the information in this proxy statement. This proxy statement incorporates by reference the following documents filed by us with the SEC under the Exchange Act and any documents filed by us pursuant to Sections 13(a), 13(c), 14 or 15(d) of the Exchange Act after the date of this proxy statement and before the date of the special meeting (provided that we are not incorporating by reference any information furnished to, but not filed with, the SEC):</w:t>
      </w:r>
    </w:p>
    <w:p>
      <w:pPr>
        <w:spacing w:after="0" w:line="94" w:lineRule="exact"/>
        <w:rPr>
          <w:sz w:val="20"/>
          <w:szCs w:val="20"/>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xml:space="preserve"> for the fiscal year ended December 31, 2025 (filed with the SEC on March 13, 2026);</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r>
        <w:rPr>
          <w:rFonts w:ascii="Times New Roman" w:cs="Times New Roman" w:eastAsia="Times New Roman" w:hAnsi="Times New Roman"/>
          <w:sz w:val="18"/>
          <w:szCs w:val="18"/>
          <w:u w:val="single" w:color="auto"/>
          <w:color w:val="auto"/>
        </w:rPr>
        <w:t>Schedule 14A</w:t>
      </w:r>
      <w:r>
        <w:rPr>
          <w:rFonts w:ascii="Times New Roman" w:cs="Times New Roman" w:eastAsia="Times New Roman" w:hAnsi="Times New Roman"/>
          <w:sz w:val="18"/>
          <w:szCs w:val="18"/>
          <w:color w:val="auto"/>
        </w:rPr>
        <w:t xml:space="preserve"> for our 2025 annual meeting of Company stockholders (filed with the SEC on April 30, 2025) that are incorporated by reference in our Annual Report on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xml:space="preserve"> for the fiscal year ended December 31, 2024; and</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(excluding information and exhibits furnished under Items 2.02 and 7.01) filed with the SEC on March 9, 2026.</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information furnished by the Company on any Current Report on Form 8-K, including the related exhibits that, pursuant to and in accordance with the rules and regulations of the SEC, is not deemed “filed” for purposes of the Exchange Act will not be deemed incorporated by reference into this proxy statement.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proxy statement speaks only as of the date indicated on the cover of this proxy statement unless the information specifically indicates that another date applies.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obtain any of the documents we file with the SEC, without charge, by requesting them in writing or by telephone from 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Talkspace,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P.O. Box 659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Portsmouth, New Hampshire 03802</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(212) 284-7206</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order for you to receive timely delivery of documents in advance of the special meeting, you must make such request by no later than May 21, 2026, which is five business days before the date of the special meeting. Please note that you will be able to obtain the documents (if and when available) free of charge on the SEC’s website at www.sec.gov. In addition, as soon as reasonably practicable after such materials are furnished to the SEC, we make copies of these documents available to the public, free of charge, on the Investor Relations page of our website at www.investors.talkspace.com.</w:t>
      </w:r>
    </w:p>
    <w:p>
      <w:pPr>
        <w:spacing w:after="0" w:line="179"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have not authorized anyone to give you any information or to make any representation about the proposed merger or the Company that is different from or adds to the information contained in this proxy statement or in the documents we have publicly filed with the SEC. Therefore, if anyone does give you any different or additional information, you should not rely on it.</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5" w:right="5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UHS MERGER SUBSIDIARY,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TALKSPACE,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 as of 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8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TABLE OF CONTENTS</w:t>
            </w:r>
          </w:p>
        </w:tc>
        <w:tc>
          <w:tcPr>
            <w:tcW w:w="500" w:type="dxa"/>
            <w:vAlign w:val="bottom"/>
          </w:tcPr>
          <w:p>
            <w:pPr>
              <w:spacing w:after="0"/>
              <w:rPr>
                <w:sz w:val="17"/>
                <w:szCs w:val="17"/>
                <w:color w:val="auto"/>
              </w:rPr>
            </w:pPr>
          </w:p>
        </w:tc>
      </w:tr>
      <w:tr>
        <w:trPr>
          <w:trHeight w:val="412"/>
        </w:trPr>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Page</w:t>
            </w:r>
          </w:p>
        </w:tc>
      </w:tr>
      <w:tr>
        <w:trPr>
          <w:trHeight w:val="304"/>
        </w:trPr>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5"/>
          </w:tcPr>
          <w:p>
            <w:pPr>
              <w:jc w:val="center"/>
              <w:ind w:right="3840"/>
              <w:spacing w:after="0"/>
              <w:rPr>
                <w:sz w:val="20"/>
                <w:szCs w:val="20"/>
                <w:color w:val="auto"/>
              </w:rPr>
            </w:pPr>
            <w:r>
              <w:rPr>
                <w:rFonts w:ascii="Times New Roman" w:cs="Times New Roman" w:eastAsia="Times New Roman" w:hAnsi="Times New Roman"/>
                <w:sz w:val="18"/>
                <w:szCs w:val="18"/>
                <w:color w:val="auto"/>
                <w:w w:val="97"/>
              </w:rPr>
              <w:t>ARTICLE I</w:t>
            </w:r>
          </w:p>
        </w:tc>
        <w:tc>
          <w:tcPr>
            <w:tcW w:w="500" w:type="dxa"/>
            <w:vAlign w:val="bottom"/>
          </w:tcPr>
          <w:p>
            <w:pPr>
              <w:spacing w:after="0"/>
              <w:rPr>
                <w:sz w:val="24"/>
                <w:szCs w:val="24"/>
                <w:color w:val="auto"/>
              </w:rPr>
            </w:pPr>
          </w:p>
        </w:tc>
      </w:tr>
      <w:tr>
        <w:trPr>
          <w:trHeight w:val="324"/>
        </w:trPr>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5"/>
          </w:tcPr>
          <w:p>
            <w:pPr>
              <w:jc w:val="center"/>
              <w:ind w:right="3840"/>
              <w:spacing w:after="0"/>
              <w:rPr>
                <w:sz w:val="20"/>
                <w:szCs w:val="20"/>
                <w:color w:val="auto"/>
              </w:rPr>
            </w:pPr>
            <w:r>
              <w:rPr>
                <w:rFonts w:ascii="Times New Roman" w:cs="Times New Roman" w:eastAsia="Times New Roman" w:hAnsi="Times New Roman"/>
                <w:sz w:val="18"/>
                <w:szCs w:val="18"/>
                <w:color w:val="auto"/>
                <w:w w:val="98"/>
              </w:rPr>
              <w:t>The Merger</w:t>
            </w:r>
          </w:p>
        </w:tc>
        <w:tc>
          <w:tcPr>
            <w:tcW w:w="500" w:type="dxa"/>
            <w:vAlign w:val="bottom"/>
          </w:tcPr>
          <w:p>
            <w:pPr>
              <w:spacing w:after="0"/>
              <w:rPr>
                <w:sz w:val="24"/>
                <w:szCs w:val="24"/>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58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1.02.</w:t>
            </w: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Closing</w:t>
            </w:r>
          </w:p>
        </w:tc>
        <w:tc>
          <w:tcPr>
            <w:tcW w:w="280" w:type="dxa"/>
            <w:vAlign w:val="bottom"/>
            <w:tcBorders>
              <w:top w:val="single" w:sz="8" w:color="0000EE"/>
            </w:tcBorders>
            <w:gridSpan w:val="4"/>
          </w:tcPr>
          <w:p>
            <w:pPr>
              <w:spacing w:after="0"/>
              <w:rPr>
                <w:sz w:val="17"/>
                <w:szCs w:val="17"/>
                <w:color w:val="auto"/>
              </w:rPr>
            </w:pPr>
          </w:p>
        </w:tc>
        <w:tc>
          <w:tcPr>
            <w:tcW w:w="7740" w:type="dxa"/>
            <w:vAlign w:val="bottom"/>
            <w:gridSpan w:val="3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1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Effective Time</w:t>
            </w:r>
          </w:p>
        </w:tc>
        <w:tc>
          <w:tcPr>
            <w:tcW w:w="7500" w:type="dxa"/>
            <w:vAlign w:val="bottom"/>
            <w:gridSpan w:val="3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15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Effects of the Merger</w:t>
            </w:r>
          </w:p>
        </w:tc>
        <w:tc>
          <w:tcPr>
            <w:tcW w:w="704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50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Incorporation and Bylaws of the Surviving Corporation</w:t>
            </w:r>
          </w:p>
        </w:tc>
        <w:tc>
          <w:tcPr>
            <w:tcW w:w="35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Directors and Officers of the Surviving Corporation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w:t>
            </w:r>
          </w:p>
        </w:tc>
      </w:tr>
      <w:tr>
        <w:trPr>
          <w:trHeight w:val="344"/>
        </w:trPr>
        <w:tc>
          <w:tcPr>
            <w:tcW w:w="18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40" w:type="dxa"/>
            <w:vAlign w:val="bottom"/>
            <w:gridSpan w:val="5"/>
          </w:tcPr>
          <w:p>
            <w:pPr>
              <w:jc w:val="center"/>
              <w:ind w:right="3840"/>
              <w:spacing w:after="0"/>
              <w:rPr>
                <w:sz w:val="20"/>
                <w:szCs w:val="20"/>
                <w:color w:val="auto"/>
              </w:rPr>
            </w:pPr>
            <w:r>
              <w:rPr>
                <w:rFonts w:ascii="Times New Roman" w:cs="Times New Roman" w:eastAsia="Times New Roman" w:hAnsi="Times New Roman"/>
                <w:sz w:val="18"/>
                <w:szCs w:val="18"/>
                <w:color w:val="auto"/>
                <w:w w:val="99"/>
              </w:rPr>
              <w:t>ARTICLE II</w:t>
            </w:r>
          </w:p>
        </w:tc>
        <w:tc>
          <w:tcPr>
            <w:tcW w:w="500" w:type="dxa"/>
            <w:vAlign w:val="bottom"/>
          </w:tcPr>
          <w:p>
            <w:pPr>
              <w:spacing w:after="0"/>
              <w:rPr>
                <w:sz w:val="24"/>
                <w:szCs w:val="24"/>
                <w:color w:val="auto"/>
              </w:rPr>
            </w:pPr>
          </w:p>
        </w:tc>
      </w:tr>
      <w:tr>
        <w:trPr>
          <w:trHeight w:val="306"/>
        </w:trPr>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60" w:type="dxa"/>
            <w:vAlign w:val="bottom"/>
            <w:gridSpan w:val="18"/>
          </w:tcPr>
          <w:p>
            <w:pPr>
              <w:jc w:val="center"/>
              <w:ind w:right="1920"/>
              <w:spacing w:after="0"/>
              <w:rPr>
                <w:sz w:val="20"/>
                <w:szCs w:val="20"/>
                <w:color w:val="auto"/>
              </w:rPr>
            </w:pPr>
            <w:r>
              <w:rPr>
                <w:rFonts w:ascii="Times New Roman" w:cs="Times New Roman" w:eastAsia="Times New Roman" w:hAnsi="Times New Roman"/>
                <w:sz w:val="18"/>
                <w:szCs w:val="18"/>
                <w:color w:val="auto"/>
                <w:w w:val="99"/>
              </w:rPr>
              <w:t>Effect of the Merger on Capital Stock; Exchange of Certificates;</w:t>
            </w:r>
          </w:p>
        </w:tc>
        <w:tc>
          <w:tcPr>
            <w:tcW w:w="500" w:type="dxa"/>
            <w:vAlign w:val="bottom"/>
          </w:tcPr>
          <w:p>
            <w:pPr>
              <w:spacing w:after="0"/>
              <w:rPr>
                <w:sz w:val="24"/>
                <w:szCs w:val="24"/>
                <w:color w:val="auto"/>
              </w:rPr>
            </w:pPr>
          </w:p>
        </w:tc>
      </w:tr>
      <w:tr>
        <w:trPr>
          <w:trHeight w:val="234"/>
        </w:trPr>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60" w:type="dxa"/>
            <w:vAlign w:val="bottom"/>
            <w:gridSpan w:val="13"/>
          </w:tcPr>
          <w:p>
            <w:pPr>
              <w:jc w:val="center"/>
              <w:ind w:right="2420"/>
              <w:spacing w:after="0"/>
              <w:rPr>
                <w:sz w:val="20"/>
                <w:szCs w:val="20"/>
                <w:color w:val="auto"/>
              </w:rPr>
            </w:pPr>
            <w:r>
              <w:rPr>
                <w:rFonts w:ascii="Times New Roman" w:cs="Times New Roman" w:eastAsia="Times New Roman" w:hAnsi="Times New Roman"/>
                <w:sz w:val="18"/>
                <w:szCs w:val="18"/>
                <w:color w:val="auto"/>
                <w:w w:val="98"/>
              </w:rPr>
              <w:t>Equity-Based Incentive Awards; Company Warrants</w:t>
            </w:r>
          </w:p>
        </w:tc>
        <w:tc>
          <w:tcPr>
            <w:tcW w:w="500" w:type="dxa"/>
            <w:vAlign w:val="bottom"/>
          </w:tcPr>
          <w:p>
            <w:pPr>
              <w:spacing w:after="0"/>
              <w:rPr>
                <w:sz w:val="20"/>
                <w:szCs w:val="20"/>
                <w:color w:val="auto"/>
              </w:rPr>
            </w:pP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17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Effect on Capital Stock</w:t>
            </w:r>
          </w:p>
        </w:tc>
        <w:tc>
          <w:tcPr>
            <w:tcW w:w="688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Exchange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w:t>
            </w:r>
          </w:p>
        </w:tc>
      </w:tr>
      <w:tr>
        <w:trPr>
          <w:trHeight w:val="20"/>
        </w:trPr>
        <w:tc>
          <w:tcPr>
            <w:tcW w:w="1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32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Treatment of Equity-Based Incentive Awards</w:t>
            </w:r>
          </w:p>
        </w:tc>
        <w:tc>
          <w:tcPr>
            <w:tcW w:w="532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A-6</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Payments with Respect to Equity-Based Incentive Awards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11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Company ESPP</w:t>
            </w:r>
          </w:p>
        </w:tc>
        <w:tc>
          <w:tcPr>
            <w:tcW w:w="3020" w:type="dxa"/>
            <w:vAlign w:val="bottom"/>
            <w:tcBorders>
              <w:top w:val="single" w:sz="8" w:color="0000EE"/>
            </w:tcBorders>
            <w:gridSpan w:val="25"/>
          </w:tcPr>
          <w:p>
            <w:pPr>
              <w:spacing w:after="0"/>
              <w:rPr>
                <w:sz w:val="17"/>
                <w:szCs w:val="17"/>
                <w:color w:val="auto"/>
              </w:rPr>
            </w:pPr>
          </w:p>
        </w:tc>
        <w:tc>
          <w:tcPr>
            <w:tcW w:w="440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Treatment of Company Warrants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236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Adjustments</w:t>
            </w:r>
          </w:p>
        </w:tc>
        <w:tc>
          <w:tcPr>
            <w:tcW w:w="622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A-8</w:t>
            </w:r>
          </w:p>
        </w:tc>
      </w:tr>
      <w:tr>
        <w:trPr>
          <w:trHeight w:val="20"/>
        </w:trPr>
        <w:tc>
          <w:tcPr>
            <w:tcW w:w="1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12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7360" w:type="dxa"/>
            <w:vAlign w:val="bottom"/>
            <w:gridSpan w:val="2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A-8</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Parent Actions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A-8</w:t>
            </w:r>
          </w:p>
        </w:tc>
      </w:tr>
      <w:tr>
        <w:trPr>
          <w:trHeight w:val="345"/>
        </w:trPr>
        <w:tc>
          <w:tcPr>
            <w:tcW w:w="18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5"/>
          </w:tcPr>
          <w:p>
            <w:pPr>
              <w:jc w:val="center"/>
              <w:ind w:right="3840"/>
              <w:spacing w:after="0"/>
              <w:rPr>
                <w:sz w:val="20"/>
                <w:szCs w:val="20"/>
                <w:color w:val="auto"/>
              </w:rPr>
            </w:pPr>
            <w:r>
              <w:rPr>
                <w:rFonts w:ascii="Times New Roman" w:cs="Times New Roman" w:eastAsia="Times New Roman" w:hAnsi="Times New Roman"/>
                <w:sz w:val="18"/>
                <w:szCs w:val="18"/>
                <w:color w:val="auto"/>
                <w:w w:val="97"/>
              </w:rPr>
              <w:t>ARTICLE III</w:t>
            </w:r>
          </w:p>
        </w:tc>
        <w:tc>
          <w:tcPr>
            <w:tcW w:w="500" w:type="dxa"/>
            <w:vAlign w:val="bottom"/>
          </w:tcPr>
          <w:p>
            <w:pPr>
              <w:spacing w:after="0"/>
              <w:rPr>
                <w:sz w:val="24"/>
                <w:szCs w:val="24"/>
                <w:color w:val="auto"/>
              </w:rPr>
            </w:pPr>
          </w:p>
        </w:tc>
      </w:tr>
      <w:tr>
        <w:trPr>
          <w:trHeight w:val="324"/>
        </w:trPr>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1"/>
          </w:tcPr>
          <w:p>
            <w:pPr>
              <w:jc w:val="center"/>
              <w:ind w:right="2600"/>
              <w:spacing w:after="0"/>
              <w:rPr>
                <w:sz w:val="20"/>
                <w:szCs w:val="20"/>
                <w:color w:val="auto"/>
              </w:rPr>
            </w:pPr>
            <w:r>
              <w:rPr>
                <w:rFonts w:ascii="Times New Roman" w:cs="Times New Roman" w:eastAsia="Times New Roman" w:hAnsi="Times New Roman"/>
                <w:sz w:val="18"/>
                <w:szCs w:val="18"/>
                <w:color w:val="auto"/>
                <w:w w:val="99"/>
              </w:rPr>
              <w:t>Representations and Warranties of the Company</w:t>
            </w:r>
          </w:p>
        </w:tc>
        <w:tc>
          <w:tcPr>
            <w:tcW w:w="500" w:type="dxa"/>
            <w:vAlign w:val="bottom"/>
          </w:tcPr>
          <w:p>
            <w:pPr>
              <w:spacing w:after="0"/>
              <w:rPr>
                <w:sz w:val="24"/>
                <w:szCs w:val="24"/>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1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Organization; Standing</w:t>
            </w:r>
          </w:p>
        </w:tc>
        <w:tc>
          <w:tcPr>
            <w:tcW w:w="6900" w:type="dxa"/>
            <w:vAlign w:val="bottom"/>
            <w:gridSpan w:val="20"/>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A-9</w:t>
            </w:r>
          </w:p>
        </w:tc>
      </w:tr>
      <w:tr>
        <w:trPr>
          <w:trHeight w:val="20"/>
        </w:trPr>
        <w:tc>
          <w:tcPr>
            <w:tcW w:w="1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21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Authority; Noncontravention</w:t>
            </w:r>
          </w:p>
        </w:tc>
        <w:tc>
          <w:tcPr>
            <w:tcW w:w="648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A-11</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3.04.</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Governmental Approvals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A-12</w:t>
            </w:r>
          </w:p>
        </w:tc>
      </w:tr>
      <w:tr>
        <w:trPr>
          <w:trHeight w:val="20"/>
        </w:trPr>
        <w:tc>
          <w:tcPr>
            <w:tcW w:w="1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370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SEC Documents; Undisclosed Liabilities</w:t>
            </w:r>
          </w:p>
        </w:tc>
        <w:tc>
          <w:tcPr>
            <w:tcW w:w="48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A-13</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20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Absence of Certain Changes</w:t>
            </w:r>
          </w:p>
        </w:tc>
        <w:tc>
          <w:tcPr>
            <w:tcW w:w="652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A-14</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3.07.</w:t>
            </w:r>
          </w:p>
        </w:tc>
        <w:tc>
          <w:tcPr>
            <w:tcW w:w="1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240" w:type="dxa"/>
            <w:vAlign w:val="bottom"/>
            <w:gridSpan w:val="2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A-14</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23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Compliance with Laws; Permits</w:t>
            </w:r>
          </w:p>
        </w:tc>
        <w:tc>
          <w:tcPr>
            <w:tcW w:w="62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A-15</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Tax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A-15</w:t>
            </w:r>
          </w:p>
        </w:tc>
      </w:tr>
      <w:tr>
        <w:trPr>
          <w:trHeight w:val="20"/>
        </w:trPr>
        <w:tc>
          <w:tcPr>
            <w:tcW w:w="1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13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 Benefits</w:t>
            </w:r>
          </w:p>
        </w:tc>
        <w:tc>
          <w:tcPr>
            <w:tcW w:w="720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A-17</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Labor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A-19</w:t>
            </w:r>
          </w:p>
        </w:tc>
      </w:tr>
      <w:tr>
        <w:trPr>
          <w:trHeight w:val="20"/>
        </w:trPr>
        <w:tc>
          <w:tcPr>
            <w:tcW w:w="18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Environmental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A-19</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3.13.</w:t>
            </w:r>
          </w:p>
        </w:tc>
        <w:tc>
          <w:tcPr>
            <w:tcW w:w="14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Intellectual Property</w:t>
            </w:r>
          </w:p>
        </w:tc>
        <w:tc>
          <w:tcPr>
            <w:tcW w:w="180" w:type="dxa"/>
            <w:vAlign w:val="bottom"/>
            <w:tcBorders>
              <w:top w:val="single" w:sz="8" w:color="0000EE"/>
            </w:tcBorders>
            <w:gridSpan w:val="3"/>
          </w:tcPr>
          <w:p>
            <w:pPr>
              <w:spacing w:after="0"/>
              <w:rPr>
                <w:sz w:val="17"/>
                <w:szCs w:val="17"/>
                <w:color w:val="auto"/>
              </w:rPr>
            </w:pPr>
          </w:p>
        </w:tc>
        <w:tc>
          <w:tcPr>
            <w:tcW w:w="692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A-20</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3.14.</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Data Privacy and Technology; Information Security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A-22</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3.15.</w:t>
            </w:r>
          </w:p>
        </w:tc>
        <w:tc>
          <w:tcPr>
            <w:tcW w:w="6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Property</w:t>
            </w:r>
          </w:p>
        </w:tc>
        <w:tc>
          <w:tcPr>
            <w:tcW w:w="3100" w:type="dxa"/>
            <w:vAlign w:val="bottom"/>
            <w:tcBorders>
              <w:top w:val="single" w:sz="8" w:color="0000EE"/>
            </w:tcBorders>
            <w:gridSpan w:val="32"/>
          </w:tcPr>
          <w:p>
            <w:pPr>
              <w:spacing w:after="0"/>
              <w:rPr>
                <w:sz w:val="17"/>
                <w:szCs w:val="17"/>
                <w:color w:val="auto"/>
              </w:rPr>
            </w:pPr>
          </w:p>
        </w:tc>
        <w:tc>
          <w:tcPr>
            <w:tcW w:w="48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A-23</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3.16.</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Contracts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r>
      <w:tr>
        <w:trPr>
          <w:trHeight w:val="20"/>
        </w:trPr>
        <w:tc>
          <w:tcPr>
            <w:tcW w:w="18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3.17.</w:t>
            </w:r>
          </w:p>
        </w:tc>
        <w:tc>
          <w:tcPr>
            <w:tcW w:w="7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7880" w:type="dxa"/>
            <w:vAlign w:val="bottom"/>
            <w:gridSpan w:val="3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3.18.</w:t>
            </w:r>
          </w:p>
        </w:tc>
        <w:tc>
          <w:tcPr>
            <w:tcW w:w="25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Compliance with Healthcare Laws</w:t>
            </w:r>
          </w:p>
        </w:tc>
        <w:tc>
          <w:tcPr>
            <w:tcW w:w="60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3.19.</w:t>
            </w:r>
          </w:p>
        </w:tc>
        <w:tc>
          <w:tcPr>
            <w:tcW w:w="85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No Rights Agreement; Anti-Takeover Provisions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3.20.</w:t>
            </w:r>
          </w:p>
        </w:tc>
        <w:tc>
          <w:tcPr>
            <w:tcW w:w="352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Opinion of Financial Advisor</w:t>
            </w:r>
          </w:p>
        </w:tc>
        <w:tc>
          <w:tcPr>
            <w:tcW w:w="50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3.21.</w:t>
            </w:r>
          </w:p>
        </w:tc>
        <w:tc>
          <w:tcPr>
            <w:tcW w:w="212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Brokers and Other Advisors</w:t>
            </w:r>
          </w:p>
        </w:tc>
        <w:tc>
          <w:tcPr>
            <w:tcW w:w="646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3.22.</w:t>
            </w:r>
          </w:p>
        </w:tc>
        <w:tc>
          <w:tcPr>
            <w:tcW w:w="20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Affiliate Transactions</w:t>
            </w:r>
          </w:p>
        </w:tc>
        <w:tc>
          <w:tcPr>
            <w:tcW w:w="65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r>
      <w:tr>
        <w:trPr>
          <w:trHeight w:val="20"/>
        </w:trPr>
        <w:tc>
          <w:tcPr>
            <w:tcW w:w="1860" w:type="dxa"/>
            <w:vAlign w:val="bottom"/>
          </w:tcPr>
          <w:p>
            <w:pPr>
              <w:spacing w:after="0" w:line="20" w:lineRule="exact"/>
              <w:rPr>
                <w:sz w:val="1"/>
                <w:szCs w:val="1"/>
                <w:color w:val="auto"/>
              </w:rPr>
            </w:pPr>
          </w:p>
        </w:tc>
        <w:tc>
          <w:tcPr>
            <w:tcW w:w="1560" w:type="dxa"/>
            <w:vAlign w:val="bottom"/>
            <w:gridSpan w:val="18"/>
            <w:shd w:val="clear" w:color="auto" w:fill="0000EE"/>
          </w:tcPr>
          <w:p>
            <w:pPr>
              <w:spacing w:after="0" w:line="20" w:lineRule="exact"/>
              <w:rPr>
                <w:sz w:val="1"/>
                <w:szCs w:val="1"/>
                <w:color w:val="auto"/>
              </w:rPr>
            </w:pPr>
          </w:p>
        </w:tc>
        <w:tc>
          <w:tcPr>
            <w:tcW w:w="3120" w:type="dxa"/>
            <w:vAlign w:val="bottom"/>
            <w:gridSpan w:val="2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3.23.</w:t>
            </w:r>
          </w:p>
        </w:tc>
        <w:tc>
          <w:tcPr>
            <w:tcW w:w="468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No Other Representations or Warranties of Parent or Merger Sub</w:t>
            </w:r>
          </w:p>
        </w:tc>
        <w:tc>
          <w:tcPr>
            <w:tcW w:w="390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60" w:type="dxa"/>
            <w:vAlign w:val="bottom"/>
            <w:gridSpan w:val="14"/>
          </w:tcPr>
          <w:p>
            <w:pPr>
              <w:jc w:val="center"/>
              <w:ind w:right="400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8"/>
                <w:szCs w:val="18"/>
                <w:color w:val="auto"/>
              </w:rPr>
              <w:t>(continued)</w:t>
            </w:r>
          </w:p>
        </w:tc>
        <w:tc>
          <w:tcPr>
            <w:tcW w:w="40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7"/>
            <w:vMerge w:val="restart"/>
          </w:tcPr>
          <w:p>
            <w:pPr>
              <w:jc w:val="center"/>
              <w:ind w:right="3740"/>
              <w:spacing w:after="0"/>
              <w:rPr>
                <w:sz w:val="20"/>
                <w:szCs w:val="20"/>
                <w:color w:val="auto"/>
              </w:rPr>
            </w:pPr>
            <w:r>
              <w:rPr>
                <w:rFonts w:ascii="Times New Roman" w:cs="Times New Roman" w:eastAsia="Times New Roman" w:hAnsi="Times New Roman"/>
                <w:sz w:val="18"/>
                <w:szCs w:val="18"/>
                <w:color w:val="auto"/>
                <w:w w:val="98"/>
              </w:rPr>
              <w:t>ARTICLE IV</w:t>
            </w: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60" w:type="dxa"/>
            <w:vAlign w:val="bottom"/>
            <w:gridSpan w:val="7"/>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16"/>
          </w:tcPr>
          <w:p>
            <w:pPr>
              <w:jc w:val="center"/>
              <w:ind w:right="2200"/>
              <w:spacing w:after="0"/>
              <w:rPr>
                <w:sz w:val="20"/>
                <w:szCs w:val="20"/>
                <w:color w:val="auto"/>
              </w:rPr>
            </w:pPr>
            <w:r>
              <w:rPr>
                <w:rFonts w:ascii="Times New Roman" w:cs="Times New Roman" w:eastAsia="Times New Roman" w:hAnsi="Times New Roman"/>
                <w:sz w:val="18"/>
                <w:szCs w:val="18"/>
                <w:color w:val="auto"/>
                <w:w w:val="99"/>
              </w:rPr>
              <w:t>Representations and Warranties of Parent and Merger Sub</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5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Organization; Standing</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A-29</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21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Authority; Noncontravention</w:t>
            </w:r>
          </w:p>
        </w:tc>
        <w:tc>
          <w:tcPr>
            <w:tcW w:w="6480" w:type="dxa"/>
            <w:vAlign w:val="bottom"/>
            <w:gridSpan w:val="16"/>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A-30</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4.03.</w:t>
            </w:r>
          </w:p>
        </w:tc>
        <w:tc>
          <w:tcPr>
            <w:tcW w:w="18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Governmental Approvals</w:t>
            </w:r>
          </w:p>
        </w:tc>
        <w:tc>
          <w:tcPr>
            <w:tcW w:w="6740" w:type="dxa"/>
            <w:vAlign w:val="bottom"/>
            <w:gridSpan w:val="19"/>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A-30</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4.04.</w:t>
            </w:r>
          </w:p>
        </w:tc>
        <w:tc>
          <w:tcPr>
            <w:tcW w:w="30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Ownership and Operations of Merger Sub</w:t>
            </w:r>
          </w:p>
        </w:tc>
        <w:tc>
          <w:tcPr>
            <w:tcW w:w="5560" w:type="dxa"/>
            <w:vAlign w:val="bottom"/>
            <w:gridSpan w:val="11"/>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A-31</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4.05.</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Sufficiency</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4.06.</w:t>
            </w:r>
          </w:p>
        </w:tc>
        <w:tc>
          <w:tcPr>
            <w:tcW w:w="16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Certain Arrangements</w:t>
            </w:r>
          </w:p>
        </w:tc>
        <w:tc>
          <w:tcPr>
            <w:tcW w:w="6920" w:type="dxa"/>
            <w:vAlign w:val="bottom"/>
            <w:gridSpan w:val="22"/>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A-31</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4.07.</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Brokers and Other Advisors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A-31</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4.08.</w:t>
            </w:r>
          </w:p>
        </w:tc>
        <w:tc>
          <w:tcPr>
            <w:tcW w:w="20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Information Supplied</w:t>
            </w:r>
          </w:p>
        </w:tc>
        <w:tc>
          <w:tcPr>
            <w:tcW w:w="6560" w:type="dxa"/>
            <w:vAlign w:val="bottom"/>
            <w:gridSpan w:val="17"/>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A-31</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4.09.</w:t>
            </w: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200" w:type="dxa"/>
            <w:vAlign w:val="bottom"/>
            <w:tcBorders>
              <w:top w:val="single" w:sz="8" w:color="0000EE"/>
            </w:tcBorders>
            <w:gridSpan w:val="3"/>
          </w:tcPr>
          <w:p>
            <w:pPr>
              <w:spacing w:after="0"/>
              <w:rPr>
                <w:sz w:val="17"/>
                <w:szCs w:val="17"/>
                <w:color w:val="auto"/>
              </w:rPr>
            </w:pPr>
          </w:p>
        </w:tc>
        <w:tc>
          <w:tcPr>
            <w:tcW w:w="7040" w:type="dxa"/>
            <w:vAlign w:val="bottom"/>
            <w:gridSpan w:val="24"/>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A-32</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4.10.</w:t>
            </w:r>
          </w:p>
        </w:tc>
        <w:tc>
          <w:tcPr>
            <w:tcW w:w="27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Ownership of Equity of the Company</w:t>
            </w:r>
          </w:p>
        </w:tc>
        <w:tc>
          <w:tcPr>
            <w:tcW w:w="5860" w:type="dxa"/>
            <w:vAlign w:val="bottom"/>
            <w:gridSpan w:val="14"/>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A-32</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4.11.</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 Other Company Representations or Warranties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A-32</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4.12.</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Non-Reliance on Company Estimates, Projections, Forecasts, Forward-Looking Statements and Business Plans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A-32</w:t>
            </w:r>
          </w:p>
        </w:tc>
        <w:tc>
          <w:tcPr>
            <w:tcW w:w="0" w:type="dxa"/>
            <w:vAlign w:val="bottom"/>
          </w:tcPr>
          <w:p>
            <w:pPr>
              <w:spacing w:after="0"/>
              <w:rPr>
                <w:sz w:val="1"/>
                <w:szCs w:val="1"/>
                <w:color w:val="auto"/>
              </w:rPr>
            </w:pPr>
          </w:p>
        </w:tc>
      </w:tr>
      <w:tr>
        <w:trPr>
          <w:trHeight w:val="345"/>
        </w:trPr>
        <w:tc>
          <w:tcPr>
            <w:tcW w:w="18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380" w:type="dxa"/>
            <w:vAlign w:val="bottom"/>
            <w:tcBorders>
              <w:top w:val="single" w:sz="8" w:color="0000EE"/>
            </w:tcBorders>
            <w:gridSpan w:val="6"/>
          </w:tcPr>
          <w:p>
            <w:pPr>
              <w:jc w:val="center"/>
              <w:ind w:right="3140"/>
              <w:spacing w:after="0"/>
              <w:rPr>
                <w:sz w:val="20"/>
                <w:szCs w:val="20"/>
                <w:color w:val="auto"/>
              </w:rPr>
            </w:pPr>
            <w:r>
              <w:rPr>
                <w:rFonts w:ascii="Times New Roman" w:cs="Times New Roman" w:eastAsia="Times New Roman" w:hAnsi="Times New Roman"/>
                <w:sz w:val="18"/>
                <w:szCs w:val="18"/>
                <w:color w:val="auto"/>
                <w:w w:val="98"/>
              </w:rPr>
              <w:t>ARTICLE V</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12"/>
          </w:tcPr>
          <w:p>
            <w:pPr>
              <w:jc w:val="center"/>
              <w:ind w:right="2880"/>
              <w:spacing w:after="0"/>
              <w:rPr>
                <w:sz w:val="20"/>
                <w:szCs w:val="20"/>
                <w:color w:val="auto"/>
              </w:rPr>
            </w:pPr>
            <w:r>
              <w:rPr>
                <w:rFonts w:ascii="Times New Roman" w:cs="Times New Roman" w:eastAsia="Times New Roman" w:hAnsi="Times New Roman"/>
                <w:sz w:val="18"/>
                <w:szCs w:val="18"/>
                <w:color w:val="auto"/>
              </w:rPr>
              <w:t>Additional Covenants and Agreements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5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Conduct of 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A-33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32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No Solicitation; Change in Recommendation</w:t>
            </w:r>
          </w:p>
        </w:tc>
        <w:tc>
          <w:tcPr>
            <w:tcW w:w="5340" w:type="dxa"/>
            <w:vAlign w:val="bottom"/>
            <w:gridSpan w:val="9"/>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A-36</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Efforts</w:t>
            </w:r>
          </w:p>
        </w:tc>
        <w:tc>
          <w:tcPr>
            <w:tcW w:w="8080" w:type="dxa"/>
            <w:vAlign w:val="bottom"/>
            <w:gridSpan w:val="33"/>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A-40</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1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Public Announcements</w:t>
            </w:r>
          </w:p>
        </w:tc>
        <w:tc>
          <w:tcPr>
            <w:tcW w:w="6900" w:type="dxa"/>
            <w:vAlign w:val="bottom"/>
            <w:gridSpan w:val="21"/>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A-42</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Access to Information; Confidentiality</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A-42</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22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and Insurance</w:t>
            </w:r>
          </w:p>
        </w:tc>
        <w:tc>
          <w:tcPr>
            <w:tcW w:w="580" w:type="dxa"/>
            <w:vAlign w:val="bottom"/>
            <w:tcBorders>
              <w:top w:val="single" w:sz="8" w:color="0000EE"/>
            </w:tcBorders>
            <w:gridSpan w:val="3"/>
          </w:tcPr>
          <w:p>
            <w:pPr>
              <w:spacing w:after="0"/>
              <w:rPr>
                <w:sz w:val="17"/>
                <w:szCs w:val="17"/>
                <w:color w:val="auto"/>
              </w:rPr>
            </w:pPr>
          </w:p>
        </w:tc>
        <w:tc>
          <w:tcPr>
            <w:tcW w:w="5800" w:type="dxa"/>
            <w:vAlign w:val="bottom"/>
            <w:gridSpan w:val="12"/>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A-43</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Employee Matters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A-45</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5.08.</w:t>
            </w:r>
          </w:p>
        </w:tc>
        <w:tc>
          <w:tcPr>
            <w:tcW w:w="39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Notification of Certain Matters; Stockholder Litigation</w:t>
            </w:r>
          </w:p>
        </w:tc>
        <w:tc>
          <w:tcPr>
            <w:tcW w:w="4620" w:type="dxa"/>
            <w:vAlign w:val="bottom"/>
            <w:gridSpan w:val="6"/>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31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Merger Sub Expenditures and Distributions</w:t>
            </w:r>
          </w:p>
        </w:tc>
        <w:tc>
          <w:tcPr>
            <w:tcW w:w="5440" w:type="dxa"/>
            <w:vAlign w:val="bottom"/>
            <w:gridSpan w:val="10"/>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Parent Vote</w:t>
            </w:r>
          </w:p>
        </w:tc>
        <w:tc>
          <w:tcPr>
            <w:tcW w:w="7740" w:type="dxa"/>
            <w:vAlign w:val="bottom"/>
            <w:gridSpan w:val="31"/>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5.11.</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Stock Exchange De-listing</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Preparation of the Proxy Statement; Stockholders’ Meeting</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A-47</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42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Section 16 Matters</w:t>
            </w:r>
          </w:p>
        </w:tc>
        <w:tc>
          <w:tcPr>
            <w:tcW w:w="4320" w:type="dxa"/>
            <w:vAlign w:val="bottom"/>
            <w:gridSpan w:val="4"/>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A-48</w:t>
            </w:r>
          </w:p>
        </w:tc>
        <w:tc>
          <w:tcPr>
            <w:tcW w:w="0" w:type="dxa"/>
            <w:vAlign w:val="bottom"/>
          </w:tcPr>
          <w:p>
            <w:pPr>
              <w:spacing w:after="0"/>
              <w:rPr>
                <w:sz w:val="1"/>
                <w:szCs w:val="1"/>
                <w:color w:val="auto"/>
              </w:rPr>
            </w:pPr>
          </w:p>
        </w:tc>
      </w:tr>
      <w:tr>
        <w:trPr>
          <w:trHeight w:val="345"/>
        </w:trPr>
        <w:tc>
          <w:tcPr>
            <w:tcW w:w="18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7"/>
          </w:tcPr>
          <w:p>
            <w:pPr>
              <w:jc w:val="center"/>
              <w:ind w:right="3740"/>
              <w:spacing w:after="0"/>
              <w:rPr>
                <w:sz w:val="20"/>
                <w:szCs w:val="20"/>
                <w:color w:val="auto"/>
              </w:rPr>
            </w:pPr>
            <w:r>
              <w:rPr>
                <w:rFonts w:ascii="Times New Roman" w:cs="Times New Roman" w:eastAsia="Times New Roman" w:hAnsi="Times New Roman"/>
                <w:sz w:val="18"/>
                <w:szCs w:val="18"/>
                <w:color w:val="auto"/>
                <w:w w:val="98"/>
              </w:rPr>
              <w:t>ARTICLE VI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gridSpan w:val="8"/>
          </w:tcPr>
          <w:p>
            <w:pPr>
              <w:jc w:val="center"/>
              <w:ind w:right="3420"/>
              <w:spacing w:after="0"/>
              <w:rPr>
                <w:sz w:val="20"/>
                <w:szCs w:val="20"/>
                <w:color w:val="auto"/>
              </w:rPr>
            </w:pPr>
            <w:r>
              <w:rPr>
                <w:rFonts w:ascii="Times New Roman" w:cs="Times New Roman" w:eastAsia="Times New Roman" w:hAnsi="Times New Roman"/>
                <w:sz w:val="18"/>
                <w:szCs w:val="18"/>
                <w:color w:val="auto"/>
                <w:w w:val="99"/>
              </w:rPr>
              <w:t>Conditions to the Merger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5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Conditions to Each Party’s Obligation To Effect the Merger</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A-48</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428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Conditions to the Obligations of Parent and Merger Sub</w:t>
            </w:r>
          </w:p>
        </w:tc>
        <w:tc>
          <w:tcPr>
            <w:tcW w:w="4300" w:type="dxa"/>
            <w:vAlign w:val="bottom"/>
            <w:gridSpan w:val="3"/>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A-48</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402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Conditions to the Obligations of the Company</w:t>
            </w:r>
          </w:p>
        </w:tc>
        <w:tc>
          <w:tcPr>
            <w:tcW w:w="4560" w:type="dxa"/>
            <w:vAlign w:val="bottom"/>
            <w:gridSpan w:val="5"/>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18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Frustration of Conditions</w:t>
            </w:r>
          </w:p>
        </w:tc>
        <w:tc>
          <w:tcPr>
            <w:tcW w:w="1500" w:type="dxa"/>
            <w:vAlign w:val="bottom"/>
            <w:tcBorders>
              <w:top w:val="single" w:sz="8" w:color="0000EE"/>
            </w:tcBorders>
            <w:gridSpan w:val="12"/>
          </w:tcPr>
          <w:p>
            <w:pPr>
              <w:spacing w:after="0"/>
              <w:rPr>
                <w:sz w:val="17"/>
                <w:szCs w:val="17"/>
                <w:color w:val="auto"/>
              </w:rPr>
            </w:pPr>
          </w:p>
        </w:tc>
        <w:tc>
          <w:tcPr>
            <w:tcW w:w="5260" w:type="dxa"/>
            <w:vAlign w:val="bottom"/>
            <w:gridSpan w:val="8"/>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Waiver of Conditions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345"/>
        </w:trPr>
        <w:tc>
          <w:tcPr>
            <w:tcW w:w="18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7"/>
          </w:tcPr>
          <w:p>
            <w:pPr>
              <w:jc w:val="center"/>
              <w:ind w:right="3720"/>
              <w:spacing w:after="0"/>
              <w:rPr>
                <w:sz w:val="20"/>
                <w:szCs w:val="20"/>
                <w:color w:val="auto"/>
              </w:rPr>
            </w:pPr>
            <w:r>
              <w:rPr>
                <w:rFonts w:ascii="Times New Roman" w:cs="Times New Roman" w:eastAsia="Times New Roman" w:hAnsi="Times New Roman"/>
                <w:sz w:val="18"/>
                <w:szCs w:val="18"/>
                <w:color w:val="auto"/>
                <w:w w:val="98"/>
              </w:rPr>
              <w:t>ARTICLE VII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7"/>
          </w:tcPr>
          <w:p>
            <w:pPr>
              <w:jc w:val="center"/>
              <w:ind w:right="3720"/>
              <w:spacing w:after="0"/>
              <w:rPr>
                <w:sz w:val="20"/>
                <w:szCs w:val="20"/>
                <w:color w:val="auto"/>
              </w:rPr>
            </w:pPr>
            <w:r>
              <w:rPr>
                <w:rFonts w:ascii="Times New Roman" w:cs="Times New Roman" w:eastAsia="Times New Roman" w:hAnsi="Times New Roman"/>
                <w:sz w:val="18"/>
                <w:szCs w:val="18"/>
                <w:color w:val="auto"/>
                <w:w w:val="98"/>
              </w:rPr>
              <w:t>Termination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Termination</w:t>
            </w:r>
          </w:p>
        </w:tc>
        <w:tc>
          <w:tcPr>
            <w:tcW w:w="7700" w:type="dxa"/>
            <w:vAlign w:val="bottom"/>
            <w:gridSpan w:val="30"/>
          </w:tcPr>
          <w:p>
            <w:pPr>
              <w:spacing w:after="0"/>
              <w:rPr>
                <w:sz w:val="24"/>
                <w:szCs w:val="24"/>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1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Termination</w:t>
            </w:r>
          </w:p>
        </w:tc>
        <w:tc>
          <w:tcPr>
            <w:tcW w:w="7020" w:type="dxa"/>
            <w:vAlign w:val="bottom"/>
            <w:gridSpan w:val="23"/>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A-51</w:t>
            </w: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85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Termination Fee</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A-51</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00" w:type="dxa"/>
            <w:vAlign w:val="bottom"/>
            <w:vMerge w:val="restart"/>
          </w:tcPr>
          <w:p>
            <w:pPr>
              <w:jc w:val="center"/>
              <w:ind w:right="3510"/>
              <w:spacing w:after="0"/>
              <w:rPr>
                <w:sz w:val="20"/>
                <w:szCs w:val="20"/>
                <w:color w:val="auto"/>
              </w:rPr>
            </w:pPr>
            <w:r>
              <w:rPr>
                <w:rFonts w:ascii="Times New Roman" w:cs="Times New Roman" w:eastAsia="Times New Roman" w:hAnsi="Times New Roman"/>
                <w:sz w:val="18"/>
                <w:szCs w:val="18"/>
                <w:color w:val="auto"/>
                <w:w w:val="98"/>
              </w:rPr>
              <w:t>ARTICLE VIII</w:t>
            </w: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jc w:val="center"/>
              <w:ind w:right="3490"/>
              <w:spacing w:after="0"/>
              <w:rPr>
                <w:sz w:val="20"/>
                <w:szCs w:val="20"/>
                <w:color w:val="auto"/>
              </w:rPr>
            </w:pPr>
            <w:r>
              <w:rPr>
                <w:rFonts w:ascii="Times New Roman" w:cs="Times New Roman" w:eastAsia="Times New Roman" w:hAnsi="Times New Roman"/>
                <w:sz w:val="18"/>
                <w:szCs w:val="18"/>
                <w:color w:val="auto"/>
                <w:w w:val="99"/>
              </w:rPr>
              <w:t>Miscellaneous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8.01.</w:t>
            </w:r>
          </w:p>
        </w:tc>
        <w:tc>
          <w:tcPr>
            <w:tcW w:w="680" w:type="dxa"/>
            <w:vAlign w:val="bottom"/>
          </w:tcPr>
          <w:p>
            <w:pPr>
              <w:spacing w:after="0"/>
              <w:rPr>
                <w:sz w:val="24"/>
                <w:szCs w:val="24"/>
                <w:color w:val="auto"/>
              </w:rPr>
            </w:pPr>
          </w:p>
        </w:tc>
        <w:tc>
          <w:tcPr>
            <w:tcW w:w="85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 Survival of Representations and Warranties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A-52</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8.02.</w:t>
            </w:r>
          </w:p>
        </w:tc>
        <w:tc>
          <w:tcPr>
            <w:tcW w:w="680" w:type="dxa"/>
            <w:vAlign w:val="bottom"/>
          </w:tcPr>
          <w:p>
            <w:pPr>
              <w:spacing w:after="0"/>
              <w:rPr>
                <w:sz w:val="17"/>
                <w:szCs w:val="17"/>
                <w:color w:val="auto"/>
              </w:rPr>
            </w:pPr>
          </w:p>
        </w:tc>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Amendment or Supplement</w:t>
            </w:r>
          </w:p>
        </w:tc>
        <w:tc>
          <w:tcPr>
            <w:tcW w:w="5200" w:type="dxa"/>
            <w:vAlign w:val="bottom"/>
            <w:gridSpan w:val="2"/>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8.03.</w:t>
            </w:r>
          </w:p>
        </w:tc>
        <w:tc>
          <w:tcPr>
            <w:tcW w:w="680" w:type="dxa"/>
            <w:vAlign w:val="bottom"/>
          </w:tcPr>
          <w:p>
            <w:pPr>
              <w:spacing w:after="0"/>
              <w:rPr>
                <w:sz w:val="17"/>
                <w:szCs w:val="17"/>
                <w:color w:val="auto"/>
              </w:rPr>
            </w:pPr>
          </w:p>
        </w:tc>
        <w:tc>
          <w:tcPr>
            <w:tcW w:w="2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Extension of Time, Waiver, etc.</w:t>
            </w:r>
          </w:p>
        </w:tc>
        <w:tc>
          <w:tcPr>
            <w:tcW w:w="6300" w:type="dxa"/>
            <w:vAlign w:val="bottom"/>
            <w:gridSpan w:val="3"/>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A-52</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8.04.</w:t>
            </w:r>
          </w:p>
        </w:tc>
        <w:tc>
          <w:tcPr>
            <w:tcW w:w="68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Assignment</w:t>
            </w:r>
          </w:p>
        </w:tc>
        <w:tc>
          <w:tcPr>
            <w:tcW w:w="7660" w:type="dxa"/>
            <w:vAlign w:val="bottom"/>
            <w:gridSpan w:val="12"/>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A-53</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8.05.</w:t>
            </w:r>
          </w:p>
        </w:tc>
        <w:tc>
          <w:tcPr>
            <w:tcW w:w="680" w:type="dxa"/>
            <w:vAlign w:val="bottom"/>
          </w:tcPr>
          <w:p>
            <w:pPr>
              <w:spacing w:after="0"/>
              <w:rPr>
                <w:sz w:val="17"/>
                <w:szCs w:val="17"/>
                <w:color w:val="auto"/>
              </w:rPr>
            </w:pPr>
          </w:p>
        </w:tc>
        <w:tc>
          <w:tcPr>
            <w:tcW w:w="8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Counterparts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8.06.</w:t>
            </w:r>
          </w:p>
        </w:tc>
        <w:tc>
          <w:tcPr>
            <w:tcW w:w="680" w:type="dxa"/>
            <w:vAlign w:val="bottom"/>
          </w:tcPr>
          <w:p>
            <w:pPr>
              <w:spacing w:after="0"/>
              <w:rPr>
                <w:sz w:val="17"/>
                <w:szCs w:val="17"/>
                <w:color w:val="auto"/>
              </w:rPr>
            </w:pPr>
          </w:p>
        </w:tc>
        <w:tc>
          <w:tcPr>
            <w:tcW w:w="3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Entire Agreement; No Third-Party Beneficiaries</w:t>
            </w:r>
          </w:p>
        </w:tc>
        <w:tc>
          <w:tcPr>
            <w:tcW w:w="510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A-53</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8.07.</w:t>
            </w:r>
          </w:p>
        </w:tc>
        <w:tc>
          <w:tcPr>
            <w:tcW w:w="680" w:type="dxa"/>
            <w:vAlign w:val="bottom"/>
          </w:tcPr>
          <w:p>
            <w:pPr>
              <w:spacing w:after="0"/>
              <w:rPr>
                <w:sz w:val="17"/>
                <w:szCs w:val="17"/>
                <w:color w:val="auto"/>
              </w:rPr>
            </w:pPr>
          </w:p>
        </w:tc>
        <w:tc>
          <w:tcPr>
            <w:tcW w:w="8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Governing Law; Jurisdiction</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A-54</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8.08.</w:t>
            </w:r>
          </w:p>
        </w:tc>
        <w:tc>
          <w:tcPr>
            <w:tcW w:w="680" w:type="dxa"/>
            <w:vAlign w:val="bottom"/>
          </w:tcPr>
          <w:p>
            <w:pPr>
              <w:spacing w:after="0"/>
              <w:rPr>
                <w:sz w:val="17"/>
                <w:szCs w:val="17"/>
                <w:color w:val="auto"/>
              </w:rPr>
            </w:pPr>
          </w:p>
        </w:tc>
        <w:tc>
          <w:tcPr>
            <w:tcW w:w="20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Specific Enforcement</w:t>
            </w:r>
          </w:p>
        </w:tc>
        <w:tc>
          <w:tcPr>
            <w:tcW w:w="6520" w:type="dxa"/>
            <w:vAlign w:val="bottom"/>
            <w:gridSpan w:val="4"/>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8.09.</w:t>
            </w:r>
          </w:p>
        </w:tc>
        <w:tc>
          <w:tcPr>
            <w:tcW w:w="68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WAIVER OF JURY TRIAL</w:t>
            </w:r>
          </w:p>
        </w:tc>
        <w:tc>
          <w:tcPr>
            <w:tcW w:w="6540" w:type="dxa"/>
            <w:vAlign w:val="bottom"/>
            <w:gridSpan w:val="5"/>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8.10.</w:t>
            </w:r>
          </w:p>
        </w:tc>
        <w:tc>
          <w:tcPr>
            <w:tcW w:w="680" w:type="dxa"/>
            <w:vAlign w:val="bottom"/>
          </w:tcPr>
          <w:p>
            <w:pPr>
              <w:spacing w:after="0"/>
              <w:rPr>
                <w:sz w:val="17"/>
                <w:szCs w:val="17"/>
                <w:color w:val="auto"/>
              </w:rPr>
            </w:pPr>
          </w:p>
        </w:tc>
        <w:tc>
          <w:tcPr>
            <w:tcW w:w="8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Notices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8.11.</w:t>
            </w:r>
          </w:p>
        </w:tc>
        <w:tc>
          <w:tcPr>
            <w:tcW w:w="680" w:type="dxa"/>
            <w:vAlign w:val="bottom"/>
          </w:tcPr>
          <w:p>
            <w:pPr>
              <w:spacing w:after="0"/>
              <w:rPr>
                <w:sz w:val="17"/>
                <w:szCs w:val="17"/>
                <w:color w:val="auto"/>
              </w:rPr>
            </w:pPr>
          </w:p>
        </w:tc>
        <w:tc>
          <w:tcPr>
            <w:tcW w:w="8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Severability</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8.12.</w:t>
            </w:r>
          </w:p>
        </w:tc>
        <w:tc>
          <w:tcPr>
            <w:tcW w:w="680" w:type="dxa"/>
            <w:vAlign w:val="bottom"/>
          </w:tcPr>
          <w:p>
            <w:pPr>
              <w:spacing w:after="0"/>
              <w:rPr>
                <w:sz w:val="17"/>
                <w:szCs w:val="17"/>
                <w:color w:val="auto"/>
              </w:rPr>
            </w:pPr>
          </w:p>
        </w:tc>
        <w:tc>
          <w:tcPr>
            <w:tcW w:w="9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Definitions</w:t>
            </w:r>
          </w:p>
        </w:tc>
        <w:tc>
          <w:tcPr>
            <w:tcW w:w="7660" w:type="dxa"/>
            <w:vAlign w:val="bottom"/>
            <w:gridSpan w:val="12"/>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8.13.</w:t>
            </w:r>
          </w:p>
        </w:tc>
        <w:tc>
          <w:tcPr>
            <w:tcW w:w="68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Fees and Expenses</w:t>
            </w:r>
          </w:p>
        </w:tc>
        <w:tc>
          <w:tcPr>
            <w:tcW w:w="7220" w:type="dxa"/>
            <w:vAlign w:val="bottom"/>
            <w:gridSpan w:val="9"/>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A-65</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8.14.</w:t>
            </w:r>
          </w:p>
        </w:tc>
        <w:tc>
          <w:tcPr>
            <w:tcW w:w="680" w:type="dxa"/>
            <w:vAlign w:val="bottom"/>
          </w:tcPr>
          <w:p>
            <w:pPr>
              <w:spacing w:after="0"/>
              <w:rPr>
                <w:sz w:val="17"/>
                <w:szCs w:val="17"/>
                <w:color w:val="auto"/>
              </w:rPr>
            </w:pPr>
          </w:p>
        </w:tc>
        <w:tc>
          <w:tcPr>
            <w:tcW w:w="8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Transfer Taxes</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A-65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8.15.</w:t>
            </w:r>
          </w:p>
        </w:tc>
        <w:tc>
          <w:tcPr>
            <w:tcW w:w="68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Performance Guaranty</w:t>
            </w:r>
          </w:p>
        </w:tc>
        <w:tc>
          <w:tcPr>
            <w:tcW w:w="6940" w:type="dxa"/>
            <w:vAlign w:val="bottom"/>
            <w:gridSpan w:val="7"/>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A-65</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8.16.</w:t>
            </w:r>
          </w:p>
        </w:tc>
        <w:tc>
          <w:tcPr>
            <w:tcW w:w="680" w:type="dxa"/>
            <w:vAlign w:val="bottom"/>
          </w:tcPr>
          <w:p>
            <w:pPr>
              <w:spacing w:after="0"/>
              <w:rPr>
                <w:sz w:val="17"/>
                <w:szCs w:val="17"/>
                <w:color w:val="auto"/>
              </w:rPr>
            </w:pPr>
          </w:p>
        </w:tc>
        <w:tc>
          <w:tcPr>
            <w:tcW w:w="8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Interpretation</w:t>
            </w:r>
          </w:p>
        </w:tc>
        <w:tc>
          <w:tcPr>
            <w:tcW w:w="5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1"/>
              </w:rPr>
              <w:t>A-65</w:t>
            </w:r>
          </w:p>
        </w:tc>
        <w:tc>
          <w:tcPr>
            <w:tcW w:w="0" w:type="dxa"/>
            <w:vAlign w:val="bottom"/>
          </w:tcPr>
          <w:p>
            <w:pPr>
              <w:spacing w:after="0"/>
              <w:rPr>
                <w:sz w:val="1"/>
                <w:szCs w:val="1"/>
                <w:color w:val="auto"/>
              </w:rPr>
            </w:pPr>
          </w:p>
        </w:tc>
      </w:tr>
      <w:tr>
        <w:trPr>
          <w:trHeight w:val="561"/>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26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Form of Certificate of Incorporation of the Surviving Corporation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A-iii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dated as of March 9,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Universal Health Services,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UHS Merger Subsidiary, Inc., a Delaware corporation and an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Talkspace,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WHEREAS, the parties intend that, upon the terms and subject to the conditions set forth in this Agreement and in accordance with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an indirect wholly owned Subsidiary of Parent, and pursuant to the Merger each share of the common stock, par value $0.0001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(other than (i) shares of Company Common Stock canceled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(ii) Appraisal Shares, which shall be treated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will be converted into the right to receive the Merger Consideration;</w:t>
      </w:r>
    </w:p>
    <w:p>
      <w:pPr>
        <w:spacing w:after="0" w:line="183"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WHEREAS, the Board of Directors of the Company, at a meeting duly called and held, has unanimously (i) determined that it is advisable and fair to, and in the best interests of, the Company and the stockholders of the Company, and declared it advisable, that the Company enter into this Agreement and consummate the transactions contemplated hereby, (ii) adopted resolutions approving and declaring the advisability of this Agreement and the consummation of the transactions contemplated hereby, including the Merger, (iii) adopted resolutions recommending that the stockholders of the Company entitled to vote adopt this Agreement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and (iv) directed that this Agreement and the transactions contemplated hereby be submitted to the stockholders of the Company entitled to vote for adoption and approval;</w:t>
      </w:r>
    </w:p>
    <w:p>
      <w:pPr>
        <w:spacing w:after="0" w:line="187"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has unanimously duly authorized and approved the execution, delivery and performance by Parent of this Agreement and the consummation by Parent of the Transactions;</w:t>
      </w:r>
    </w:p>
    <w:p>
      <w:pPr>
        <w:spacing w:after="0" w:line="162"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Merger Sub has unanimously (i) determined that it is advisable and fair to, and in the best interests of, Merger Sub and the stockholders of Merger Sub, and declared it advisable, that Merger Sub enter into this Agreement and consummate the Transactions, (ii) adopted resolutions approving and declaring the advisability of this Agreement and the consummation of the Transactions, including the Merger, (iii) adopted resolutions recommending that the stockholders of Merger Sub entitled to vote adopt this Agreement and (iv) directed that this Agreement and the Transactions be submitted to the stockholders of Merger Sub entitled to vote for adoption;</w:t>
      </w:r>
    </w:p>
    <w:p>
      <w:pPr>
        <w:spacing w:after="0" w:line="183"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WHEREAS, Parent, in its capacity as sole stockholder of Merger Sub, will approve and adopt this Agreement and the consummation by Merger Sub of the Transactions by written consent immediately following the execution of this Agreement;</w:t>
      </w:r>
    </w:p>
    <w:p>
      <w:pPr>
        <w:spacing w:after="0" w:line="162" w:lineRule="exact"/>
        <w:rPr>
          <w:sz w:val="20"/>
          <w:szCs w:val="20"/>
          <w:color w:val="auto"/>
        </w:rPr>
      </w:pPr>
    </w:p>
    <w:p>
      <w:pPr>
        <w:ind w:left="120" w:right="56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Parent and Merger Sub desire to make certain representations, warranties, covenants and agreements in connection with this Agreement; and</w:t>
      </w:r>
    </w:p>
    <w:p>
      <w:pPr>
        <w:spacing w:after="0" w:line="162"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and Merger Sub’s willingness to enter into this Agreement, certain stockholders of the Company are entering into voting agreements with Parent (the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pursuant to which each such stockholder has agreed, among other things, to vote or cause to be voted the shares of Company Common Stock held by such stockholder or any of such stockholder’s Affiliates in favor of adoption of this Agreement and approval of the Merger and any other actions contemplated by this Agreement in respect of which approval of the stockholders of the Company is sought.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intending to be legally bound hereby, the Company, Parent and Merger Sub hereby agree as follows:</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225"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and in accordance with the provisions of the DGCL, at the Effective Time, Merger Sub shall be merged with and into the Company, the separate corporate existence of Merger Sub shall thereupon cease, and the Company shall be the surviving corporation in the Merger. The Company, as the surviving corporation after the Merger, is hereinafter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3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(New York City time) on the second Business Day following the satisfaction or waiver (to the extent such waiver is permitted by applicable Law)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at the Closing), at the offices of Cravath, Swaine &amp; Moore LLP, Two Manhattan West, 375 Ninth Avenue, New York, New York 10001 or remotely by exchange of documents and signatures (or their electronic counterparts), unless another date, time or place is agreed to in writing by Parent and the Company. The date on which the Closing occurs is herein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 as soon as practicable on the Closing Date, the parties hereto shall cause the Merger to be consummated by filing a certificate of merger executed in accordance with, and in such form as is reasonably acceptable to Parent and required by,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shall make all other filings, recordings or publications required under the DGCL in connection with the Merger. The Merger shall become effective at the time that the Certificate of Merger is filed with the Secretary of State of the State of Delaware (the “</w:t>
      </w:r>
      <w:r>
        <w:rPr>
          <w:rFonts w:ascii="Times New Roman" w:cs="Times New Roman" w:eastAsia="Times New Roman" w:hAnsi="Times New Roman"/>
          <w:sz w:val="18"/>
          <w:szCs w:val="18"/>
          <w:u w:val="single" w:color="auto"/>
          <w:color w:val="auto"/>
        </w:rPr>
        <w:t>Secretary of State of Delaware</w:t>
      </w:r>
      <w:r>
        <w:rPr>
          <w:rFonts w:ascii="Times New Roman" w:cs="Times New Roman" w:eastAsia="Times New Roman" w:hAnsi="Times New Roman"/>
          <w:sz w:val="18"/>
          <w:szCs w:val="18"/>
          <w:color w:val="auto"/>
        </w:rPr>
        <w:t>”) or, to the extent permitted by applicable Law, at such later time as is agreed to by the parties hereto in writing prior to the filing of such Certificate of Merger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provided in this Agreement and as set forth in the applicable provisions, including Section 259, of the DGCL.</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Certificate of Incorporation and Bylaws of the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8" w:lineRule="auto"/>
        <w:tabs>
          <w:tab w:leader="none" w:pos="135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Parent, Merger Sub, the Company or any holder of any securities of Company, Parent or Merger Sub, the certificate of incorporation of the Company as in effect immediately prior to the Effective Time shall be amended and restated to read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as so amended and restated shall be the certificate of incorporation of the Surviving Corporation, until thereafter amended in accordance with applicable Law and the certificate of incorporation and bylaws of the Surviving Corporation (and subject to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280" w:firstLine="987"/>
        <w:spacing w:after="0" w:line="261" w:lineRule="auto"/>
        <w:tabs>
          <w:tab w:leader="none" w:pos="136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Parent, Merger Sub, the Company or any other Person, the bylaws of Merger Sub as in effect immediately prior to the Effective Time shall be the bylaws of the Surviving Corporation, except that references to Merger Sub’s name shall be replaced with references to the Surviving Corporation’s name, until thereafter amended in accordance with applicable Law and the certificate of incorporation and bylaws of the Surviving Corporation (and subject to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1" w:lineRule="auto"/>
        <w:tabs>
          <w:tab w:leader="none" w:pos="135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Merger and without any action on the part of Parent, Merger Sub, the Company or any other Person, the directors of Merger Sub immediately prior to the Effective Time shall be the directors of the Surviving Corporation immediately following the Effective Time, until their respective successors are duly elected or appointed and qualified or their earlier death, resignation or removal in accordance with the certificate of incorporation and bylaws of the Surviving Corporation.</w:t>
      </w:r>
    </w:p>
    <w:p>
      <w:pPr>
        <w:spacing w:after="0" w:line="179" w:lineRule="exact"/>
        <w:rPr>
          <w:rFonts w:ascii="Times New Roman" w:cs="Times New Roman" w:eastAsia="Times New Roman" w:hAnsi="Times New Roman"/>
          <w:sz w:val="18"/>
          <w:szCs w:val="18"/>
          <w:color w:val="auto"/>
        </w:rPr>
      </w:pPr>
    </w:p>
    <w:p>
      <w:pPr>
        <w:ind w:left="120" w:right="300" w:firstLine="987"/>
        <w:spacing w:after="0" w:line="261" w:lineRule="auto"/>
        <w:tabs>
          <w:tab w:leader="none" w:pos="1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Merger and without any action on the part of Parent, Merger Sub, the Company or any other Person, the officers of Merger Sub immediately prior to the Effective Time shall be the officers of the Surviving Corporation until their respective successors are duly appointed and qualified or their earlier death, resignation or removal in accordance with the certificate of incorporation and bylaws of the Surviving Corporation.</w:t>
      </w: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u w:val="single" w:color="auto"/>
          <w:color w:val="auto"/>
        </w:rPr>
        <w:t>Effect of the Merger on Capital Stock; Exchange of Certificates;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Equity-Based Incentive Awards; Company Warrants</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 At the Effective Time, by virtue of the Merger and without any action on the part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Parent, Merger Sub or any holder of any securities of Company, Parent or Merger Sub:</w:t>
      </w:r>
    </w:p>
    <w:p>
      <w:pPr>
        <w:spacing w:after="0" w:line="99" w:lineRule="exact"/>
        <w:rPr>
          <w:sz w:val="20"/>
          <w:szCs w:val="20"/>
          <w:color w:val="auto"/>
        </w:rPr>
      </w:pPr>
    </w:p>
    <w:p>
      <w:pPr>
        <w:jc w:val="both"/>
        <w:ind w:left="120" w:right="660" w:firstLine="987"/>
        <w:spacing w:after="0" w:line="266" w:lineRule="auto"/>
        <w:tabs>
          <w:tab w:leader="none" w:pos="135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Shares of Merger Sub</w:t>
      </w:r>
      <w:r>
        <w:rPr>
          <w:rFonts w:ascii="Times New Roman" w:cs="Times New Roman" w:eastAsia="Times New Roman" w:hAnsi="Times New Roman"/>
          <w:sz w:val="18"/>
          <w:szCs w:val="18"/>
          <w:color w:val="auto"/>
        </w:rPr>
        <w:t>. Each issued and outstanding share of capital stock of Merger Sub as of immediately prior to the Effective Time shall be converted into and become one validly issued, fully paid and nonassessable share of common stock, no par value, of the Surviving Corporation.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Cancelation of Certain Shares</w:t>
      </w:r>
      <w:r>
        <w:rPr>
          <w:rFonts w:ascii="Times New Roman" w:cs="Times New Roman" w:eastAsia="Times New Roman" w:hAnsi="Times New Roman"/>
          <w:sz w:val="18"/>
          <w:szCs w:val="18"/>
          <w:color w:val="auto"/>
        </w:rPr>
        <w:t>. All shares of Company Common Stock that are owned by the Company immediately prior to the Effective Time shall be canceled and shall cease to exist and no consideration shall be delivered in exchange therefor. All shares of Company Common Stock then held by Parent or Merger Sub shall be canceled and shall cease to exist and no consideration shall be delivered in exchange therefor. Each share of Company Common Stock bearing a legend that such share is subject to forfeiture that is, or has been, forfeited pursuant to Section 1.9(c) of the Sponsor Support Agreement shall automatically be cancelled and shall cease to exist and no consideration shall be delivered in exchange therefor.</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xml:space="preserve">. Each issued and outstanding share of Company Common Stock as of immediately prior to the Effective Time (other than (i) shares of Company Common Stock to be canceled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(ii) Appraisal Shares, which shall be treated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shall be converted automatically into and shall thereafter represent only the right to receive an amount in cash equal to $5.25 per share,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As of the Effective Time, all such shares of Company Common Stock shall no longer be outstanding and shall automatically be canceled and shall cease to exist, and each holder of a certificate which immediately prior to the Effective Time represented any such shares of Company Common Stock (each, a “</w:t>
      </w:r>
      <w:r>
        <w:rPr>
          <w:rFonts w:ascii="Times New Roman" w:cs="Times New Roman" w:eastAsia="Times New Roman" w:hAnsi="Times New Roman"/>
          <w:sz w:val="18"/>
          <w:szCs w:val="18"/>
          <w:u w:val="single" w:color="auto"/>
          <w:color w:val="auto"/>
        </w:rPr>
        <w:t>Share Certificate</w:t>
      </w:r>
      <w:r>
        <w:rPr>
          <w:rFonts w:ascii="Times New Roman" w:cs="Times New Roman" w:eastAsia="Times New Roman" w:hAnsi="Times New Roman"/>
          <w:sz w:val="18"/>
          <w:szCs w:val="18"/>
          <w:color w:val="auto"/>
        </w:rPr>
        <w:t>”) or non-certificated shares of Company Common Stock held in book-entry form (each, a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shall cease to have any rights with respect thereto, except the right to receive the Merger Consideration to be paid in consideration therefor and in accordance herewith.</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Exchange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6" w:lineRule="auto"/>
        <w:tabs>
          <w:tab w:leader="none" w:pos="135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Closing Date, Parent shall designate a bank or trust company reasonably acceptable to the Company to act as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for the payment of the Merger Consideration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therewith, prior to the Closing Date shall enter into 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agreement with the Paying Agent in a form reasonably acceptable to Parent and the Company. At or prior to the Effective Time, Parent shall deposit or cause to be deposited with the Paying Agent an amount in cash sufficient to pay the aggregate Merger Consideration (other than any amounts payable in respect of each Equity-Based Award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(such cash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Pending its disbursement in accordance with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the Exchange Fund shall be invested by the Paying Agent as directed by Parent in (i) short-term direct obligations of the United States of America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(ii) short-term obligations for which the full faith and credit of the U.S.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Parent shall or shall cause the Surviving Corporation to promptly replace or restore the cash in the Exchange Fund so as to ensure that the Exchange Fund is at all times maintained at a level sufficient for the Paying Agent to make all payments of Merger Consideration in accordance herewith. No investment losses resulting from investment of the funds deposited with the Paying Agent shall diminish the rights of any holder of shares of Company Common Stock to receive the Merger Consideration as provided herein. Earnings on investments of the funds deposited with the Paying Agent shall be the sole and exclusive property of the Surviving Corporation, and no part of such earnings shall accrue to the benefit of holders of shares of Company Common Stock.</w:t>
      </w:r>
    </w:p>
    <w:p>
      <w:pPr>
        <w:spacing w:after="0" w:line="187" w:lineRule="exact"/>
        <w:rPr>
          <w:sz w:val="20"/>
          <w:szCs w:val="20"/>
          <w:color w:val="auto"/>
        </w:rPr>
      </w:pPr>
    </w:p>
    <w:p>
      <w:pPr>
        <w:ind w:left="1360" w:hanging="253"/>
        <w:spacing w:after="0"/>
        <w:tabs>
          <w:tab w:leader="none" w:pos="13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20" w:firstLine="419"/>
        <w:spacing w:after="0" w:line="270" w:lineRule="auto"/>
        <w:tabs>
          <w:tab w:leader="none" w:pos="119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after the Effective Time (but in no event more than three Business Days thereafter), Parent and the Surviving Corporation shall cause the Paying Agent to mail to each Person who was, at the Effective Time, a holder of a Share Certificate or Book-Entry Shares not held, directly or indirectly, through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xml:space="preserve">”) (other than a Share Certificate or Book-Entry Shares representing (A) shares of Company Common Stock to be canceled in accordance with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 xml:space="preserve"> or (B) Appraisal Shares, which shall be treated in accordance with </w:t>
      </w:r>
      <w:r>
        <w:rPr>
          <w:rFonts w:ascii="Times New Roman" w:cs="Times New Roman" w:eastAsia="Times New Roman" w:hAnsi="Times New Roman"/>
          <w:sz w:val="17"/>
          <w:szCs w:val="17"/>
          <w:u w:val="single" w:color="auto"/>
          <w:color w:val="auto"/>
        </w:rPr>
        <w:t>Section 2.08)</w:t>
      </w:r>
      <w:r>
        <w:rPr>
          <w:rFonts w:ascii="Times New Roman" w:cs="Times New Roman" w:eastAsia="Times New Roman" w:hAnsi="Times New Roman"/>
          <w:sz w:val="17"/>
          <w:szCs w:val="17"/>
          <w:color w:val="auto"/>
        </w:rPr>
        <w:t xml:space="preserve"> (x) a letter of transmittal (which shall specify that delivery shall be effected, and risk of loss and title to such Share Certificates or such Book-Entry Shares, as applicable, shall pass, only upon delivery of such Share Certificates (or affidavits in lieu thereof in accordance with </w:t>
      </w:r>
      <w:r>
        <w:rPr>
          <w:rFonts w:ascii="Times New Roman" w:cs="Times New Roman" w:eastAsia="Times New Roman" w:hAnsi="Times New Roman"/>
          <w:sz w:val="17"/>
          <w:szCs w:val="17"/>
          <w:u w:val="single" w:color="auto"/>
          <w:color w:val="auto"/>
        </w:rPr>
        <w:t>Section 2.02(d)</w:t>
      </w:r>
      <w:r>
        <w:rPr>
          <w:rFonts w:ascii="Times New Roman" w:cs="Times New Roman" w:eastAsia="Times New Roman" w:hAnsi="Times New Roman"/>
          <w:sz w:val="17"/>
          <w:szCs w:val="17"/>
          <w:color w:val="auto"/>
        </w:rPr>
        <w:t xml:space="preserve">) to the Paying Agent or, in the case of such Book-Entry Shares, upon adherence to the procedures set forth in the letter of transmittal, and which shall be in such form and shall have such other customary provisions as Parent and the Company may reasonably agree prior to the Closing Date) and (y) instructions for use in effecting the surrender of such Share Certificates or such Book-Entry Shares to the Paying Agent, as applicable, in exchange for payment of the Merger Consideration as provided in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ind w:left="560" w:firstLine="419"/>
        <w:spacing w:after="0" w:line="253" w:lineRule="auto"/>
        <w:tabs>
          <w:tab w:leader="none" w:pos="12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of a letter of transmittal, duly completed and validly executed in accordance with such letter’s instructions (and such other customary documents as may reasonably be required by the Paying Agent), and either (A) surrender to the Paying Agent of Share Certificates (or affidavits in lieu thereof in accordance with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or (B) transfer of Book-Entry Shares not held through DTC, by book receipt of an “agent’s message” in customary form by the Paying Agent in connection with the surrender of Book-Entry Shares (or such other reasonable evidence, if any, of surrender with respect to such Book-Entry Shares as the Paying Agent may reasonably request), in each case as contemplated in </w:t>
      </w:r>
      <w:r>
        <w:rPr>
          <w:rFonts w:ascii="Times New Roman" w:cs="Times New Roman" w:eastAsia="Times New Roman" w:hAnsi="Times New Roman"/>
          <w:sz w:val="18"/>
          <w:szCs w:val="18"/>
          <w:u w:val="single" w:color="auto"/>
          <w:color w:val="auto"/>
        </w:rPr>
        <w:t>subsection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the holder of such Share Certificates or Book-Entry Shares shall be entitled to receive in exchange therefor the Merger Consideration for each share of Company Common Stock formerly represented by such Share Certificates or Book-Entry Shares, and the Share Certificates or Book-Entry Shares so surrendered shall forthwith be canceled. Until surrendered as contemplated by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Share Certificate or Book-Entry Share shall be deemed at any time after the Effective Time to represent only the right to receive the Merger Consideration as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560" w:right="300" w:firstLine="419"/>
        <w:spacing w:after="0" w:line="289" w:lineRule="auto"/>
        <w:tabs>
          <w:tab w:leader="none" w:pos="129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Persons who were, at the Effective Time, holders of Book-Entry Shares (other than (i) shares of Company Common Stock to be canceled in accordance with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 xml:space="preserve"> or (ii) Appraisal Shares, which shall be treated in accordance with </w:t>
      </w:r>
      <w:r>
        <w:rPr>
          <w:rFonts w:ascii="Times New Roman" w:cs="Times New Roman" w:eastAsia="Times New Roman" w:hAnsi="Times New Roman"/>
          <w:sz w:val="17"/>
          <w:szCs w:val="17"/>
          <w:u w:val="single" w:color="auto"/>
          <w:color w:val="auto"/>
        </w:rPr>
        <w:t>Section 2.08</w:t>
      </w:r>
      <w:r>
        <w:rPr>
          <w:rFonts w:ascii="Times New Roman" w:cs="Times New Roman" w:eastAsia="Times New Roman" w:hAnsi="Times New Roman"/>
          <w:sz w:val="17"/>
          <w:szCs w:val="17"/>
          <w:color w:val="auto"/>
        </w:rPr>
        <w:t>) held, directly or indirectly, through DTC shall not be required to deliver a Share Certificate or an executed letter of transmittal to the Paying Agent to receive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 xml:space="preserve">the Merger Consideration that such holder is entitled to receive pursuant to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 respect to such Book-Entry Shares held, directly or indirectly, through DTC, Parent and the Company shall cooperate to establish procedures with the Paying Agent, DTC, DTC’s nominees and such other necessary third-party intermediaries to ensure that the Paying Agent will transmit to DTC or its nominees as promptly as practicable after the Effective Time, upon surrender of Book-Entry Shares held of record by DTC or its nominees in accordance with DTC’s customary surrender procedures and such other procedures as agreed by Parent, the Company, the Paying Agent, DTC, DTC’s nominees and such other necessary third-party intermediaries, the aggregate Merger Consideration to which the beneficial owners thereof are entitled to receive as a result of the Merger pursuant to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60" w:right="20" w:firstLine="419"/>
        <w:spacing w:after="0" w:line="256" w:lineRule="auto"/>
        <w:tabs>
          <w:tab w:leader="none" w:pos="128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 of the Merger Consideration is to be made to a Person other than the Person in whose name the surrendered Share Certificate is registered, Parent may cause the Paying Agent to pay the Merger Consideration to such Person only if such Share Certificate (if applicable) is presented to the Paying Agent, accompanied by all documents required to evidence and effect such transfer and to evidence to the reasonable satisfaction of the Paying Agent that any applicable stock transfer or similar Taxes have been paid or are not applicable. Payment of the Merger Consideration with respect to Book-Entry Shares shall only be made to the Person in whose name such Book-Entry Shares are registered in the stock transfer records of the Company.</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w:t>
      </w:r>
      <w:r>
        <w:rPr>
          <w:rFonts w:ascii="Times New Roman" w:cs="Times New Roman" w:eastAsia="Times New Roman" w:hAnsi="Times New Roman"/>
          <w:sz w:val="18"/>
          <w:szCs w:val="18"/>
          <w:color w:val="auto"/>
        </w:rPr>
        <w:t xml:space="preserve">. The Merger Consideration paid in respect of the shares of Company Common Stock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paid in full satisfaction of all ownership rights in such common stock, and at the Effective Time, the transfer books of the Company shall be closed and thereafter there shall be no further registration of transfers on the transfer books of the Surviving Corporation of the shares of Company Common Stock that were outstanding immediately prior to the Effective Time. From and after the Effective Time, the holders of the shares of Company Common Stock outstanding immediately prior to the Effective Time shall cease to have any rights with respect to such shares except as otherwise provided for herein or by applicable Law. Subject to the last sentence of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if, at any time after the Effective Time, Share Certificates or Book-Entry Shares are presented to the Surviving Corporation, for any reason, they shall be canceled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Share Certificate shall have been lost, stolen or destroyed, upon the making of an affidavit of that fact by the Person claiming such Share Certificate to be lost, stolen or destroyed and, if required by the Surviving Corporation, the posting by such Person of a bond, in such reasonable amount as Parent may direct, as indemnity against any claim that may be made against Parent with respect to such Share Certificate, the Paying Agent will pay, in exchange for such lost, stolen or destroyed Share Certificate, the applicable Merger Consideration to be paid in respect of the shares of Company Common Stock formerly represented by such Share Certificate as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Exchange Fund</w:t>
      </w:r>
      <w:r>
        <w:rPr>
          <w:rFonts w:ascii="Times New Roman" w:cs="Times New Roman" w:eastAsia="Times New Roman" w:hAnsi="Times New Roman"/>
          <w:sz w:val="17"/>
          <w:szCs w:val="17"/>
          <w:color w:val="auto"/>
        </w:rPr>
        <w:t>. At any time following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anniversary of the Closing Date, the Surviving Corporation shall be entitled to require the Paying Agent to deliver to the Surviving Corporation (or its designee) any portion of the Exchange Fund (including any interest received with respect thereto) which has not been disbursed to holders of Share Certificates or Book-Entry Shares, and thereafter such holders who have not heretofore complied with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shall be entitled to look only to Parent and the Surviving Corporation, as applicable, for, and Parent and the Surviving Corporation shall remain liable for, payment of such holders’ claims for the Merger Consideration pursuant to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Any amounts remaining unclaimed by such holders at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 Any portion of the Merger Consideration deposited with the Paying Agent for disbursement pursuant to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for which appraisal rights have been perfected shall be returned to the Surviving Corporation or Parent upon demand.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87"/>
        <w:spacing w:after="0" w:line="266" w:lineRule="auto"/>
        <w:tabs>
          <w:tab w:leader="none" w:pos="13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Notwithstanding any provision of this Agreement to the contrary, none of the parties hereto, the Surviving Corporation or the Paying Agent shall be liable to any Person for Merger Consideration properly delivered to a public official pursuant to any applicable state, federal or other abandoned property, escheat or similar Law.</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Parent, Merger Sub, the Company, the Surviving Corporation, the Paying Agent and their respective Affiliates shall be entitled to deduct and withhold (or cause to be deducted and withheld) from any amounts otherwise payable pursuant to this Agreement such amounts as are required to be deducted or withheld under applicable Tax Law. If any of Parent, Merger Sub, the Company, the Surviving Corporation, the Paying Agent or their respective Affiliates determines that it is required to deduct and withhold any amount payable pursuant to this Agreement, then, except with respect to the payment of wages or other amounts treated as employee compensation, it shall use reasonable best efforts to (i) provide a notice to such Person in respect of which such deduction and withholding is required to be made setting forth the amount of the anticipated deduction and withholding and (ii) cooperate with such Person in good faith to minimize the amount of deduction and withholding. To the extent that amounts are so deducted or withheld and paid over to the relevant Governmental Authority, such amounts shall be treated for all purposes of this Agreement as having been paid to the Person in respect of which such deduction or withholding was made. Notwithstanding anything to the contrary herein, any compensatory amounts subject to payroll reporting and withholding that are payable pursuant to or as contemplated by this Agreement shall be payable in accordance with the applicable payroll procedures of the Company.</w:t>
      </w:r>
    </w:p>
    <w:p>
      <w:pPr>
        <w:spacing w:after="0" w:line="192" w:lineRule="exact"/>
        <w:rPr>
          <w:sz w:val="20"/>
          <w:szCs w:val="20"/>
          <w:color w:val="auto"/>
        </w:rPr>
      </w:pPr>
    </w:p>
    <w:p>
      <w:pPr>
        <w:jc w:val="both"/>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Treatment of Equity-Based Incentive Awards</w:t>
      </w:r>
      <w:r>
        <w:rPr>
          <w:rFonts w:ascii="Times New Roman" w:cs="Times New Roman" w:eastAsia="Times New Roman" w:hAnsi="Times New Roman"/>
          <w:sz w:val="18"/>
          <w:szCs w:val="18"/>
          <w:color w:val="auto"/>
        </w:rPr>
        <w:t>. Prior to the Effective Time, the Board of Directors of the Company (or, if appropriate, any duly authorized committee thereof administering the Equity Plans) shall adopt such resolutions and take such other actions as may be required to provide for the following:</w:t>
      </w:r>
    </w:p>
    <w:p>
      <w:pPr>
        <w:spacing w:after="0" w:line="68" w:lineRule="exact"/>
        <w:rPr>
          <w:sz w:val="20"/>
          <w:szCs w:val="20"/>
          <w:color w:val="auto"/>
        </w:rPr>
      </w:pPr>
    </w:p>
    <w:p>
      <w:pPr>
        <w:ind w:left="120" w:firstLine="987"/>
        <w:spacing w:after="0" w:line="258" w:lineRule="auto"/>
        <w:tabs>
          <w:tab w:leader="none" w:pos="13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RSU outstanding immediately prior to the Effective Time that is or becomes vested in accordance with its terms at the Effective Time (each, a “</w:t>
      </w:r>
      <w:r>
        <w:rPr>
          <w:rFonts w:ascii="Times New Roman" w:cs="Times New Roman" w:eastAsia="Times New Roman" w:hAnsi="Times New Roman"/>
          <w:sz w:val="18"/>
          <w:szCs w:val="18"/>
          <w:u w:val="single" w:color="auto"/>
          <w:color w:val="auto"/>
        </w:rPr>
        <w:t>Vested Company RSU</w:t>
      </w:r>
      <w:r>
        <w:rPr>
          <w:rFonts w:ascii="Times New Roman" w:cs="Times New Roman" w:eastAsia="Times New Roman" w:hAnsi="Times New Roman"/>
          <w:sz w:val="18"/>
          <w:szCs w:val="18"/>
          <w:color w:val="auto"/>
        </w:rPr>
        <w:t>”) shall, as of the Effective Time, be canceled and the holder thereof shall then become entitled to receive solely, in full satisfaction of the rights of such holder with respect thereto, a lump-sum cash payment, without interest, equal to the product, rounded up to the nearest cent, of (i) the number of shares of Company Common Stock subject to such Vested Company RSU immediately prior to the Effective Time and (ii) the Merger Consideration.</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RSU outstanding immediately prior to the Effective Time that is not a Vested Company RSU shall, as of the Effective Time, be assumed by Parent and converted into restricted stock units relating to a number of Parent Class B Shares (each, an “</w:t>
      </w:r>
      <w:r>
        <w:rPr>
          <w:rFonts w:ascii="Times New Roman" w:cs="Times New Roman" w:eastAsia="Times New Roman" w:hAnsi="Times New Roman"/>
          <w:sz w:val="18"/>
          <w:szCs w:val="18"/>
          <w:u w:val="single" w:color="auto"/>
          <w:color w:val="auto"/>
        </w:rPr>
        <w:t>Assumed RSU</w:t>
      </w:r>
      <w:r>
        <w:rPr>
          <w:rFonts w:ascii="Times New Roman" w:cs="Times New Roman" w:eastAsia="Times New Roman" w:hAnsi="Times New Roman"/>
          <w:sz w:val="18"/>
          <w:szCs w:val="18"/>
          <w:color w:val="auto"/>
        </w:rPr>
        <w:t>”) equal to the product, rounded up to the nearest whole share, of (i) the number of shares of Company Common Stock underlying such Company RSU, multiplied by (ii) the Exchange Ratio, with the same terms and conditions that applied to such Company RSU immediately prior to the Effective Time (including vesting, effect of termination of employment and dividend equivalents).</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55" w:lineRule="auto"/>
        <w:tabs>
          <w:tab w:leader="none" w:pos="13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outstanding and unexercised immediately prior to the Effective Time that is or becomes vested in accordance with its terms at the Effective Time (each, a “</w:t>
      </w:r>
      <w:r>
        <w:rPr>
          <w:rFonts w:ascii="Times New Roman" w:cs="Times New Roman" w:eastAsia="Times New Roman" w:hAnsi="Times New Roman"/>
          <w:sz w:val="18"/>
          <w:szCs w:val="18"/>
          <w:u w:val="single" w:color="auto"/>
          <w:color w:val="auto"/>
        </w:rPr>
        <w:t>Vested Company Stock Option</w:t>
      </w:r>
      <w:r>
        <w:rPr>
          <w:rFonts w:ascii="Times New Roman" w:cs="Times New Roman" w:eastAsia="Times New Roman" w:hAnsi="Times New Roman"/>
          <w:sz w:val="18"/>
          <w:szCs w:val="18"/>
          <w:color w:val="auto"/>
        </w:rPr>
        <w:t xml:space="preserve">”) shall, as of the Effective Time, be canceled and the holder thereof shall then become entitled to receive solely, in full satisfaction of the rights of such holder with respect thereto, a lump-sum cash payment, without interest, equal to the product, rounded up to the nearest cent, of (i) the number of shares of Company Common Stock subject to such Vested Company Stock Option immediately prior to the Effective Time and (ii) the excess, if any, of (A) the Merger Consideration over (B) the per share exercise price of such Vested Company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Vested Company Stock Option with a per share exercise price that is equal to or greater than the Merger Consideration shall be canceled for no consideration.</w:t>
      </w:r>
    </w:p>
    <w:p>
      <w:pPr>
        <w:spacing w:after="0" w:line="188"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Company Stock Option outstanding and unexercised immediately prior to the Effective Time that is not a Vested Company Stock Option shall, as of the Effective Time, be assumed by Parent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converted into an option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xml:space="preserve">”) to purchase Parent Class B Shares. Each Assumed Option will continue to have, and be subject to, the same terms and conditions as in effect immediately prior to the Effective Time (including with respect to vesting and effect of termination of employment), except that (i) each Assumed Option shall be exercisable (or will become exercisable in accordance with its terms) for that number of Parent Class B Shares equal to the product, rounded down to the nearest whole share, of (A) the number of shares of Company Common Stock that were issuable upon exercise of such Company Stock Option immediately prior to the Effective Time multiplied by (B) the Exchange Ratio and (ii) the per share exercise price for the Parent Class B Shares issuable upon exercise of such Assumed Option shall be equal to the quotient, rounded up to the nearest whole cent, determined by dividing (A) the exercise price per share of Company Common Stock at which such Company Stock Option was exercisable immediately prior to the Effective Time by (B) the Exchange Ratio. The conversion of Assumed Options provided for in this Section 2.03(d) shall be effected in a manner consistent with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of the Code.</w:t>
      </w:r>
    </w:p>
    <w:p>
      <w:pPr>
        <w:spacing w:after="0" w:line="188"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Payments with Respect to Equity-Based Incentive Awards</w:t>
      </w:r>
      <w:r>
        <w:rPr>
          <w:rFonts w:ascii="Times New Roman" w:cs="Times New Roman" w:eastAsia="Times New Roman" w:hAnsi="Times New Roman"/>
          <w:sz w:val="18"/>
          <w:szCs w:val="18"/>
          <w:color w:val="auto"/>
        </w:rPr>
        <w:t xml:space="preserve">. Notwithstanding anything in this Agreement to the contrary, all amounts payable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respect of each Equity-Based Award shall be paid as promptly as reasonably practicable after the Effective Time (but in any event, no later than the first payroll date that occurs more than five Business Days after the Effective Time) by the Surviving Corporation or any of its Subsidiaries through their payroll systems, less applicable Tax withholdings, to the holders of the Equity-Based Awards (or such other method as the Company typically utilizes for such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any such payment would cause an impermissible acceleration event under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such amounts shall be paid at the earliest time such payment would not cause an impermissible acceleration event under Section 409A.</w:t>
      </w:r>
    </w:p>
    <w:p>
      <w:pPr>
        <w:spacing w:after="0" w:line="18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Prior to the Effective Time, the Board of Directors of the Company (or, if appropriate, any duly authorized committee thereof administering the Company 2021 Employee Stock Purchase Plan (the “</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shall take all actions as it deems necessary or appropriate to ensure that (i) no Offering or Purchase Period (each, as defined in the Company ESPP) under the Company ESPP shall be commenced on or after the date of this Agreement, (ii) beginning on the date of this Agreement, no new participants may join the Company ESPP during the Purchase Period in existence under the Company ESPP as of the date of this Agreement (such purchase period, the “</w:t>
      </w:r>
      <w:r>
        <w:rPr>
          <w:rFonts w:ascii="Times New Roman" w:cs="Times New Roman" w:eastAsia="Times New Roman" w:hAnsi="Times New Roman"/>
          <w:sz w:val="18"/>
          <w:szCs w:val="18"/>
          <w:u w:val="single" w:color="auto"/>
          <w:color w:val="auto"/>
        </w:rPr>
        <w:t>Existing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(iii) beginning on the date of this Agreement, no participant may increase the amount of his or her payroll deductions with respect to the Existing Purchase Period and (iv) the Company ESPP shall terminate on the earlier of (A) immediately following the Existing Purchase Period and</w:t>
      </w:r>
    </w:p>
    <w:p>
      <w:pPr>
        <w:spacing w:after="0" w:line="3" w:lineRule="exact"/>
        <w:rPr>
          <w:sz w:val="20"/>
          <w:szCs w:val="20"/>
          <w:color w:val="auto"/>
        </w:rPr>
      </w:pPr>
    </w:p>
    <w:p>
      <w:pPr>
        <w:ind w:left="120" w:right="180" w:hanging="4"/>
        <w:spacing w:after="0" w:line="253" w:lineRule="auto"/>
        <w:tabs>
          <w:tab w:leader="none" w:pos="4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Effective Time, in which case all participant contributions under the Company ESPP shall be used to purchase shares of Company Common Stock on such date in accordance with the terms of the Company ESPP as if such date was the last day of the Existing Purchase Period (such earlier date, the “</w:t>
      </w:r>
      <w:r>
        <w:rPr>
          <w:rFonts w:ascii="Times New Roman" w:cs="Times New Roman" w:eastAsia="Times New Roman" w:hAnsi="Times New Roman"/>
          <w:sz w:val="18"/>
          <w:szCs w:val="18"/>
          <w:u w:val="single" w:color="auto"/>
          <w:color w:val="auto"/>
        </w:rPr>
        <w:t>ESPP Purchase Date</w:t>
      </w:r>
      <w:r>
        <w:rPr>
          <w:rFonts w:ascii="Times New Roman" w:cs="Times New Roman" w:eastAsia="Times New Roman" w:hAnsi="Times New Roman"/>
          <w:sz w:val="18"/>
          <w:szCs w:val="18"/>
          <w:color w:val="auto"/>
        </w:rPr>
        <w:t xml:space="preserve">”). Shares purchased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treated as all other shares of Company Common Stock under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The Board of Directors of the Company shall adopt resolutions and take all other actions that may be reasonably necessary to terminate the ESPP effective as of the termination date referenced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xml:space="preserve">. Each Company Warrant that is issued and outstanding as of immediately prior to the Effective Time shall, immediately following the Effective Time, continue to be outstanding according to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 Time, each Company Warrant shall, automatically and without any required action on the part of the holder thereof or any other Person, cease to become exercisable for Company Common Stock and become exercisable solely in exchange for the receipt of the Merger Consideration with respect to the aggregate number of Company Common Stock for which such Company Warrant was exercisable for immediately prior to the Effective Time.</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Pursuant to the Warrant Agreement, if a holder properly exercises a Company Warrant within 30 days following the Company’s public disclosure of the consummation of the Merger in a Current Report on Form 8-K, then the exercise price per share under such Company Warrant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with respect to such exercise shall be reduced by an amount (in dollars, and in no event less than zero) equal to the difference of (i) the Warrant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Price in effect immediately prior to such reduction minus (ii) (A) the Merger Consideration minus (B) the Black-Scholes Warrant Value (as defined and determined in accordance with the Warrant Agreement).</w:t>
      </w:r>
    </w:p>
    <w:p>
      <w:pPr>
        <w:spacing w:after="0" w:line="162" w:lineRule="exact"/>
        <w:rPr>
          <w:sz w:val="20"/>
          <w:szCs w:val="20"/>
          <w:color w:val="auto"/>
        </w:rPr>
      </w:pPr>
    </w:p>
    <w:p>
      <w:pPr>
        <w:jc w:val="both"/>
        <w:ind w:left="1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2.07.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xml:space="preserve">. If between the date hereof and the Effective Time, the outstanding shares of Company Common Stock shall have been changed into a different number of shares or a different class by reason of the occurrence or record date of any stock split, reverse stock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this </w:t>
      </w:r>
      <w:r>
        <w:rPr>
          <w:rFonts w:ascii="Times New Roman" w:cs="Times New Roman" w:eastAsia="Times New Roman" w:hAnsi="Times New Roman"/>
          <w:sz w:val="17"/>
          <w:szCs w:val="17"/>
          <w:u w:val="single" w:color="auto"/>
          <w:color w:val="auto"/>
        </w:rPr>
        <w:t>Article</w:t>
      </w:r>
    </w:p>
    <w:p>
      <w:pPr>
        <w:spacing w:after="0" w:line="3" w:lineRule="exact"/>
        <w:rPr>
          <w:sz w:val="20"/>
          <w:szCs w:val="20"/>
          <w:color w:val="auto"/>
        </w:rPr>
      </w:pPr>
    </w:p>
    <w:p>
      <w:pPr>
        <w:ind w:left="120" w:hanging="4"/>
        <w:spacing w:after="0" w:line="253" w:lineRule="auto"/>
        <w:tabs>
          <w:tab w:leader="none" w:pos="285" w:val="left"/>
        </w:tabs>
        <w:numPr>
          <w:ilvl w:val="0"/>
          <w:numId w:val="1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be equitably adjusted to reflect such stock split, reverse stock split, dividend (including any dividend or other distribution of securities convertible into shares of Company Common Stock), reorganization, recapitalization, reclassification, combination, exchange of shares or other like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deemed to permit or authorize the Company (or any of its Subsidiaries or any of the Affiliated Professional Entities) to take any action or effect any change that the Company (or any of its Subsidiaries or any of the Affiliated Professional Entities) is not otherwise authorized or permitted to take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any other provision of this Agreement.</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9" w:lineRule="auto"/>
        <w:tabs>
          <w:tab w:leader="none" w:pos="1356"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shares of Company Common Stock that are outstanding immediately prior to the Effective Time and that are held by any Person who is entitled to demand and properly demands appraisal of such shares pursuant to, and who complies in all respects with, Section 262 of the DGCL (“</w:t>
      </w:r>
      <w:r>
        <w:rPr>
          <w:rFonts w:ascii="Times New Roman" w:cs="Times New Roman" w:eastAsia="Times New Roman" w:hAnsi="Times New Roman"/>
          <w:sz w:val="17"/>
          <w:szCs w:val="17"/>
          <w:u w:val="single" w:color="auto"/>
          <w:color w:val="auto"/>
        </w:rPr>
        <w:t>Appraisal Shares</w:t>
      </w:r>
      <w:r>
        <w:rPr>
          <w:rFonts w:ascii="Times New Roman" w:cs="Times New Roman" w:eastAsia="Times New Roman" w:hAnsi="Times New Roman"/>
          <w:sz w:val="17"/>
          <w:szCs w:val="17"/>
          <w:color w:val="auto"/>
        </w:rPr>
        <w:t xml:space="preserve">”) shall not be converted into the right to receive the Merger Consideration as provided in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 xml:space="preserve">, but instead shall be canceled and shall represent the right to receive only those rights provided under Section 262 of the DGCL;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any such Person shall fail to perfect or otherwise shall waive, withdraw or lose the right to appraisal under</w:t>
      </w:r>
    </w:p>
    <w:p>
      <w:pPr>
        <w:spacing w:after="0" w:line="2" w:lineRule="exact"/>
        <w:rPr>
          <w:rFonts w:ascii="Times New Roman" w:cs="Times New Roman" w:eastAsia="Times New Roman" w:hAnsi="Times New Roman"/>
          <w:sz w:val="17"/>
          <w:szCs w:val="17"/>
          <w:color w:val="auto"/>
        </w:rPr>
      </w:pPr>
    </w:p>
    <w:p>
      <w:pPr>
        <w:ind w:left="12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Section 262 of the DGCL, then the right of such Person to receive those rights under Section 262 of the DGCL shall cease and such Appraisal Shares shall be deemed to have been converted as of the Effective Time into, and shall represent only the right to receive, the Merger Consideration as provided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without interest thereon.</w:t>
      </w:r>
    </w:p>
    <w:p>
      <w:pPr>
        <w:spacing w:after="0" w:line="185" w:lineRule="exact"/>
        <w:rPr>
          <w:rFonts w:ascii="Times New Roman" w:cs="Times New Roman" w:eastAsia="Times New Roman" w:hAnsi="Times New Roman"/>
          <w:sz w:val="17"/>
          <w:szCs w:val="17"/>
          <w:color w:val="auto"/>
        </w:rPr>
      </w:pPr>
    </w:p>
    <w:p>
      <w:pPr>
        <w:ind w:left="120" w:right="100" w:firstLine="987"/>
        <w:spacing w:after="0" w:line="255" w:lineRule="auto"/>
        <w:tabs>
          <w:tab w:leader="none" w:pos="136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of any demands received by the Company for appraisal of any shares of Company Common Stock and Parent shall have the right to participate in and direct all negotiations and Actions with respect to such demands. Prior to the Effective Time, the Company shall not, without the prior written consent of Parent, make any payment with respect to, or settle or offer to settle, any such demands or notices of dissent, waive any failure to timely deliver a written demand for appraisal under the DGCL, approve any withdrawal of any such demands, or offer, propose or otherwise agree to do any of the foregoing. Parent shall not, except with the prior written consent of the Company (such consent not to be unreasonably withheld, delayed or conditioned), require the Company to make any payment with respect to any demands for appraisal or notices of dissent or offer to settle or settle any such demands or notices. </w:t>
      </w:r>
    </w:p>
    <w:p>
      <w:pPr>
        <w:spacing w:after="0" w:line="189" w:lineRule="exact"/>
        <w:rPr>
          <w:sz w:val="20"/>
          <w:szCs w:val="20"/>
          <w:color w:val="auto"/>
        </w:rPr>
      </w:pPr>
    </w:p>
    <w:p>
      <w:pPr>
        <w:ind w:left="1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2.09. </w:t>
      </w:r>
      <w:r>
        <w:rPr>
          <w:rFonts w:ascii="Times New Roman" w:cs="Times New Roman" w:eastAsia="Times New Roman" w:hAnsi="Times New Roman"/>
          <w:sz w:val="17"/>
          <w:szCs w:val="17"/>
          <w:u w:val="single" w:color="auto"/>
          <w:color w:val="auto"/>
        </w:rPr>
        <w:t>Parent Actions</w:t>
      </w:r>
      <w:r>
        <w:rPr>
          <w:rFonts w:ascii="Times New Roman" w:cs="Times New Roman" w:eastAsia="Times New Roman" w:hAnsi="Times New Roman"/>
          <w:sz w:val="17"/>
          <w:szCs w:val="17"/>
          <w:color w:val="auto"/>
        </w:rPr>
        <w:t>. As soon as practicable after the Effective Time, Parent shall take all corporate action reasonably necessary to (i) reserve for issuance a sufficient number of Parent Class B Shares for issuance with respect to the Assumed Options and Assumed RSUs and</w:t>
      </w:r>
    </w:p>
    <w:p>
      <w:pPr>
        <w:spacing w:after="0" w:line="1" w:lineRule="exact"/>
        <w:rPr>
          <w:sz w:val="20"/>
          <w:szCs w:val="20"/>
          <w:color w:val="auto"/>
        </w:rPr>
      </w:pPr>
    </w:p>
    <w:p>
      <w:pPr>
        <w:ind w:left="120" w:right="100" w:hanging="4"/>
        <w:spacing w:after="0" w:line="253" w:lineRule="auto"/>
        <w:tabs>
          <w:tab w:leader="none" w:pos="38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registration of Parent Class B Shares issuable with respect to the Assumed Options and Assumed RSUs to become effective as part of a registration statement on Form S-8 or any successor or other appropriate forms, and, thereafter, Parent shall deliver to holders of Assumed Options and Assumed RSUs any applicable prospectus and shall maintain the effectiveness of such registration statement, including the current status of any related prospectus, for so long as the Assumed Options and Assumed RSUs remain outstanding.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25" w:lineRule="exact"/>
        <w:rPr>
          <w:sz w:val="20"/>
          <w:szCs w:val="20"/>
          <w:color w:val="auto"/>
        </w:rPr>
      </w:pPr>
    </w:p>
    <w:p>
      <w:pPr>
        <w:ind w:left="120" w:firstLine="991"/>
        <w:spacing w:after="0" w:line="268" w:lineRule="auto"/>
        <w:rPr>
          <w:sz w:val="20"/>
          <w:szCs w:val="20"/>
          <w:color w:val="auto"/>
        </w:rPr>
      </w:pPr>
      <w:r>
        <w:rPr>
          <w:rFonts w:ascii="Times New Roman" w:cs="Times New Roman" w:eastAsia="Times New Roman" w:hAnsi="Times New Roman"/>
          <w:sz w:val="17"/>
          <w:szCs w:val="17"/>
          <w:color w:val="auto"/>
        </w:rPr>
        <w:t>The Company represents and warrants to Parent and Merger Sub that, except as (A) set forth in the confidential disclosure letter delivered by the Company to Parent and Merger Sub concurrently with or prior to the execution of this Agreement (the “</w:t>
      </w:r>
      <w:r>
        <w:rPr>
          <w:rFonts w:ascii="Times New Roman" w:cs="Times New Roman" w:eastAsia="Times New Roman" w:hAnsi="Times New Roman"/>
          <w:sz w:val="17"/>
          <w:szCs w:val="17"/>
          <w:u w:val="single" w:color="auto"/>
          <w:color w:val="auto"/>
        </w:rPr>
        <w:t>Company Disclosure Letter</w:t>
      </w:r>
      <w:r>
        <w:rPr>
          <w:rFonts w:ascii="Times New Roman" w:cs="Times New Roman" w:eastAsia="Times New Roman" w:hAnsi="Times New Roman"/>
          <w:sz w:val="17"/>
          <w:szCs w:val="17"/>
          <w:color w:val="auto"/>
        </w:rPr>
        <w:t>”) (it being understood that any information, item or matter set forth in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(x) to which there is a cross-reference to such information, item or matter or (y) to the extent that it is reasonably apparent from the face of such disclosure that such information, item or matter also qualifies or applies to such other section or subsection) or</w:t>
      </w:r>
    </w:p>
    <w:p>
      <w:pPr>
        <w:spacing w:after="0" w:line="5" w:lineRule="exact"/>
        <w:rPr>
          <w:sz w:val="20"/>
          <w:szCs w:val="20"/>
          <w:color w:val="auto"/>
        </w:rPr>
      </w:pPr>
    </w:p>
    <w:p>
      <w:pPr>
        <w:ind w:left="120" w:right="160" w:hanging="4"/>
        <w:spacing w:after="0" w:line="253" w:lineRule="auto"/>
        <w:tabs>
          <w:tab w:leader="none" w:pos="4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any report, schedule, form, statement or other document (including exhibits) filed with, or furnished to, the SEC by the Company and publicly available from January 1, 2024 until the date that is one (1) Business Day prior to the execution of this Agreement (the “</w:t>
      </w:r>
      <w:r>
        <w:rPr>
          <w:rFonts w:ascii="Times New Roman" w:cs="Times New Roman" w:eastAsia="Times New Roman" w:hAnsi="Times New Roman"/>
          <w:sz w:val="18"/>
          <w:szCs w:val="18"/>
          <w:u w:val="single" w:color="auto"/>
          <w:color w:val="auto"/>
        </w:rPr>
        <w:t>Filed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other than any risk factor disclosure (other than any statements of fact or other statements that are not forward looking and cautionary in nature) in any such Filed SEC Document contained in the “Risk Factors” section thereof or other similarly cautionary, forward-looking or predictive statements in such Filed SEC Documents:</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Standing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6" w:lineRule="auto"/>
        <w:tabs>
          <w:tab w:leader="none" w:pos="13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under the laws of the State of Delaware and is in good standing with the Secretary of State of Delaware. The Company has all requisite corporate power and corporate authority necessary to carry on its business as it is now being conducted, except (other than with respect to the Company’s due organization and valid existence) as would not, individually or in the aggregate, have a Material Adverse Effect. True and complete copies of the Company Charter Documents as in effect as of the date hereof are included in the Filed SEC Documents. The Company Charter Documents are in full force and effect, and the Company is not in violation or breach of any of the provisions of the Company Charter Documents in any material respect.</w:t>
      </w:r>
    </w:p>
    <w:p>
      <w:pPr>
        <w:spacing w:after="0" w:line="187"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and each of the Affiliated Professional Entities is duly organized, validly existing and in good standing (where such concept is recognized under applicable Law) under the Laws of the jurisdiction of its organization, and has all requisite organizational power and authority necessary to carry on its business as it is now being conducted, except where the failure to be so organized, existing and in good standing or to have such power and authority would not, individually or in the aggregate, have a Material Adverse Effect.</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its Subsidiaries and the Affiliated Professional Entities is duly licensed or qualified to do business in each jurisdiction in which the nature of the business conducted by it or the character or location of the properties and assets owned, leased or operated by it makes such licensing or qualification necessary, except where the failure to be so licensed or qualified would not, individually or in the aggregate, have a Material Adverse Effect. Except as would not, individually or in the aggregate, have a Material Adverse Effect, (i) each of the certificates of incorporation, bylaws or comparable governing and organizational documents of the Company’s Subsidiaries and the Affiliated Professional Entities is in full force and effect and (ii) none of the Company’s Subsidiaries or the Affiliated Professional Entities are in violation or breach of any provision of the foregoing documents in any material respect.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20" w:firstLine="987"/>
        <w:spacing w:after="0" w:line="261" w:lineRule="auto"/>
        <w:tabs>
          <w:tab w:leader="none" w:pos="135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shares of the Company consist of 1,000,000,000 shares of Company Common Stock and 100,000,000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At the close of business on February 28, 2026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 166,999,356 shares of Company Common Stock were issued and outstanding and (ii) no shares of Company Preferred Stock were issued or outstanding. As of the Capitalization Date, (1) a total of 33,479,994 shares of Company Common Stock were reserved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available for issuance upon exercise of the Company Warrants (of which 20,722,494 shares of Company Common Stock were reserved for issuance under the Public Warrants (as defined in the Warrant Agreement) and 12,757,500 shares of Company Common Stock were reserved for issuance under the Private Warrants (as defined in the Warrant Agreement)), (2) 22,321,977 shares of Company Common Stock were reserved and remained available for issuance pursuant to the Equity Plans, of which amount (A) 5,507,246 shares of Company Common Stock were subject to outstanding Company RSUs and (B) 8,951,570 shares of Company Common Stock were subject to outstanding Company Stock Options, (3) 3,045,115 shares of Company Common Stock were reserved and remained available for purchase under the Company ESPP and (4) no shares of Company Common Stock could be acquired with accumulated payroll deductions under the Company ESPP (assuming that the market price of a share of Company Common Stock is equal to the Merger Consideration). From the Capitalization Date through the date hereof, neither the Company nor any of its Subsidiaries has issued or sold any Company Securities (as defined below), other than the issuance or sale of Company Securities pursuant to the exercise of Company Warrants, settlement or exercise of Company RSUs or Company Stock Options, the operation of the Company ESPP or the forfeiture of, or withholding of Taxes with respect to, Company RSUs and Company Stock Options. All outstanding shares of Company Common Stock have been duly authorized and validly issued and are fully paid, nonassessable and not subject to, and were not issued in violation of, any purchase option, call option, right of first refusal, preemptive rights, subscription rights or any similar rights.</w:t>
      </w:r>
    </w:p>
    <w:p>
      <w:pPr>
        <w:spacing w:after="0" w:line="187" w:lineRule="exact"/>
        <w:rPr>
          <w:sz w:val="20"/>
          <w:szCs w:val="20"/>
          <w:color w:val="auto"/>
        </w:rPr>
      </w:pPr>
    </w:p>
    <w:p>
      <w:pPr>
        <w:ind w:left="120" w:firstLine="987"/>
        <w:spacing w:after="0" w:line="267" w:lineRule="auto"/>
        <w:tabs>
          <w:tab w:leader="none" w:pos="136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described in </w:t>
      </w:r>
      <w:r>
        <w:rPr>
          <w:rFonts w:ascii="Times New Roman" w:cs="Times New Roman" w:eastAsia="Times New Roman" w:hAnsi="Times New Roman"/>
          <w:sz w:val="17"/>
          <w:szCs w:val="17"/>
          <w:u w:val="single" w:color="auto"/>
          <w:color w:val="auto"/>
        </w:rPr>
        <w:t>Section 3.02(a)</w:t>
      </w:r>
      <w:r>
        <w:rPr>
          <w:rFonts w:ascii="Times New Roman" w:cs="Times New Roman" w:eastAsia="Times New Roman" w:hAnsi="Times New Roman"/>
          <w:sz w:val="17"/>
          <w:szCs w:val="17"/>
          <w:color w:val="auto"/>
        </w:rPr>
        <w:t xml:space="preserve">, as of the Capitalization Date, there were (i) no issued, reserved for issuance or outstanding shares of capital stock of, or other equity or voting interests in, the Company, and no outstanding obligations to issue, deliver or sell or cause to be issued, delivered or sold any shares of capital stock of, or other equity or voting interests in, the Company, (ii) no outstanding securities of the Company convertible into or exchangeable for shares of capital stock of, or other equity or voting interests in, the Company, (iii) no outstanding options, warrants, calls, rights or other commitments or agreements to acquire from the Company, or that obligate the Company to issue, deliver or sell, or cause to be issued, delivered or sold, any capital stock of, or other equity or voting interests in, or any securities convertible into or exchangeable for shares of capital stock of, or other equity or voting interests in, the Company, (iv) no rights issued by or other obligations of the Company to grant, extend or enter into any subscription, warrant, right, convertible or exchangeable security or other similar agreement or commitment relating to any capital stock of, or other equity or voting interests in, the Company (the items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being referred to collectively as “</w:t>
      </w:r>
      <w:r>
        <w:rPr>
          <w:rFonts w:ascii="Times New Roman" w:cs="Times New Roman" w:eastAsia="Times New Roman" w:hAnsi="Times New Roman"/>
          <w:sz w:val="17"/>
          <w:szCs w:val="17"/>
          <w:u w:val="single" w:color="auto"/>
          <w:color w:val="auto"/>
        </w:rPr>
        <w:t>Company Securities</w:t>
      </w:r>
      <w:r>
        <w:rPr>
          <w:rFonts w:ascii="Times New Roman" w:cs="Times New Roman" w:eastAsia="Times New Roman" w:hAnsi="Times New Roman"/>
          <w:sz w:val="17"/>
          <w:szCs w:val="17"/>
          <w:color w:val="auto"/>
        </w:rPr>
        <w:t>”) and</w:t>
      </w:r>
    </w:p>
    <w:p>
      <w:pPr>
        <w:spacing w:after="0" w:line="5" w:lineRule="exact"/>
        <w:rPr>
          <w:rFonts w:ascii="Times New Roman" w:cs="Times New Roman" w:eastAsia="Times New Roman" w:hAnsi="Times New Roman"/>
          <w:sz w:val="17"/>
          <w:szCs w:val="17"/>
          <w:color w:val="auto"/>
        </w:rPr>
      </w:pPr>
    </w:p>
    <w:p>
      <w:pPr>
        <w:ind w:left="120" w:right="40" w:hanging="4"/>
        <w:spacing w:after="0" w:line="251" w:lineRule="auto"/>
        <w:tabs>
          <w:tab w:leader="none" w:pos="37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obligations by the Company to make any payments based on the price or value of any Company Securities. Other than the Company Warrants, the Equity Plans and the Company ESPP, there are no outstanding agreements of any kind which obligate the Company or any of its Subsidiaries to repurchase, redeem or otherwise acquire any Company Securities (other than pursuant to the forfeiture of, or withholding of Taxes with respect to, Company RSUs and Company Stock Options), or obligate the Company to grant, extend or enter into any such agreements relating to any Company Securities, including any agreements granting any preemptive rights, subscription rights, anti-dilutive rights, rights of first refusal or similar rights with respect to any Company Securities. No direct or indirect Subsidiary of the Company owns any shares of Company Common Stock. None of the Company or any Subsidiary of the Company is a party to any stockholders’ agreement, voting trust agreement, registration rights agreement or other similar agreement or understanding relating to any Company Securities or any other agreement relating to (A) the election, designation or nomination of any director of the Company or any of its Subsidiaries or (B) the disposition, voting or dividends with respect to any Company Securities. Neither the Company nor any of its Subsidiaries nor any of the Affiliated Professional Entities has any outstanding bonds, debentures, notes or other indebtedness the holders of which have the right to vote (or which are convertible into or exercisable for securities having the right to vote) with the stockholders of the Company on any matter.</w:t>
      </w:r>
    </w:p>
    <w:p>
      <w:pPr>
        <w:spacing w:after="0" w:line="192"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35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(i) no issued, reserved for issuance or outstanding shares of capital stock of, or other equity or voting interests in, any Subsidiary of the Company, and no outstanding obligations to issue, deliver or sell or cause to be issued, delivered or sold any equity or voting interests in any Subsidiary of the Company, (ii) no outstanding securities convertible into or exchangeable for shares of capital stock of, or other equity or voting interests in, any Subsidiary of the Company, (iii) no outstanding options,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 xml:space="preserve">warrants, calls, rights or other commitments or agreements to acquire from any Subsidiary of the Company, or that obligate any Subsidiary of the Company to issue, deliver or sell, or cause to be issued, delivered or sold, any capital stock of, or other equity or voting interests in, or any securities convertible into or exchangeable for shares of capital stock of, or other equity or voting interests in, any Subsidiary of the Company, (iv) no rights issued by or other obligations to grant, extend or enter into any subscription, warrant, right, convertible or exchangeable security or other similar agreement or commitment relating to any capital stock of, or other equity or voting interests in, any Subsidiary of the Company (the items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and</w:t>
      </w:r>
    </w:p>
    <w:p>
      <w:pPr>
        <w:spacing w:after="0" w:line="3" w:lineRule="exact"/>
        <w:rPr>
          <w:sz w:val="20"/>
          <w:szCs w:val="20"/>
          <w:color w:val="auto"/>
        </w:rPr>
      </w:pPr>
    </w:p>
    <w:p>
      <w:pPr>
        <w:ind w:left="120" w:right="20" w:hanging="4"/>
        <w:spacing w:after="0" w:line="251" w:lineRule="auto"/>
        <w:tabs>
          <w:tab w:leader="none" w:pos="425" w:val="left"/>
        </w:tabs>
        <w:numPr>
          <w:ilvl w:val="0"/>
          <w:numId w:val="1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being referred to collectively as the “</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xml:space="preserve">”),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that are not owned by the Company or a wholly owned Subsidiary of the Company and (v) no other obligations by the Company or any of its Subsidiaries to make any payments based on the price or value of any Company Subsidiary Securities (in each case, other than any such obligations solely among the Company and its wholly owned Subsidiaries). There are no outstanding agreements or Contracts of any kind which obligate the Company or any of its Subsidiaries to repurchase, redeem or otherwise acquire any Company Subsidiary Securities, or obligate the Company or any of its Subsidiaries to grant, extend or enter into any such agreements or Contracts relating to any Company Subsidiary Securities, including any agreements granting any preemptive rights, subscription rights, anti-dilutive rights, rights of first refusal or similar rights with respect to any Company Subsidiary Securities (other than any such obligations solely among the Company and its wholly owned Subsidiaries).</w:t>
      </w:r>
    </w:p>
    <w:p>
      <w:pPr>
        <w:spacing w:after="0" w:line="193" w:lineRule="exact"/>
        <w:rPr>
          <w:rFonts w:ascii="Times New Roman" w:cs="Times New Roman" w:eastAsia="Times New Roman" w:hAnsi="Times New Roman"/>
          <w:sz w:val="18"/>
          <w:szCs w:val="18"/>
          <w:u w:val="single" w:color="auto"/>
          <w:color w:val="auto"/>
        </w:rPr>
      </w:pPr>
    </w:p>
    <w:p>
      <w:pPr>
        <w:ind w:left="120" w:right="20" w:firstLine="987"/>
        <w:spacing w:after="0" w:line="258" w:lineRule="auto"/>
        <w:tabs>
          <w:tab w:leader="none" w:pos="136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directly or indirectly, all of the issued and outstanding equity securities of each Subsidiary of the Company, free and clear of all Encumbrances (except for transfer restrictions arising under applicable securities Laws), and, except as would not, individually or in the aggregate, reasonably be expected to be material to the Company and its Subsidiaries, taken as a whole, all such outstanding equity securities have been duly authorized and validly issued and are fully paid, nonassessable and not subject to, or issued in violation of, any purchase option, call option, right of first refusal, preemptive rights, subscription rights or any similar rights.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securities of each Affiliated Professional Entity are wholly owned by Dr. Nikole Benders-Hadi, free and clear of all Encumbrances (except for Encumbrances arising under the Corporate Practice Documents and transfer restrictions arising under applicable securities Laws), and, except as would not, individually or in the aggregate, reasonably be expected to be material to Company and its Subsidiaries, taken as a whole, all such outstanding equity securities have been duly authorized and validly issued and are fully paid, nonassessable and not subject to, or issued in violation of, any purchase option, call option, right of first refusal, preemptive rights, subscription rights or any similar rights, except as set forth in each Securities Transfer Restriction Agreement. Each Affiliated Professional Entity is bound by a Securities Transfer Restriction Agreement.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all necessary corporate power and corporate authority to execute and deliver this Agreement and to perform its obligations hereunder and, assuming the representations and warranties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are true and correct and subject to the receipt of the Company Stockholder Approval, to consummate the Transactions. The execution, delivery and performance by the Company of this Agreement and, assuming the representations and warranties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are true and correct, the consummation by it of the Transactions, have been duly authorized by its Board of Directors and, except for obtaining the Company Stockholder Approval and filing the Certificate of Merger with the Secretary of State of Delaware pursuant to the DGCL, no other corporate action on the part of the Company is necessary to authorize the execution, delivery and performance by the Company of this Agreement and the consummation by it of the Transactions. This Agreement has been duly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and other similar Laws of general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application affecting or relating to the enforcement of creditors’ rights generally and (ii) is subject to general principles of equity, whether considered in a proceeding at law or in equity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40" w:firstLine="987"/>
        <w:spacing w:after="0" w:line="256" w:lineRule="auto"/>
        <w:tabs>
          <w:tab w:leader="none" w:pos="13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at a meeting duly called and held, unanimously (i) determined that it is advisable and fair to, and in the best interests of, the Company and the stockholders of the Company, and declared it advisable, that the Company enter into this Agreement and consummate the Transactions, (ii) adopted resolutions approving and declaring the advisability of this Agreement and the consummation of the Transactions, including the Merger, (iii) adopted resolutions making the Company Board Recommendation, which resolutions have not been subsequently rescinded, modified or withdrawn and (iv) directed that this Agreement and the Transactions be submitted to the stockholders of the Company entitled to vote for adoption.</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5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representations and warranties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are true and correct, the affirmative vote (in person or by proxy) of the holders of a majority of the outstanding shares of Company Common Stock entitled to vote thereon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at the Company Stockholders’ Meeting or any adjournment or postponement thereof, are the only votes of the holders of any class or series of shares of capital stock of the Company necessary to adopt this Agreement and approve the Merger.</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by the Company, nor the consummation by the Company of the Transactions, nor performance or compliance by the Company with any of the terms or provisions hereof, will (i) subject to the receipt of the Company Stockholder Approval, conflict with or violate any provision of the Company Charter Documents, any provision of any organizational documents of any Subsidiary of the Company or any provision of any organizational documents of any Affiliated Professional Entity or (ii) assuming that the consents, approvals, filings, licenses, permits, authorizations, declarations, notifications and registrations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the Company Stockholder Approval are obtained prior to the Effective Time and the filings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are made and any waiting periods thereunder have terminated or expired prior to the Effective Time, (x) violate any Law or Judgment applicable to the Company or any of its Subsidiaries or any Affiliated Professional Entity, (y) violate or constitute a default under or result in a breach of (with or without notice or lapse of time, or both) any of the terms or provisions of, or result in a payment obligation or loss of a benefit under, or give rise to any right of consent, approval, termination, cancellation, amendment or acceleration of or under, any Material Contract which the Company or any of its Subsidiaries or any of the Affiliated Professional Entities is party (or otherwise bound by) or any Permit held by the Company or any of its Subsidiaries or any of the Affiliated Professional Entities or (z) result in the creation of any Encumbrance (other than a Permitted Encumbrance) on any properties or assets of the Company, any of its Subsidiaries or any of the Affiliated Professional Entities, except,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as would not, individually or in the aggregate, have a Material Adverse Effect.</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Except for (a) compliance with the applicable requirements of the Securities Exchange Act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including the filing with the Securities and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of a proxy statement relating to the Company Stockholders’ Meeting (as amended or supplemented from time to time,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(b) compliance with the rules and regulations of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(c) the filing of the Certificate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Merger with the Secretary of State of Delaware pursuant to the DGCL, (d) filings required under, and compliance with other applicable requirements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HSR Act or any other Antitrust Laws, (e) the consents, approvals, orders, authorizations, filings, notifications, declarations or registrations set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forth in Section 3.04(e) of the Company Disclosure Letter and (f) compliance with any applicable state securities or blue sky Laws, no consent,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approval, license, permit or authorization of, or filing, declaration, notification or registration with, any Governmental Authority is necessary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execution and delivery of this Agreement by the Company, the performance by the Company of its obligations hereunder and the consummation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of the Transactions, other than such other consents, approvals, licenses, permits, authorizations, filings, declarations, notifications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registrations that, if not obtained, made or given, would not, individually or in the aggregate, have a Material Adverse Effect.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Company SEC Documents; Undisclosed Liabilities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20" w:right="20" w:firstLine="987"/>
        <w:spacing w:after="0" w:line="268" w:lineRule="auto"/>
        <w:tabs>
          <w:tab w:leader="none" w:pos="13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timely filed with or furnished the SEC all reports, schedules, forms, statements, registration statements, prospectuses and other documents required to be filed by the Company with the SEC pursuant to the Securities Act of 1933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Exchange Act, in each case, since January 1, 2024, together with all certifications required pursuant to the Sarbanes-Oxley Act (such documents and any other documents filed or furnished by the Company with the SEC, as they have been supplemented, modified or amended since the time of filing, collectively, the “</w:t>
      </w:r>
      <w:r>
        <w:rPr>
          <w:rFonts w:ascii="Times New Roman" w:cs="Times New Roman" w:eastAsia="Times New Roman" w:hAnsi="Times New Roman"/>
          <w:sz w:val="17"/>
          <w:szCs w:val="17"/>
          <w:u w:val="single" w:color="auto"/>
          <w:color w:val="auto"/>
        </w:rPr>
        <w:t>Company SEC Documents</w:t>
      </w:r>
      <w:r>
        <w:rPr>
          <w:rFonts w:ascii="Times New Roman" w:cs="Times New Roman" w:eastAsia="Times New Roman" w:hAnsi="Times New Roman"/>
          <w:sz w:val="17"/>
          <w:szCs w:val="17"/>
          <w:color w:val="auto"/>
        </w:rPr>
        <w:t>”). No Subsidiary of the Company and no Affiliated Professional Entity are required to make any filings with the SEC. As of their respective effective dates (in the case of Company SEC Documents that are registration statements filed pursuant to the requirements of the Securities Act) and as of their respective SEC filing dates or, if amended prior to the date hereof, the date of the filing of such amendment, with respect to the portions that are amended (in the case of all other Company SEC Documents), the Company SEC Documents complied as to form in all material respects with the requirements of the Securities Act, the Exchange Act or the Sarbanes-Oxley Act, as the case may be, and the rules and regulations of the SEC promulgated thereunder,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Since January 1, 2024, no executive officer of the Company has failed to make the certifications required by him or her under Section 302 or 906 of the Sarbanes-Oxley Act, with respect to any Company SEC Document, except as disclosed in certifications filed with the Company SEC Documents. As of the date of this Agreement, there are no material outstanding or unresolved comments from the SEC with respect to the Company SEC Documents. Since January 1, 2024, there has been no material correspondence between the SEC and the Company relating to the Company SEC Documents that is not set forth in the Company SEC Documents or publicly available on the SEC’s website.</w:t>
      </w:r>
    </w:p>
    <w:p>
      <w:pPr>
        <w:spacing w:after="0" w:line="177" w:lineRule="exact"/>
        <w:rPr>
          <w:rFonts w:ascii="Times New Roman" w:cs="Times New Roman" w:eastAsia="Times New Roman" w:hAnsi="Times New Roman"/>
          <w:sz w:val="17"/>
          <w:szCs w:val="17"/>
          <w:color w:val="auto"/>
        </w:rPr>
      </w:pPr>
    </w:p>
    <w:p>
      <w:pPr>
        <w:ind w:left="120" w:right="120" w:firstLine="987"/>
        <w:spacing w:after="0" w:line="254" w:lineRule="auto"/>
        <w:tabs>
          <w:tab w:leader="none" w:pos="136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(including all related notes or schedules) included or incorporated by reference in the Company SEC Documents, as of their respective dates of filing with the SEC (or, if such Company SEC Documents were amended prior to the date hereof, the date of the filing of such amendment, with respect to the consolidated financial statements that are amended or restated therein), complied as to form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the Company and its consolidated Subsidiaries as of the dates thereof and the consolidated statements of operations and consolidated statements of cash flows for the periods shown (subject, in the case of unaudited quarterly financial statements, to normal year-end adjustments that are not material in amount or nature).</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consolidated Subsidiaries nor any of the consolidated Affiliated Professional Entities has any liabilities (whether accrued, absolute, contingent or otherwise) which would be required to be reflected or reserved against on a balance sheet prepared in accordance with GAAP, except liabilities (i) reflected or reserved against in the consolidated balance sheet (or the notes thereto) of the Company as of September 30, 2025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included in the Filed SEC Documents, (ii) incurred after the Balance Sheet Date in the ordinary course of business, (iii) as contemplated by this Agreement or otherwise incurred in connection with the Transactions or (iv) as would not, individually or in the aggregate, have a Material Adverse Effect. There are no material off-balance sheet arrangements of any type pursuant to any off-balance sheet arrangement required to be disclosed or described pursuant to Regulation S-K (or similar Contracts where the purpose is to avoid disclosure of any material transaction involving the Company or any of its Subsidiaries) that have not been so disclosed or described in the Company SEC Documents.</w:t>
      </w:r>
    </w:p>
    <w:p>
      <w:pPr>
        <w:spacing w:after="0" w:line="191"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36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a system of internal controls over financial reporting (as such terms are defined in paragraphs (e) and (f), respectively,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Rule 13a-15 under the Exchange Act) as required by Rule 13a-15 under the Exchange Act. Such controls, procedures and systems are designed to provide reasonable assurances (i) that all material information required to be disclosed by the Company in the Company SEC Documents is recorded and made known on a timely basis to the individuals responsible for the preparation of the Company SEC Documents, (ii) that transactions are recorded as necessary to permit preparation of financial statements in conformity with GAAP, (iii) that transactions are executed only in accordance with the authorizations of management and (iv) regarding prevention or timely detection of the unauthorized acquisition, use or disposition of the Company’s assets that could have a material effect on the Company’s financial statements. The Company’s management has completed an assessment of the effectiveness of the Company’s internal control over financial reporting in compliance with the requirements of Section 404 of the Sarbanes-Oxley Act for the year ended December 31, 2025, and such assessment concluded that such controls were effective. Since January 1, 2024, neither the Company nor, to the Company’s Knowledge, the Company’s independent registered public accounting firm has identified or been made aware of (x) any “significant deficiencies” or “material weaknesses” (as defined by the Public Company Accounting Oversight Board) in the design or operation of the Company’s internal controls over financial reporting which would reasonably be expected to adversely affect in any material respect the Company’s ability to record, process, summarize and report financial data, in each case which has not been subsequently remediated, or (y) any fraud that involved management or other employees of the Company or any of its Subsidiaries that have a significant role in the Company’s internal control over financial reporting.</w:t>
      </w:r>
    </w:p>
    <w:p>
      <w:pPr>
        <w:spacing w:after="0" w:line="197" w:lineRule="exact"/>
        <w:rPr>
          <w:sz w:val="20"/>
          <w:szCs w:val="20"/>
          <w:color w:val="auto"/>
        </w:rPr>
      </w:pPr>
    </w:p>
    <w:p>
      <w:pPr>
        <w:ind w:left="120" w:right="40" w:firstLine="987"/>
        <w:spacing w:after="0" w:line="256" w:lineRule="auto"/>
        <w:tabs>
          <w:tab w:leader="none" w:pos="135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Statement (including any amendment or supplement thereto), at the time first sent or given to the stockholders of the Company and at the time of the Company Stockholders’ Meeting, will comply as to form in all material respects with the requirements of the Exchange Act and will not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Merger Sub or any Representatives thereof in writing expressly for inclusion or incorporation by reference in the Proxy Statement.</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Balance Sheet Date through the date of this Agreement, except for the execution and performance of this Agreement and the discussions, negotiations and transactions related thereto and to any transaction of the type contemplated by this Agreement, the business of the Company and its Subsidiaries and the Affiliated Professional Entities has been carried on and conducted in all material respects in the ordinary course of business.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Balance Sheet Date through the date of this Agreement, there has not been any Material Adverse Effect.</w:t>
      </w:r>
    </w:p>
    <w:p>
      <w:pPr>
        <w:spacing w:after="0" w:line="22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Balance Sheet Date through the date of this Agreement, neither the Company nor any of its Subsidiaries nor any of the Affiliated Professional Entities has taken any action that, if taken after the date of this Agreement without the consent of Parent, would constitute a breach of </w:t>
      </w:r>
      <w:r>
        <w:rPr>
          <w:rFonts w:ascii="Times New Roman" w:cs="Times New Roman" w:eastAsia="Times New Roman" w:hAnsi="Times New Roman"/>
          <w:sz w:val="18"/>
          <w:szCs w:val="18"/>
          <w:u w:val="single" w:color="auto"/>
          <w:color w:val="auto"/>
        </w:rPr>
        <w:t>Section 5.01(b)(ii)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5.01(b)(xv)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5.01(b)(xxii)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3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would not, individually or in the aggregate, reasonably be expected to be material to the Company and its Subsidiaries and the Affiliated Professional Entities, taken as a whole, (a) there is no, and since January 1, 2024, there has not been any, pending or, to the Knowledge of the Company, threatened legal, civil, criminal or administrative proceeding, suit, investigation, audit, claim, hearing, arbitration or other action by or before any Governmental Authority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in each case by or against the Company or any of its Subsidiaries or any of the Affiliated Professional Entities or involving the Company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any of its Subsidiaries or any of the Affiliated Professional Entities and (b) there is no, and since January 1, 2024, there has not been any, outstanding order, judgment, injunction, ruling, award, writ, settlement, grant, consent, decision or decree by or of any Governmental Authority (each, a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outstanding against or imposed upon the Company or any of its Subsidiaries or any of the Affiliated Professional Entities.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3" w:lineRule="auto"/>
        <w:tabs>
          <w:tab w:leader="none" w:pos="13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and each of the Affiliated Professional Entities are, and have been since January 1, 2024, in compliance with all local, state, federal or national, whether foreign, multi-national or domestic, laws (including common law), statutes, treaties, ordinances, codes, rules or regulations, decrees, Permits or requirements or other restrictions imposed by any Governmental Authorities, in each case, having the force and effect of law or any similar form of decision or approval of, or determination by, or any binding interpretation or administration of any of the foregoing by, any Governmental Authority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or Judgments, applicable to the Company, any of its Subsidiaries or any of the Affiliated Professional Entities or any of their respective assets or properties, except as would not, individually or in the aggregate, have a Material Adverse Effect. Since January 1, 2024, neither the Company nor any of its Subsidiaries has received any written or, to the Knowledge of the Company, oral notice from any Governmental Authority alleging noncompliance with any Laws, except as would not, individually or in the aggregate, have a Material Adverse Effect. Since January 1, 2024 none of the Affiliated Professional Entities has received any written or, to the Knowledge of the Company, oral notice from any Governmental Authority alleging noncompliance with any Laws, except as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of its Subsidiaries and each of the Affiliated Professional Entities holds all licenses, franchises, permits, certificates, consents, approvals and authorizations from Governmental Authorities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 lawful conduct of their respective businesses as currently conducted, and all such Permits, to the extent necessary for the lawful conduct of their respective businesses as currently conducted, are in full force and effect and are not subject to any Action that would result in any modification, termination or revocation of any such Permit, except where the failure to hold the same or to be in full force and effect would not, individually or in the aggregate, have a Material Adverse Effect. </w:t>
      </w:r>
    </w:p>
    <w:p>
      <w:pPr>
        <w:spacing w:after="0" w:line="187" w:lineRule="exact"/>
        <w:rPr>
          <w:rFonts w:ascii="Times New Roman" w:cs="Times New Roman" w:eastAsia="Times New Roman" w:hAnsi="Times New Roman"/>
          <w:sz w:val="18"/>
          <w:szCs w:val="18"/>
          <w:color w:val="auto"/>
        </w:rPr>
      </w:pPr>
    </w:p>
    <w:p>
      <w:pPr>
        <w:ind w:left="120" w:right="220" w:firstLine="987"/>
        <w:spacing w:after="0" w:line="258" w:lineRule="auto"/>
        <w:tabs>
          <w:tab w:leader="none" w:pos="13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each of its Subsidiaries, each of the Affiliated Professional Entities and each of its and their respective directors, officers and employees acting in such capacity are and, to the Knowledge of the Company, each of its and their other agents acting on its or their behalf is, and have been since January 1, 2024, in compliance with the Foreign Corrupt Practices Act of 1977 and any rules and regulations promulgated thereunder or any other applicable Laws relating to bribery, corruption or money laundering.</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Except as would not, individually or in the aggregate, have a Material Adverse Effect:</w:t>
      </w:r>
    </w:p>
    <w:p>
      <w:pPr>
        <w:spacing w:after="0" w:line="117" w:lineRule="exact"/>
        <w:rPr>
          <w:sz w:val="20"/>
          <w:szCs w:val="20"/>
          <w:color w:val="auto"/>
        </w:rPr>
      </w:pPr>
    </w:p>
    <w:p>
      <w:pPr>
        <w:ind w:left="120" w:firstLine="987"/>
        <w:spacing w:after="0" w:line="258" w:lineRule="auto"/>
        <w:tabs>
          <w:tab w:leader="none" w:pos="135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and each of the Affiliated Professional Entities has prepared (or caused to be prepared) and timely filed (or caused to be timely filed) (taking into account valid extensions of time within which to file) all Tax Returns required to be filed by it, and all such filed Tax Returns (taking into account all amendments thereto) are true, complete and accurate and were prepared in compliance with all applicable Laws. All Taxes due and owing by the Company and its Subsidiaries and the Affiliated Professional Entities (whether or not shown on any Tax Return) have been timely paid in full. </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Taxes (other than Taxes not yet due and payable) upon any of the assets of the Company or any of its Subsidiaries or any of the Affiliated Professional Entities.</w:t>
      </w:r>
    </w:p>
    <w:p>
      <w:pPr>
        <w:spacing w:after="0" w:line="161"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or reserves for Taxes with respect to the Company and each of its Subsidiaries and each of the Affiliated Professional Entities for any Tax period ending on or before the Closing Date reflected on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Company’s financial statements (or the notes thereto) included in the Company SEC Documents are adequate, in accordance with GAAP, to cover all material Taxes payable by the Company and each of its Subsidiaries and each of the Affiliated Professional Entities for all periods through the date of such Company SEC Documents and such accrual or reserves.</w:t>
      </w:r>
    </w:p>
    <w:p>
      <w:pPr>
        <w:spacing w:after="0" w:line="176" w:lineRule="exact"/>
        <w:rPr>
          <w:sz w:val="20"/>
          <w:szCs w:val="20"/>
          <w:color w:val="auto"/>
        </w:rPr>
      </w:pPr>
    </w:p>
    <w:p>
      <w:pPr>
        <w:ind w:left="120" w:firstLine="987"/>
        <w:spacing w:after="0" w:line="277" w:lineRule="auto"/>
        <w:tabs>
          <w:tab w:leader="none" w:pos="1366"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deficiency or proposed adjustment for any amount of Tax has been proposed, asserted or assessed by any taxing authority in writing against the Company or any of its Subsidiaries or any of the Affiliated Professional Entities that has not been paid, settled or otherwise resolved. There is no Action pending or, to the Knowledge of the Company, threatened in writing against the Company or any of its Subsidiaries or any of the Affiliated Professional Entities with respect to any Taxes. Since January 1, 2024, there has not been an examination or written notice of potential examination of the Tax Returns filed with respect to the Company or any of its Subsidiaries or any of the Affiliated Professional Entities by any taxing authority.</w:t>
      </w:r>
    </w:p>
    <w:p>
      <w:pPr>
        <w:spacing w:after="0" w:line="167" w:lineRule="exact"/>
        <w:rPr>
          <w:rFonts w:ascii="Times New Roman" w:cs="Times New Roman" w:eastAsia="Times New Roman" w:hAnsi="Times New Roman"/>
          <w:sz w:val="17"/>
          <w:szCs w:val="17"/>
          <w:color w:val="auto"/>
        </w:rPr>
      </w:pPr>
    </w:p>
    <w:p>
      <w:pPr>
        <w:ind w:left="120" w:right="180" w:firstLine="987"/>
        <w:spacing w:after="0" w:line="312" w:lineRule="auto"/>
        <w:tabs>
          <w:tab w:leader="none" w:pos="1356"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that are required to be withheld or collected by the Company or any of its Subsidiaries or any of the Affiliated Professional Entities have been duly withheld and collected and, to the extent required, have been properly paid or deposited as required by applicable Laws.</w:t>
      </w:r>
    </w:p>
    <w:p>
      <w:pPr>
        <w:spacing w:after="0" w:line="139" w:lineRule="exact"/>
        <w:rPr>
          <w:rFonts w:ascii="Times New Roman" w:cs="Times New Roman" w:eastAsia="Times New Roman" w:hAnsi="Times New Roman"/>
          <w:sz w:val="17"/>
          <w:szCs w:val="17"/>
          <w:color w:val="auto"/>
        </w:rPr>
      </w:pPr>
    </w:p>
    <w:p>
      <w:pPr>
        <w:ind w:left="120" w:firstLine="987"/>
        <w:spacing w:after="0" w:line="256" w:lineRule="auto"/>
        <w:tabs>
          <w:tab w:leader="none" w:pos="13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2024, no claim has been made by any taxing authority in writing in a jurisdiction where neither the Company nor any of its Subsidiaries nor any of the Affiliated Professional Entities files a Tax Return alleging that the Company or any such Subsidiary or any such Affiliated Professional Entity (i) is or may be subject to any Tax by such jurisdiction or (ii) is or may be required to file a Tax Return in respect of such type of Tax in such jurisdiction. Neither the Company nor any of its Subsidiaries nor any of the Affiliated Professional Entities is, or since January 1, 2024 has been, subject to any Tax in any country (other than its country of incorporation or formation) by virtue of having a permanent establishment (as defined in any applicable tax treaty) or other fixed place of business in such other country.</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has been a “controlled corporation” or a “distributing corporation” in any distribution occurring during the two-year period ending on the date of this Agreement that was purported or intended to be governed by Section 355 of the Code (or any similar provision of state, local or non-U.S. Law).</w:t>
      </w:r>
    </w:p>
    <w:p>
      <w:pPr>
        <w:spacing w:after="0" w:line="175" w:lineRule="exact"/>
        <w:rPr>
          <w:rFonts w:ascii="Times New Roman" w:cs="Times New Roman" w:eastAsia="Times New Roman" w:hAnsi="Times New Roman"/>
          <w:sz w:val="18"/>
          <w:szCs w:val="18"/>
          <w:color w:val="auto"/>
        </w:rPr>
      </w:pPr>
    </w:p>
    <w:p>
      <w:pPr>
        <w:jc w:val="both"/>
        <w:ind w:left="120" w:right="340" w:firstLine="987"/>
        <w:spacing w:after="0" w:line="261" w:lineRule="auto"/>
        <w:tabs>
          <w:tab w:leader="none" w:pos="136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has been a member of an affiliated group of corporations filing a consolidated federal income Tax Return (other than a group the common parent of which is the Company) or has any liability for the Taxes of any Person (other than the Company or any of its Subsidiaries or any of the Affiliated Professional Entities) under Treasury Regulations Section 1.1502-6 (or any similar provision of any state, local or non-U.S. law) or as a transferee or successor.</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2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is a party to, or bound by, or has any obligation under, any Tax sharing Contract other than (i) Contracts solely among the Company, its Subsidiaries and the Affiliated Professional Entities and (ii) customary Tax indemnification provisions in any Contract the primary purpose of which does not relate to Taxes.</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2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has waived any statute of limitations in respect of Taxes or agreed to any extension of time with respect to an assessment or deficiency for Taxes (other than pursuant to extensions of time to file Tax Returns obtained in the ordinary course).</w:t>
      </w:r>
    </w:p>
    <w:p>
      <w:pPr>
        <w:spacing w:after="0" w:line="175" w:lineRule="exact"/>
        <w:rPr>
          <w:rFonts w:ascii="Times New Roman" w:cs="Times New Roman" w:eastAsia="Times New Roman" w:hAnsi="Times New Roman"/>
          <w:sz w:val="18"/>
          <w:szCs w:val="18"/>
          <w:color w:val="auto"/>
        </w:rPr>
      </w:pPr>
    </w:p>
    <w:p>
      <w:pPr>
        <w:jc w:val="both"/>
        <w:ind w:left="120" w:right="160" w:firstLine="987"/>
        <w:spacing w:after="0" w:line="261" w:lineRule="auto"/>
        <w:tabs>
          <w:tab w:leader="none" w:pos="136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will be required to include any item of income or exclude any item of deduction for any taxable period (or portion thereof) beginning after the Closing Date that would not have otherwise so been included or excluded as the case may be as a result of any of the following (i) a change in method of accounting for a taxable period ending on or prior to the Closing Date (or otherwise in connection with the transactions contemplated by this Agreement), (ii)</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use of the cash method, modified cash method, or modified accrual method or an improper method of accounting for a taxable period ending on or before the Closing Date, (iii) any “closing agreement,” as described in Section 7121 of the Code (or any corresponding provision of state, local or foreign Law), (iv) any installment sale or open transaction disposition made on or before the Closing Date, (v) intercompany transaction or excess loss account described in Treasury Regulations under Section 1502 of the Code (or any corresponding provision of applicable Law) in existence prior to the Closing Date, (vi) the receipt of any prepaid revenue on or before the Closing Date or deferred revenue realized on or before the Closing Date, in each case outside the ordinary course of business, or (vii) an election pursuant to Section 965(h) of the Code (or any corresponding provision of Tax Law) made with respect to any Taxable period (or portion thereof) ending on or prior to the Closing Date.</w:t>
      </w:r>
    </w:p>
    <w:p>
      <w:pPr>
        <w:spacing w:after="0" w:line="189" w:lineRule="exact"/>
        <w:rPr>
          <w:sz w:val="20"/>
          <w:szCs w:val="20"/>
          <w:color w:val="auto"/>
        </w:rPr>
      </w:pPr>
    </w:p>
    <w:p>
      <w:pPr>
        <w:ind w:left="120" w:right="800" w:firstLine="987"/>
        <w:spacing w:after="0" w:line="282" w:lineRule="auto"/>
        <w:tabs>
          <w:tab w:leader="none" w:pos="132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has participated in any “listed transaction” within the meaning of Treasury Regulations Section 1.6011-4(b).</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4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is (i) a “passive foreign investment company” within the meaning of Section 1297(a) of the Code, or (ii) a “surrogate foreign corporation” within the meaning of Section 7874(a)(2)(B) of the Code or treated as a U.S. corporation under Section 7874(b) of the Code.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20" w:right="40" w:firstLine="987"/>
        <w:spacing w:after="0" w:line="270" w:lineRule="auto"/>
        <w:tabs>
          <w:tab w:leader="none" w:pos="1356"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3.10(a) of the Company Disclosure Letter contains a true and complete list, as of the date of this Agreement, of each material Company Plan. With respect to each material Company Plan, the Company has made available to Parent true and complete copies (to the extent applicable) of (i) the plan document (or, if appropriate, a form thereof), or if the Company Plan is not written, a written description of the material terms thereof, including any amendments thereto, (ii) the most recent determination letter (or opinion letter for a pre-approved plan) received from the IRS,</w:t>
      </w:r>
    </w:p>
    <w:p>
      <w:pPr>
        <w:spacing w:after="0" w:line="2" w:lineRule="exact"/>
        <w:rPr>
          <w:rFonts w:ascii="Times New Roman" w:cs="Times New Roman" w:eastAsia="Times New Roman" w:hAnsi="Times New Roman"/>
          <w:sz w:val="17"/>
          <w:szCs w:val="17"/>
          <w:color w:val="auto"/>
        </w:rPr>
      </w:pPr>
    </w:p>
    <w:p>
      <w:pPr>
        <w:ind w:left="120" w:right="380" w:hanging="4"/>
        <w:spacing w:after="0" w:line="260" w:lineRule="auto"/>
        <w:tabs>
          <w:tab w:leader="none" w:pos="4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annual report on Form 5500 filed with the IRS and the most recent actuarial valuation or similar report and (iv) all current trust agreements and funding agreements.</w:t>
      </w:r>
    </w:p>
    <w:p>
      <w:pPr>
        <w:spacing w:after="0" w:line="181"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3.10(b) of the Company Disclosure Letter sets forth a true and complete list of, with respect to each Equity-Based Award outstanding as of the Capitalization Date, (i) the holder’s name or identification number, (ii) the date of grant, (iii) the number of shares of Company Common Stock subject to such Equity-Based Award, (iv) the exercise or purchase price per share of Company Common Stock subject to such Equity-Based Award, (v) the expiration date, (vi) the Equity Plan under which such Equity-Based Award was granted, (vii) the vesting schedule and any performance conditions associated with such Equity-Based Award and (viii) whether such Equity-Based Award is intended to be treated as an “incentive stock option” pursuant to Section 422 of the Code. Each Equity-Based Award was granted under an Equity Plan.</w:t>
      </w:r>
    </w:p>
    <w:p>
      <w:pPr>
        <w:spacing w:after="0" w:line="187" w:lineRule="exact"/>
        <w:rPr>
          <w:rFonts w:ascii="Times New Roman" w:cs="Times New Roman" w:eastAsia="Times New Roman" w:hAnsi="Times New Roman"/>
          <w:sz w:val="18"/>
          <w:szCs w:val="18"/>
          <w:color w:val="auto"/>
        </w:rPr>
      </w:pPr>
    </w:p>
    <w:p>
      <w:pPr>
        <w:ind w:left="120" w:right="300" w:firstLine="987"/>
        <w:spacing w:after="0" w:line="277" w:lineRule="auto"/>
        <w:tabs>
          <w:tab w:leader="none" w:pos="1356"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Plan has been established, administered and funded in compliance with its terms and applicable Laws, including ERISA and the Code, as applicable, other than instances of noncompliance that would not, individually or in the aggregate, have a Material Adverse Effect. Except as would not, individually or in the aggregate, have a Material Adverse Effect, with respect to each Company Plan, all contributions, distributions, reimbursements and premiums to, and payments from, such Company Plan required to be made in accordance with the terms of such Company Plan and, when applicable, the applicable Laws of the jurisdiction in which such Company Plan is maintained, have been timely made.</w:t>
      </w:r>
    </w:p>
    <w:p>
      <w:pPr>
        <w:spacing w:after="0" w:line="167" w:lineRule="exact"/>
        <w:rPr>
          <w:rFonts w:ascii="Times New Roman" w:cs="Times New Roman" w:eastAsia="Times New Roman" w:hAnsi="Times New Roman"/>
          <w:sz w:val="17"/>
          <w:szCs w:val="17"/>
          <w:color w:val="auto"/>
        </w:rPr>
      </w:pPr>
    </w:p>
    <w:p>
      <w:pPr>
        <w:ind w:left="120" w:right="160" w:firstLine="987"/>
        <w:spacing w:after="0" w:line="261" w:lineRule="auto"/>
        <w:tabs>
          <w:tab w:leader="none" w:pos="136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each Company Plan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would reasonably be expected to adversely affect such qualification. </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4" w:lineRule="auto"/>
        <w:tabs>
          <w:tab w:leader="none" w:pos="135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(other than routine claims for benefits) by, on behalf of or against any Company Plan or any trust related thereto and no audit or other proceeding by a Governmental Authority is pending, or to the Knowledge of the Company, threatened with respect to any Company Plan, in each case, except as would not, individually or in the aggregate, have a Material Adverse Effect. Neither the Company nor any of its Subsidiaries nor any of their respective directors, employees or agents (each, acting in their capacity as such) has, with respect to any Company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applicable to the Company, any of its Subsidiaries or any of their respective directors, employees or agents (in their capacity as such), in each case, except as would not, individually or in the aggregate, have a Material Adverse Effect.</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3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Commonly Controlled Entity maintains, sponsors, contributes to or is required to contribute to, or within the past three (3) years has maintained, sponsored, contributed to or been required to contribute to, or has or may have any direct or indirect liability under or with respect to, any (i) plan that is subject to Title IV of ERISA or Section 412 of the Code or is otherwise a defined benefit plan (whether or not subject to ERISA), (ii) “multiemployer plan” (as defined in Sections 3(37) or 4001(a)(3) of ERISA) or (iii) plan that has two (2) or more contributing sponsors, at least two (2) of whom are not under common control or that is otherwise treated together with the Company as a single employer within the meaning of Section 414 of the Code. Neither the Company nor any Commonly Controlled Entity has incurred any Controlled Group Liability that has not been paid in full, nor to the Knowledge of the Company, do any circumstances exist that would reasonably be expected to result in any Controlled Group Liability becoming a liability of Parent or Merger Sub or any of their respective Affiliates. No Company Plan holds or invests in any “qualifying employer securities” within the meaning of Section 407(d)(5) of ERISA.</w:t>
      </w:r>
    </w:p>
    <w:p>
      <w:pPr>
        <w:spacing w:after="0" w:line="188" w:lineRule="exact"/>
        <w:rPr>
          <w:rFonts w:ascii="Times New Roman" w:cs="Times New Roman" w:eastAsia="Times New Roman" w:hAnsi="Times New Roman"/>
          <w:sz w:val="18"/>
          <w:szCs w:val="18"/>
          <w:color w:val="auto"/>
        </w:rPr>
      </w:pPr>
    </w:p>
    <w:p>
      <w:pPr>
        <w:ind w:left="120" w:right="320" w:firstLine="987"/>
        <w:spacing w:after="0" w:line="276" w:lineRule="auto"/>
        <w:tabs>
          <w:tab w:leader="none" w:pos="1366"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Plan provides benefits or coverage in the nature of health, life or disability insurance following retirement, other than benefits or coverage (i) required to be provided under Part 6 of Title I of ERISA or Section 4980(B)(f) of the Code or any other applicable Law or</w:t>
      </w:r>
    </w:p>
    <w:p>
      <w:pPr>
        <w:ind w:left="380" w:hanging="264"/>
        <w:spacing w:after="0"/>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cost of which is borne by the recipient (or any of their beneficiaries).</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Commonly Controlled Entity and any applicable Company Plan are in compliance with all provisions of the Patient Protection and Affordable Care Act, to the extent applicable, including the employer shared responsibility provisions relating to the offer of “affordable” health coverage that provides “minimum essential coverage” to “full-time” employees (as those terms are defined in Section 4980H of the Code and related regulations), and the payment of the applicable penalty, and the applicable employer information reporting provisions under Section 6055 of the Code and Section 6056 of the Code and related regulations, in each case, except as would not, individually or in the aggregate, have</w:t>
      </w:r>
    </w:p>
    <w:p>
      <w:pPr>
        <w:spacing w:after="0" w:line="3" w:lineRule="exact"/>
        <w:rPr>
          <w:rFonts w:ascii="Times New Roman" w:cs="Times New Roman" w:eastAsia="Times New Roman" w:hAnsi="Times New Roman"/>
          <w:sz w:val="18"/>
          <w:szCs w:val="18"/>
          <w:color w:val="auto"/>
        </w:rPr>
      </w:pPr>
    </w:p>
    <w:p>
      <w:pPr>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The Company and each Commonly Controlled Entity are not reasonably expected to incur or be subject to, any material Tax, penalty or other liability that may be imposed under the Patient Protection and Affordable Care Act and the Health Care and Education Reconciliation Act of 2010.</w:t>
      </w:r>
    </w:p>
    <w:p>
      <w:pPr>
        <w:spacing w:after="0" w:line="18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Agreement, the consummation of the Transactions will not, either alone or in combination with another event,</w:t>
      </w:r>
    </w:p>
    <w:p>
      <w:pPr>
        <w:spacing w:after="0" w:line="27" w:lineRule="exact"/>
        <w:rPr>
          <w:rFonts w:ascii="Times New Roman" w:cs="Times New Roman" w:eastAsia="Times New Roman" w:hAnsi="Times New Roman"/>
          <w:sz w:val="18"/>
          <w:szCs w:val="18"/>
          <w:color w:val="auto"/>
        </w:rPr>
      </w:pPr>
    </w:p>
    <w:p>
      <w:pPr>
        <w:ind w:left="120" w:hanging="4"/>
        <w:spacing w:after="0" w:line="251" w:lineRule="auto"/>
        <w:tabs>
          <w:tab w:leader="none" w:pos="33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or vesting, or increase the amount of, any material compensation due to any director, officer or employee of the Company or any of its Subsidiaries or any of the Affiliated Professional Entities under any Company Plan, (ii) cause the Company to transfer or set aside any material assets to fund any benefits under any Company Plan, (iii) limit or restrict the right to amend, terminate or transfer the assets of any material Company Plan on or following the Effective Time, (iv) entitle any current or former director, officer, employee or individual service provider of the Company or any of its Subsidiaries or any of the Affiliated Professional Entities to any new type of compensation or benefit or (v) result in the payment of any amount (whether in cash or property or the vesting of property) that could, individually or in combination with any other such payment, constitute an “excess parachute payment” as defined in Section 280G(b)(1) of the Code or otherwise that would not be deductible by reason of Section 280G of the Code or would be subject to an excise tax under Section 4999 of the Code.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5" w:lineRule="auto"/>
        <w:tabs>
          <w:tab w:leader="none" w:pos="132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nonqualified deferred compensation plan within the meaning of Section 409A of the Code has been established, administered, operated and maintained in operational and documentary compliance with Section 409A of the Code and applicable regulations and guidance thereunder, and no amount under any such Company Plan is, has been or is reasonably expected to be subject to any Tax under Section 409A of the Code, in each case, except as would not, individually or in the aggregate, have a Material Adverse Effect. Neither the Company nor any of its Subsidiaries nor any of the Affiliated Professional Entities is a party to, or is otherwise obligated under, any plan, policy, agreement or arrangement that provides for the gross-up or reimbursement (or similar “make whole” payments or indemnities) of Taxes imposed under Sections 409A or 4999 of the Code (or any corresponding provisions of state or local Law relating to Tax).</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(i) each Non-U.S. Company Plan which is intended to qualify for special Tax treatment meets all requirements for such Tax treatment and (ii) each Non-U.S. Company Plan that is intended to be funded or book reserved is fully funded or book reserved, as appropriate, based upon reasonable actuarial assumptions. “</w:t>
      </w:r>
      <w:r>
        <w:rPr>
          <w:rFonts w:ascii="Times New Roman" w:cs="Times New Roman" w:eastAsia="Times New Roman" w:hAnsi="Times New Roman"/>
          <w:sz w:val="18"/>
          <w:szCs w:val="18"/>
          <w:u w:val="single" w:color="auto"/>
          <w:color w:val="auto"/>
        </w:rPr>
        <w:t>Non-U.S. Company Plan</w:t>
      </w:r>
      <w:r>
        <w:rPr>
          <w:rFonts w:ascii="Times New Roman" w:cs="Times New Roman" w:eastAsia="Times New Roman" w:hAnsi="Times New Roman"/>
          <w:sz w:val="18"/>
          <w:szCs w:val="18"/>
          <w:color w:val="auto"/>
        </w:rPr>
        <w:t>” means each Company Plan subject to Laws outside of the United States (whether or not United States Laws also apply).</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20" w:right="220" w:firstLine="987"/>
        <w:spacing w:after="0" w:line="276" w:lineRule="auto"/>
        <w:tabs>
          <w:tab w:leader="none" w:pos="1356"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3.11(a) of the Company Disclosure Letter contains a true and complete list, as of the date of this Agreement, for each current employee of the Company and its Subsidiaries and the Affiliated Professional Entities, such employee’s (i) name or employee identification number;</w:t>
      </w:r>
    </w:p>
    <w:p>
      <w:pPr>
        <w:ind w:left="380" w:hanging="264"/>
        <w:spacing w:after="0"/>
        <w:tabs>
          <w:tab w:leader="none" w:pos="3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or hourly wage rate, as applicable; (iii) annual target bonus percentage or amount, as applicable; (iv) title; (v) employer;</w:t>
      </w:r>
    </w:p>
    <w:p>
      <w:pPr>
        <w:spacing w:after="0" w:line="9" w:lineRule="exact"/>
        <w:rPr>
          <w:sz w:val="20"/>
          <w:szCs w:val="20"/>
          <w:color w:val="auto"/>
        </w:rPr>
      </w:pPr>
    </w:p>
    <w:p>
      <w:pPr>
        <w:ind w:left="420" w:hanging="304"/>
        <w:spacing w:after="0"/>
        <w:tabs>
          <w:tab w:leader="none" w:pos="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work location; (vii) whether exempt from the Fair Labor Standards Act; and (viii) whether active or on leave.</w:t>
      </w:r>
    </w:p>
    <w:p>
      <w:pPr>
        <w:spacing w:after="0" w:line="206"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Collective Bargaining Agreements and no employee of the Company or any of its Subsidiaries or any of the Affiliated Professional Entities is subject to any Collective Bargaining Agreement. Except as would not, individually or in the aggregate, have a Material Adverse Effect, there is no pending or, to the Knowledge of the Company, threatened labor strike, lockout, slowdown or work stoppage by or with respect to the employees of the Company or any of its Subsidiaries or any of the Affiliated Professional Entities.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73" w:lineRule="auto"/>
        <w:tabs>
          <w:tab w:leader="none" w:pos="1356"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the Affiliated Professional Entities are in compliance with all applicable Laws relating to labor and employment matters, including occupational safety and health standards, terms and conditions of employment, payment of wages, classification of employees and contractors, immigration, meal and rest breaks, overtime, employment equality, human rights, pay equity and workers’ compensation, except as would not, individually or in the aggregate, have a Material Adverse Effect. There are no grievances, complaints or charges with respect to employment or labor matters (including allegations of employment discrimination, wage and hour violations, sexual or other discriminatory harassment, sexual assault, retaliation or unfair labor practices) pending or, to the Knowledge of the Company, threatened in writing against the Company or any of its Subsidiaries or any of the Affiliated Professional Entities, except as would not, individually or in the aggregate, have a Material Adverse Effect.</w:t>
      </w:r>
    </w:p>
    <w:p>
      <w:pPr>
        <w:spacing w:after="0" w:line="171"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have a Material Adverse Effect, (a) the Company and each of its Subsidiaries and each of the Affiliated Professional Entities is, and has been since January 1, 2024, in compliance with all applicable Laws relating to pollution or the protection of human health and safety (as it relates to exposure to hazardous or toxic substances) or the environment or natural resources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(b) the Company and its Subsidiaries and the Affiliated Professional Entities possess and are in compliance with all Permits required under Environmental Laws for the operation of their respective businesses, (c) there is no Action, or written notice of violation or liability, under or pursuant to any Environmental Law that is pending or, to the Knowledge of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threatened in writing since January 1, 2024 against the Company or any of its Subsidiaries or any of the Affiliated Professional Entities, (d) neither the Company nor any of its Subsidiaries nor any of the Affiliated Professional Entities is subject to any Judgment imposed by any Governmental Authority under which there are outstanding or unresolved obligations arising under Environmental Laws on the part of the Company or its Subsidiaries or the Affiliated Professional Entities and (e) neither the Company nor any of its Subsidiaries nor any of the Affiliated Professional Entities is conducting or funding any cleanup or other remedial activities under Environmental Law as a result of any release, spill or disposal of any hazardous or toxic substances at, in or under any real property leased by the Company or any of its Subsidiaries or any of the Affiliated Professional Entities.</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60" w:hanging="253"/>
        <w:spacing w:after="0"/>
        <w:tabs>
          <w:tab w:leader="none" w:pos="13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of the Company Disclosure Letter lists, as of the date of this Agreement, the following Owned Company Intellectual</w:t>
      </w:r>
    </w:p>
    <w:p>
      <w:pPr>
        <w:spacing w:after="0" w:line="27"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 all Registered Company Intellectual Property, (ii) all material unregistered Trademarks and (iii) all material Software. The Company and its Subsidiaries and the Affiliated Professional Entities own all of the Owned Company Intellectual Property, free and clear of all Encumbrances (other than Permitted Encumbrances). All of the Registered Company Intellectual Property is subsisting and, to the Knowledge of the Company, valid and enforceable and has been duly maintained and has not expired, been cancelled or abandoned.</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72" w:lineRule="auto"/>
        <w:tabs>
          <w:tab w:leader="none" w:pos="1366"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one of its Subsidiaries or one of the Affiliated Professional Entities owns, is licensed (or otherwise has the right) to use all material Intellectual Property reasonably necessary to conduct the business of the Company and its Subsidiaries and the Affiliated Professional Entities (taken as a whole) as conducted as of the date of this Agreement (collectively, the “</w:t>
      </w:r>
      <w:r>
        <w:rPr>
          <w:rFonts w:ascii="Times New Roman" w:cs="Times New Roman" w:eastAsia="Times New Roman" w:hAnsi="Times New Roman"/>
          <w:sz w:val="17"/>
          <w:szCs w:val="17"/>
          <w:u w:val="single" w:color="auto"/>
          <w:color w:val="auto"/>
        </w:rPr>
        <w:t>Company Intellectual Property</w:t>
      </w:r>
      <w:r>
        <w:rPr>
          <w:rFonts w:ascii="Times New Roman" w:cs="Times New Roman" w:eastAsia="Times New Roman" w:hAnsi="Times New Roman"/>
          <w:sz w:val="17"/>
          <w:szCs w:val="17"/>
          <w:color w:val="auto"/>
        </w:rPr>
        <w:t xml:space="preserve">”); provided that nothing in this </w:t>
      </w:r>
      <w:r>
        <w:rPr>
          <w:rFonts w:ascii="Times New Roman" w:cs="Times New Roman" w:eastAsia="Times New Roman" w:hAnsi="Times New Roman"/>
          <w:sz w:val="17"/>
          <w:szCs w:val="17"/>
          <w:u w:val="single" w:color="auto"/>
          <w:color w:val="auto"/>
        </w:rPr>
        <w:t>Section 3.13(b)</w:t>
      </w:r>
      <w:r>
        <w:rPr>
          <w:rFonts w:ascii="Times New Roman" w:cs="Times New Roman" w:eastAsia="Times New Roman" w:hAnsi="Times New Roman"/>
          <w:sz w:val="17"/>
          <w:szCs w:val="17"/>
          <w:color w:val="auto"/>
        </w:rPr>
        <w:t xml:space="preserve"> shall be interpreted or construed as a representation or warranty with respect to whether there is any infringement of any Intellectual Property, which is the subject of </w:t>
      </w:r>
      <w:r>
        <w:rPr>
          <w:rFonts w:ascii="Times New Roman" w:cs="Times New Roman" w:eastAsia="Times New Roman" w:hAnsi="Times New Roman"/>
          <w:sz w:val="17"/>
          <w:szCs w:val="17"/>
          <w:u w:val="single" w:color="auto"/>
          <w:color w:val="auto"/>
        </w:rPr>
        <w:t>Section 3.13(g)</w:t>
      </w:r>
      <w:r>
        <w:rPr>
          <w:rFonts w:ascii="Times New Roman" w:cs="Times New Roman" w:eastAsia="Times New Roman" w:hAnsi="Times New Roman"/>
          <w:sz w:val="17"/>
          <w:szCs w:val="17"/>
          <w:color w:val="auto"/>
        </w:rPr>
        <w:t>. The Company Intellectual Property owned or used by the Company and its Subsidiaries and the Affiliated Professional Entities immediately prior to Closing has not been made unavailable for continued ownership or use (as applicable) immediately after the Closing on substantially identical terms and conditions as owned or used by the Company and its Subsidiaries and the Affiliated Professional Entities prior to Closing as a result of any act or omission of the Company or any of its Subsidiaries or any of the Affiliated Professional Entities.</w:t>
      </w:r>
    </w:p>
    <w:p>
      <w:pPr>
        <w:spacing w:after="0" w:line="171" w:lineRule="exact"/>
        <w:rPr>
          <w:rFonts w:ascii="Times New Roman" w:cs="Times New Roman" w:eastAsia="Times New Roman" w:hAnsi="Times New Roman"/>
          <w:sz w:val="17"/>
          <w:szCs w:val="17"/>
          <w:color w:val="auto"/>
        </w:rPr>
      </w:pPr>
    </w:p>
    <w:p>
      <w:pPr>
        <w:ind w:left="120" w:right="100" w:firstLine="987"/>
        <w:spacing w:after="0" w:line="261" w:lineRule="auto"/>
        <w:tabs>
          <w:tab w:leader="none" w:pos="13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neither the Company nor any of its Subsidiaries nor any of the Affiliated Professional Entities have entered into any consents, judgments, orders, indemnification agreements, forbearances to sue or settlement agreements that adversely affect the Company’s or its Subsidiaries’ or the Affiliated Professional Entities’ rights to own, use, make, transfer, encumber, assign, license, distribute, convey, sell or otherwise exploit the Owned Company Intellectual Property.</w:t>
      </w:r>
    </w:p>
    <w:p>
      <w:pPr>
        <w:spacing w:after="0" w:line="179"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36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its Subsidiaries and the Affiliated Professional Entities have taken commercially reasonable measures to protect and maintain the confidentiality of Proprietary Information included in the Owned Company Intellectual Property.</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no government funding, facilities of a university, college, hospital, foundation, other educational institution or research center or other funding from third parties provided specifically for research and development was used in the development of any Owned Company Intellectual Property in a manner that has resulted in such third party retaining any claim of ownership or right to use any such Owned Company Intellectual Property. To the Knowledge of the Company, no Person who was involved in, or who contributed to, the creation or development of any Company Intellectual Property has performed services for the government, university, college, hospital, foundation or other educational institution or research center in a manner that would materially affect Company’s and its Subsidiaries’ and the Affiliated Professional Entities’ rights in the Owned Company Intellectual Property.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firstLine="987"/>
        <w:spacing w:after="0" w:line="261" w:lineRule="auto"/>
        <w:tabs>
          <w:tab w:leader="none" w:pos="13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all employees and material consultants of the Company and its Subsidiaries and the Affiliated Professional Entities who have developed within the scope of their employment or engagement any Owned Company Intellectual Property have entered into appropriate agreements providing for the assignment of all of their right, title and interest in any such Owned Company Intellectual Property to the Company or any of its Subsidiaries or any of the Affiliated Professional Entities.</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no adverse third-party Actions are pending or, to the Knowledge of the Company, since January 1, 2024, have been threatened in writing against the Company or any of its Subsidiaries or any of the Affiliated Professional Entities (i) challenging the ownership, validity or use by the Company or any of its Subsidiaries or any of the Affiliated Professional Entities of any Owned Company Intellectual Property or (ii) alleging that the Company or any of its Subsidiaries or any of the Affiliated Professional Entities have infringed, misappropriated or otherwise violated the Intellectual Property of any Person. Except as would not, individually or in the aggregate, have a Material Adverse Effect, to the Knowledge of the Company, since January 1, 2024, the Owned Company Intellectual Property and the operation of the business of the Company and its Subsidiaries and the Affiliated Professional Entities has not infringed, misappropriated or otherwise violated the rights of any other Person.</w:t>
      </w:r>
    </w:p>
    <w:p>
      <w:pPr>
        <w:spacing w:after="0" w:line="191" w:lineRule="exact"/>
        <w:rPr>
          <w:rFonts w:ascii="Times New Roman" w:cs="Times New Roman" w:eastAsia="Times New Roman" w:hAnsi="Times New Roman"/>
          <w:sz w:val="18"/>
          <w:szCs w:val="18"/>
          <w:color w:val="auto"/>
        </w:rPr>
      </w:pPr>
    </w:p>
    <w:p>
      <w:pPr>
        <w:ind w:left="120" w:right="220" w:firstLine="987"/>
        <w:spacing w:after="0" w:line="281" w:lineRule="auto"/>
        <w:tabs>
          <w:tab w:leader="none" w:pos="1366"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have a Material Adverse Effect, since January 1, 2024 (i) no Person is or has been infringing, misappropriating or otherwise violating the rights of the Company or any of its Subsidiaries or any of the Affiliated Professional Entities with respect to any Owned Company Intellectual Property and (ii) no Actions are pending or, to the Knowledge of the Company, have been threatened in writing against any other Person by or on behalf of the Company or any of its Subsidiaries or any of the Affiliated Professional Entities.</w:t>
      </w:r>
    </w:p>
    <w:p>
      <w:pPr>
        <w:spacing w:after="0" w:line="164" w:lineRule="exact"/>
        <w:rPr>
          <w:rFonts w:ascii="Times New Roman" w:cs="Times New Roman" w:eastAsia="Times New Roman" w:hAnsi="Times New Roman"/>
          <w:sz w:val="17"/>
          <w:szCs w:val="17"/>
          <w:color w:val="auto"/>
        </w:rPr>
      </w:pPr>
    </w:p>
    <w:p>
      <w:pPr>
        <w:ind w:left="120" w:right="80" w:firstLine="987"/>
        <w:spacing w:after="0" w:line="256" w:lineRule="auto"/>
        <w:tabs>
          <w:tab w:leader="none" w:pos="132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all of the Software included in the Owned Company Intellectual Property (the “</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complies with the contractual commitments relating to its use, functionality, or performance. Except as would not, individually or in the aggregate, have a Material Adverse Effect, the Company Software does not contain any intentional undisclosed feature (including any time bomb, virus, software lock, drop-dead device, malicious logic, worm, Trojan horse, or spyware) that is capable of (or that allows any untrusted party to be capable of) accessing, modifying, deleting, damaging, disabling, deactivating, interfering with or otherwise harming any computers, networks, data or other electronically stored information, or computer programs or systems.</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2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its Subsidiaries and the Affiliated Professional Entities have not disclosed, delivered, licensed or made available to any escrow agent or other Person, agreed to disclose, deliver, license or make available to any escrow agent or other Person, any source code for any Company Software, except for disclosures to employees or contractors under written agreements that prohibit further disclosure other than under confidentiality. Except as would not, individually or in the aggregate, have a Material Adverse Effect, no event has occurred, and no circumstance or condition exists, that (with or without notice or lapse of time, or both) shall, or would reasonably be expected to, result in the disclosure or delivery by the Company or any of its Subsidiaries or any of the Affiliated Professional Entities or any other Person acting on their behalf to any third party of any source code for any Company Software.</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(i) the Company and its Subsidiaries and the Affiliated Professional Entities have complied in all respects with the requirements of the licenses for any third-party components (including Open Source Software) incorporated into any Company Software and (ii) the Company and its Subsidiaries and the Affiliated Professional Entities have not used any Open Source Software in such a way that would obligate the Company or any of its Subsidiaries or any of the Affiliated Professional Entities under the terms of such licenses to distribute, license or make available to any third party the source code of any of the Company Software.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Data Privacy and Technology; Information Security</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left="120" w:firstLine="987"/>
        <w:spacing w:after="0" w:line="258" w:lineRule="auto"/>
        <w:tabs>
          <w:tab w:leader="none" w:pos="135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its Subsidiaries and the Affiliated Professional Entities are and, since January 1, 2024, have been in compliance with (i) applicable Data Privacy Laws, (ii) all obligations regarding the collection, storage, processing, disclosure and use of Personal Information to which it is bound under Contract and (iii) the Company’s and its Subsidiaries’ and the Affiliated Professional Entities’ publicly posted external privacy policies regarding the Company’s and its Subsidiaries’ and the Affiliated Professional Entities’ collection, storage, processing, disclosure and use of Personal Information.</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since January 1, 2024, neither the Company nor any of its Subsidiaries nor any of the Affiliated Professional Entities has experienced any breaches, outages or unauthorized uses of or accesses to the Company IT Assets or any breaches or unauthorized uses of or accesses to Personal Information within the possession or control of the Company or any of its Subsidiaries or any of the Affiliated Professional Entities. Since January 1, 2024, there has been no malfunction, failure, continued substandard performance, denial-of-service, or other cyber incident, including any cyberattack, or other impairment of the Company IT Assets that has resulted in a material disruption or material damage to the business of the Company and that has not been remedied.</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5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IT Assets operate and perform as necessary to permit the Company and its Subsidiaries and the Affiliated Professional Entities to conduct the business of the Company and its Subsidiaries and the Affiliated Professional Entities (taken as a whole) as conducted as of the date hereof. The Company and its Subsidiaries and the Affiliated Professional Entities have taken commercially reasonable steps and implemented commercially reasonable safeguards designed to protect the Company IT Assets and Personal Information stored on Company IT Assets from unauthorized access and from any disabling codes or instructions, spyware, Trojan horses, worms, viruses or other Software routines that permit or cause unauthorized access to, or unauthorized disruption, impairment, disablement or destruction of, Software or proprietary data.</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no Governmental Authority or other Person has commenced or threatened in writing any litigation or other written complaint, audit, proceeding, fines, judgments, claim or investigation (formal or informal), arising from or relating to any of the Company’s (or any of its Subsidiaries’ or any of the Affiliated Professional Entities’) information privacy, protection or security practices or related to the Company’s (or any of its Subsidiaries’ or any of the Affiliated Professional Entities’) collection, use, processing, storage, transfer and security of Personal Information by the Company or any of its Subsidiaries or any of the Affiliated Professional Entities in any jurisdiction in which the Company or any of its Subsidiaries or any of the Affiliated Professional Entities operate their respective business.</w:t>
      </w:r>
    </w:p>
    <w:p>
      <w:pPr>
        <w:spacing w:after="0" w:line="188" w:lineRule="exact"/>
        <w:rPr>
          <w:rFonts w:ascii="Times New Roman" w:cs="Times New Roman" w:eastAsia="Times New Roman" w:hAnsi="Times New Roman"/>
          <w:sz w:val="18"/>
          <w:szCs w:val="18"/>
          <w:color w:val="auto"/>
        </w:rPr>
      </w:pPr>
    </w:p>
    <w:p>
      <w:pPr>
        <w:ind w:left="120" w:right="220" w:firstLine="987"/>
        <w:spacing w:after="0" w:line="255" w:lineRule="auto"/>
        <w:tabs>
          <w:tab w:leader="none" w:pos="135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its Subsidiaries and the Affiliated Professional Entities have obtained all Privacy Consents as required under applicable Data Privacy Laws for all Processing of Personal Information performed by or on behalf of the Company and its Subsidiaries and the Affiliated Professional Entities, and the Company and its Subsidiaries and the Affiliated Professional Entities hold all records evidencing such Privacy Consents. The Company and its Subsidiaries and the Affiliated Professional Entities have the valid and legal right (whether contractually, by Law, or otherwise) to Process all Personal Information for the purpose such Personal Information was collected, used, or disclosed in connection with the Company’s and its Subsidiaries’ and the Affiliated Professional Entities operation of their respective business.</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76" w:lineRule="auto"/>
        <w:tabs>
          <w:tab w:leader="none" w:pos="133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have a Material Adverse Effect, to the extent necessary or required, the Company and its Subsidiaries and the Affiliated Professional Entities are in compliance, and have been in compliance since January 1, 2024, with (i) PCI DSS,</w:t>
      </w:r>
    </w:p>
    <w:p>
      <w:pPr>
        <w:ind w:left="380" w:hanging="264"/>
        <w:spacing w:after="0"/>
        <w:tabs>
          <w:tab w:leader="none" w:pos="3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card brand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rules and (iii) requirements in any Contracts between the Company (or any of its Subsidiaries or any of the Affiliated Professional Entities) and its payment processor and/or acquiring bank.</w:t>
      </w:r>
    </w:p>
    <w:p>
      <w:pPr>
        <w:spacing w:after="0" w:line="162" w:lineRule="exact"/>
        <w:rPr>
          <w:sz w:val="20"/>
          <w:szCs w:val="20"/>
          <w:color w:val="auto"/>
        </w:rPr>
      </w:pPr>
    </w:p>
    <w:p>
      <w:pPr>
        <w:ind w:left="120" w:right="20" w:firstLine="987"/>
        <w:spacing w:after="0" w:line="256" w:lineRule="auto"/>
        <w:tabs>
          <w:tab w:leader="none" w:pos="136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each of its Subsidiaries and each of the Affiliated Professional Entities has entered into a data processing agreement with each of its vendors and subcontractors that reasonably protects the privacy and security of Personal Information and complies in all material respects with applicable Data Privacy Laws. Except as would not, individually or in the aggregate, have a Material Adverse Effect, since January 1, 2024, neither the Company nor any of its Subsidiaries nor any of the Affiliated Professional Entities has received written notice of any breach of a data processing agreement with a vendor or other subcontractor of the Company or any of its Subsidiaries or any of the Affiliated Professional Entities.</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2" w:lineRule="auto"/>
        <w:tabs>
          <w:tab w:leader="none" w:pos="136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2024, neither the Company nor any of its Subsidiaries nor any of the Affiliated Professional Entities has received written notice of, and there is no material Action pending or threatened with respect to, any alleged “breach” (as defined in 45 C.F.R. § 164.402) or any material violation of HIPAA or other Laws governing the privacy and security of personal or health information by the Company and its Subsidiaries and the Affiliated Professional Entities. As of the date of this Agreement, no material “breach” (as defined in 45 C.F.R. § 164.402) involving the Company or any of its Subsidiaries or any of the Affiliated Professional Entities or any of its or their “workforce” or successful “security incident” (as defined in 45 C.F.R. § 164.304) has occurred with respect to “protected health information” (as defined in 45 C.F.R. § 160.103) in the possession or under the control of the Company and its Subsidiaries and the Affiliated Professional Entities. The Company and its Subsidiaries and the Affiliated Professional Entities have (i) executed and maintained business associate agreements with each Person who is a “</w:t>
      </w:r>
      <w:r>
        <w:rPr>
          <w:rFonts w:ascii="Times New Roman" w:cs="Times New Roman" w:eastAsia="Times New Roman" w:hAnsi="Times New Roman"/>
          <w:sz w:val="18"/>
          <w:szCs w:val="18"/>
          <w:i w:val="1"/>
          <w:iCs w:val="1"/>
          <w:color w:val="auto"/>
        </w:rPr>
        <w:t>covered entity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associate</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i w:val="1"/>
          <w:iCs w:val="1"/>
          <w:color w:val="auto"/>
        </w:rPr>
        <w:t>subcontractor</w:t>
      </w:r>
      <w:r>
        <w:rPr>
          <w:rFonts w:ascii="Times New Roman" w:cs="Times New Roman" w:eastAsia="Times New Roman" w:hAnsi="Times New Roman"/>
          <w:sz w:val="18"/>
          <w:szCs w:val="18"/>
          <w:color w:val="auto"/>
        </w:rPr>
        <w:t>” of the Company and its Subsidiaries and the Affiliated Professional Entities, (ii) when acting as a “part 2 program” (as defined at 42 C.F.R. § 2.11), executed and maintained a qualified service organization agreement with each Person which is a “qualified service organization” (as defined at 42 C.F.R. § 2.11) of the “part 2 program,” and (iii) when acting as a “qualified service organization,” executed and maintained a qualified service organization agreement with each Person which is a “part 2 program” served by the “qualified service organization.” The Company and its Subsidiaries and the Affiliated Professional Entities have completed a periodic security “risk analysis” as described and to the extent required by 45 C.F.R. § 164.308(a)(1)(ii)(A). Except as would not, individually or in the aggregate, have a Material Adverse Effect, the Company and its Subsidiaries and the Affiliated Professional Entities have promptly addressed and fully remediated all threats and deficiencies identified in every security risk analysis. Except as would not, individually or in the aggregate, have a Material Adverse Effect, neither the execution, delivery or performance of this Agreement by the Company, nor the consummation of the Transactions by the Company, including any direct or indirect transfer of Personal Information resulting from such transactions, will violate any Data Privacy Laws or Privacy Consents.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Neither the Company nor any of its Subsidiaries nor any of the Affiliated Professional Entities owns, or has ever owned, any real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w:t>
      </w:r>
    </w:p>
    <w:p>
      <w:pPr>
        <w:spacing w:after="0" w:line="207" w:lineRule="exact"/>
        <w:rPr>
          <w:sz w:val="20"/>
          <w:szCs w:val="20"/>
          <w:color w:val="auto"/>
        </w:rPr>
      </w:pPr>
    </w:p>
    <w:p>
      <w:pPr>
        <w:ind w:left="120" w:firstLine="987"/>
        <w:spacing w:after="0" w:line="254" w:lineRule="auto"/>
        <w:tabs>
          <w:tab w:leader="none" w:pos="136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3.15(b) of the Company Disclosure Letter lists, as of the date of this Agreement, the address of each Leased Real Property and the Company Lease with respect thereto. The Company has delivered to Parent a true and complete copy of each Company Lease document. Except as would not, individually or in the aggregate, have a Material Adverse Effect, with respect to each Company Lease, (i) the Company or one of its Subsidiaries has a good and valid leasehold, sub-leasehold or license interest (as lessee, sublessee or licensee) in each Leased Real Property, free and clear of all Encumbrances (other than Permitted Encumbrances), subject to the terms of such Company Lease, (ii) such Company Lease is legal, valid, binding, enforceable and in full force and effect, (iii) the Company’s or one of its Subsidiaries’ possession and quiet enjoyment of the Leased Real Property under such Company Lease has not been disturbed, and to the Knowledge of the Company, there are no disputes with respect to such Leased Real Property, (iv) neither the Company nor any of its Subsidiaries has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060"/>
          </w:cols>
          <w:pgMar w:left="320" w:top="455" w:right="5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received written notice of any Actions in eminent domain, condemnation or other similar Actions that are pending, and, to the Knowledge of the Company, there are no such Actions threatened, in each case, affecting any portion of the Leased Real Property, (v) no Leased Real Property is subject to any license, sublease or use and occupancy agreement pursuant to which the Company or any of its Subsidiaries has granted any third party the right to lease, sublease, use or occupy all or any portion of any Leased Real Property, (vi) neither the Company nor any of its Subsidiaries nor any other party to such Company Lease is in breach or default under such Company Lease, and no event has occurred or circumstance exists which, with the delivery of notice, the passage of time or both, would constitute such a breach or default, or permit the termination, modification or acceleration of rent under such Company Lease, (vii) no security deposit or portion thereof deposited with respect such Company Lease has been applied in respect of a breach or default under such Company Lease which has not been redeposited in full and (viii) the other party to such Company Lease is not an Affiliate of, and otherwise does not have any economic interest in, the Company or any of its Subsidiaries. The Leased Real Property identified on Section 3.15(b) of the Company Disclosure Letter comprises all of the real property used or intended to be used in, or otherwise related to, the business of the Company and its Subsidiaries and the Affiliated Professional Entities.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1" w:lineRule="auto"/>
        <w:tabs>
          <w:tab w:leader="none" w:pos="1356"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3.16(a) of the Company Disclosure Letter sets forth a true and complete list, as of the date of this Agreement, of each Material Contract. For purposes of this Agreement,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any Contract (but excluding any Company Plan or Collective Bargaining Agreement) to which the Company, any of its Subsidiaries or any of the Affiliated Professional Entities is a party or by which the Company, any of its Subsidiaries or any of the Affiliated Professional Entities or any of their respective properties or assets is bound that:</w:t>
      </w:r>
    </w:p>
    <w:p>
      <w:pPr>
        <w:spacing w:after="0" w:line="71"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19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filed or required to be filed as an exhibit to the Company’s Annual Report on Form 10-K or is otherwise a “material contract” (as such term is defined in Item 601(b)(10) of Regulation S-K under the Securities Act);</w:t>
      </w:r>
    </w:p>
    <w:p>
      <w:pPr>
        <w:spacing w:after="0" w:line="53" w:lineRule="exact"/>
        <w:rPr>
          <w:rFonts w:ascii="Times New Roman" w:cs="Times New Roman" w:eastAsia="Times New Roman" w:hAnsi="Times New Roman"/>
          <w:sz w:val="18"/>
          <w:szCs w:val="18"/>
          <w:color w:val="auto"/>
        </w:rPr>
      </w:pPr>
    </w:p>
    <w:p>
      <w:pPr>
        <w:jc w:val="both"/>
        <w:ind w:left="560" w:right="60" w:firstLine="419"/>
        <w:spacing w:after="0" w:line="266" w:lineRule="auto"/>
        <w:tabs>
          <w:tab w:leader="none" w:pos="124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joint venture, partnership, co-investment, limited liability company, strategic alliance or other similar arrangement that is material to the business of the Company or any of its Subsidiaries, other than with respect to any arrangement that is solely between or among the Company, any of its wholly owned Subsidiaries and any of the Affiliated Professional Entities;</w:t>
      </w:r>
    </w:p>
    <w:p>
      <w:pPr>
        <w:spacing w:after="0" w:line="67" w:lineRule="exact"/>
        <w:rPr>
          <w:rFonts w:ascii="Times New Roman" w:cs="Times New Roman" w:eastAsia="Times New Roman" w:hAnsi="Times New Roman"/>
          <w:sz w:val="18"/>
          <w:szCs w:val="18"/>
          <w:color w:val="auto"/>
        </w:rPr>
      </w:pPr>
    </w:p>
    <w:p>
      <w:pPr>
        <w:ind w:left="560" w:right="60" w:firstLine="419"/>
        <w:spacing w:after="0" w:line="281" w:lineRule="auto"/>
        <w:tabs>
          <w:tab w:leader="none" w:pos="129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provides for (x) indebtedness for borrowed money or any guarantee of indebtedness for borrowed money or (y) the mortgaging, pledging or otherwise placing of any Encumbrance (other than any Permitted Encumbrance) on any material portion of the assets or properties, in each case of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of the Company or any of its Subsidiaries and having an outstanding or committed amount in excess of $1,000,000, other than indebtedness solely between or among any of the Company, its Subsidiaries and any of the Affiliated Professional Entities;</w:t>
      </w:r>
    </w:p>
    <w:p>
      <w:pPr>
        <w:spacing w:after="0" w:line="56" w:lineRule="exact"/>
        <w:rPr>
          <w:rFonts w:ascii="Times New Roman" w:cs="Times New Roman" w:eastAsia="Times New Roman" w:hAnsi="Times New Roman"/>
          <w:sz w:val="17"/>
          <w:szCs w:val="17"/>
          <w:color w:val="auto"/>
        </w:rPr>
      </w:pPr>
    </w:p>
    <w:p>
      <w:pPr>
        <w:jc w:val="both"/>
        <w:ind w:left="560" w:right="240" w:firstLine="419"/>
        <w:spacing w:after="0" w:line="276" w:lineRule="auto"/>
        <w:tabs>
          <w:tab w:leader="none" w:pos="128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acquisition or disposition of any business, assets, properties or equity interests (whether by merger, sale of stock, sale of assets or otherwise) for aggregate consideration under such Contract in excess of $1,000,000 (A) that was entered into after January 1, 2024 or</w:t>
      </w:r>
    </w:p>
    <w:p>
      <w:pPr>
        <w:ind w:left="560" w:right="40" w:hanging="4"/>
        <w:spacing w:after="0" w:line="252" w:lineRule="auto"/>
        <w:tabs>
          <w:tab w:leader="none" w:pos="84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which any earn-out, indemnification or deferred or contingent payment obligations remain outstanding that would reasonably be expected to involve payments by or to the Company, any of its Subsidiaries or any of the Affiliated Professional Entities of more than $1,000,000, individually or in the aggregate,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excluding (x) acquisitions or dispositions of inventory or equipment in the ordinary course of business, (y) acquisitions or dispositions of assets that are obsolete, worn out, surplus or no longer used or useful in the conduct of business of the Company, its Subsidiaries or the Affiliated Professional Entities or (z) repurchases by the Company of Company Common Stock from Company employees;</w:t>
      </w:r>
    </w:p>
    <w:p>
      <w:pPr>
        <w:spacing w:after="0" w:line="81" w:lineRule="exact"/>
        <w:rPr>
          <w:rFonts w:ascii="Times New Roman" w:cs="Times New Roman" w:eastAsia="Times New Roman" w:hAnsi="Times New Roman"/>
          <w:sz w:val="18"/>
          <w:szCs w:val="18"/>
          <w:color w:val="auto"/>
        </w:rPr>
      </w:pPr>
    </w:p>
    <w:p>
      <w:pPr>
        <w:ind w:left="560" w:right="360" w:firstLine="419"/>
        <w:spacing w:after="0" w:line="282" w:lineRule="auto"/>
        <w:tabs>
          <w:tab w:leader="none" w:pos="123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pursuant to which any material Intellectual Property is licensed to the Company or any of its Subsidiaries or any of the Affiliated Professional Entities or (y) pursuant to which the Company or any of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20"/>
        <w:spacing w:after="0" w:line="256" w:lineRule="auto"/>
        <w:rPr>
          <w:sz w:val="20"/>
          <w:szCs w:val="20"/>
          <w:color w:val="auto"/>
        </w:rPr>
      </w:pPr>
      <w:r>
        <w:rPr>
          <w:rFonts w:ascii="Times New Roman" w:cs="Times New Roman" w:eastAsia="Times New Roman" w:hAnsi="Times New Roman"/>
          <w:sz w:val="18"/>
          <w:szCs w:val="18"/>
          <w:color w:val="auto"/>
        </w:rPr>
        <w:t xml:space="preserve">Subsidiaries or any of the Affiliated Professional Entities has granted to any Person a license in any material Owned Company Intellectual Property, in the case of each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excluding (A) licenses to off-the-shelf Software or other Software available on generally standard terms and conditions; (B) non-exclusive licenses granted or received in the ordinary course of business; (C) Contracts under which a license to Intellectual Property is merely incidental to the transaction contemplated in such Contract; (D) confidentiality and non-disclosure agreements entered into in the ordinary course of business; and (E) proprietary agreements with employees or contractors on standard forms (or substantially similar forms) of the Company or any of its Subsidiaries;</w:t>
      </w:r>
    </w:p>
    <w:p>
      <w:pPr>
        <w:spacing w:after="0" w:line="79" w:lineRule="exact"/>
        <w:rPr>
          <w:sz w:val="20"/>
          <w:szCs w:val="20"/>
          <w:color w:val="auto"/>
        </w:rPr>
      </w:pPr>
    </w:p>
    <w:p>
      <w:pPr>
        <w:ind w:left="560" w:right="540" w:firstLine="419"/>
        <w:spacing w:after="0" w:line="282" w:lineRule="auto"/>
        <w:tabs>
          <w:tab w:leader="none" w:pos="128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Company, any of its Subsidiaries or any of the Affiliated Professional Entities to make any capital expenditure in an amount in excess of $1,000,000 in any calendar year;</w:t>
      </w:r>
    </w:p>
    <w:p>
      <w:pPr>
        <w:spacing w:after="0" w:line="53" w:lineRule="exact"/>
        <w:rPr>
          <w:rFonts w:ascii="Times New Roman" w:cs="Times New Roman" w:eastAsia="Times New Roman" w:hAnsi="Times New Roman"/>
          <w:sz w:val="18"/>
          <w:szCs w:val="18"/>
          <w:color w:val="auto"/>
        </w:rPr>
      </w:pPr>
    </w:p>
    <w:p>
      <w:pPr>
        <w:ind w:left="560" w:right="60" w:firstLine="419"/>
        <w:spacing w:after="0" w:line="270" w:lineRule="auto"/>
        <w:tabs>
          <w:tab w:leader="none" w:pos="1338"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contains provisions that (A) prohibit in a material respect the Company, any of its Subsidiaries or any of the Affiliated Professional Entities from competing in or conducting any line of business or soliciting any Person for employment, service or engagement or grant a right of exclusivity to any Person that (x) prevents the Company, any of its Subsidiaries or any of the Affiliated Professional Entities from entering any geographic territory or (y) materially restricts future business activity of the Company, any of its Subsidiaries or any of the Affiliated Professional Entities or (B) are material “most-favored-nation” pricing provisions granted by the Company, any of its Subsidiaries or any of the Affiliated Professional Entities, in the case of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other than (1) Contracts that can be terminated (including such restrictive provisions) by the Company or any of its Subsidiaries on less than 90 days’ notice without payment by the Company or any of its Subsidiaries of any material penalty, (2) license agreements for Intellectual Property limiting the Company’s or its Subsidiaries’ use of such Intellectual Property to specified fields of use, (3) Contracts solely between or among the Company, any of its Subsidiaries and any of the Affiliated Professional Entities and (4) in the case of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nondisclosure agreements and Contracts with vendors entered into in the ordinary course of business;</w:t>
      </w:r>
    </w:p>
    <w:p>
      <w:pPr>
        <w:spacing w:after="0" w:line="68" w:lineRule="exact"/>
        <w:rPr>
          <w:rFonts w:ascii="Times New Roman" w:cs="Times New Roman" w:eastAsia="Times New Roman" w:hAnsi="Times New Roman"/>
          <w:sz w:val="17"/>
          <w:szCs w:val="17"/>
          <w:color w:val="auto"/>
        </w:rPr>
      </w:pPr>
    </w:p>
    <w:p>
      <w:pPr>
        <w:ind w:left="1380" w:hanging="401"/>
        <w:spacing w:after="0"/>
        <w:tabs>
          <w:tab w:leader="none" w:pos="13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any Affiliate Transaction;</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8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any of the top twenty (20) Third-Party Payor Programs by revenue received by the Company, its Subsidiaries and the Affiliated Professional Entities, on a combined basis, for the twelve (12)-month period ended as of December 31, 2025;</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1" w:lineRule="auto"/>
        <w:tabs>
          <w:tab w:leader="none" w:pos="123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settlement for any Action (x) involving any payments after the date of this Agreement from or by the Company, any of its Subsidiaries or any of the Affiliated Professional Entities in excess of $1,000,000, individually or in the aggregate, or (y) imposing any material non-monetary obligations or liabilities on the Company, any of its Subsidiaries or any of the Affiliated Professional Entities (other than customary non-disclosure obligations);</w:t>
      </w:r>
    </w:p>
    <w:p>
      <w:pPr>
        <w:spacing w:after="0" w:line="71"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8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any of the ten (10) largest vendors of the Company, its Subsidiaries and the Affiliated Professional Entities by aggregate spend, on a combined basis, for the twelve (12)-month period ended as of December 31, 2025;</w:t>
      </w:r>
    </w:p>
    <w:p>
      <w:pPr>
        <w:spacing w:after="0" w:line="53"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33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any Governmental Authority as a customer involving or reasonably likely to involve payments in excess of $1,000,000 in any calendar year; or</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payments of cash by the Company, any of its Subsidiaries or any of the Affiliated Professional Entities in excess of (x)</w:t>
      </w:r>
    </w:p>
    <w:p>
      <w:pPr>
        <w:spacing w:after="0" w:line="2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$1,000,000 in any twelve (12)-month period or (y) $5,000,000 over the term of such Contract, other than any Contract that can be terminated by the Company, any of its Subsidiaries or any of the Affiliated Professional Entities on less than 120 days’ notice without payment by the Company, any of its Subsidiaries or any of the Affiliated Professional Entities of any material penalty.</w:t>
      </w:r>
    </w:p>
    <w:p>
      <w:pPr>
        <w:spacing w:after="0" w:line="186" w:lineRule="exact"/>
        <w:rPr>
          <w:sz w:val="20"/>
          <w:szCs w:val="20"/>
          <w:color w:val="auto"/>
        </w:rPr>
      </w:pPr>
    </w:p>
    <w:p>
      <w:pPr>
        <w:ind w:left="120" w:firstLine="987"/>
        <w:spacing w:after="0" w:line="266" w:lineRule="auto"/>
        <w:tabs>
          <w:tab w:leader="none" w:pos="136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Contract that has expired in accordance with its terms or any Contract that has been terminated after the date of this Agreement in accordance with its terms (other than due to a breach of such Contract), (i) subject to the Bankruptcy and Equity Exception, each Material Contract is valid and binding on the Company, any of its Subsidiaries or any of the Affiliated Professional Entities to the extent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Person is a party thereto, as applicable, and to the Knowledge of the Company, each other party thereto, and is in full force and effect, except where the failure to be valid, binding or in full force and effect would not, individually or in the aggregate, have a Material Adverse Effect, (ii) the Company, each of its Subsidiaries and each of the Affiliated Professional Entities and, to the Knowledge of the Company, any other party thereto have performed all obligations required to be performed by each such Person under, and is not in default under or in breach of, each Material Contract, except where such nonperformance, default or breach would not, individually or in the aggregate, have a Material Adverse Effect, (iii) neither the Company nor any of its Subsidiaries nor any of the Affiliated Professional Entities has received written notice of the existence of any breach or default on the part of the Company, any of its Subsidiaries or any of the Affiliated Professional Entities under any Material Contract and, to the Knowledge of the Company, no event or condition has occurred or is reasonably expected to occur that, with or without notice or lapse of time or both, would constitute or result in such a breach or default, except where such breach or default would not, individually or in the aggregate, have a Material Adverse Effect and (iv) to the Knowledge of the Company, no counterparty under any Material Contract is in breach or default thereof, nor has any event or condition occurred or is existing which, with or without notice or lapse of time or both, would constitute or result in such a breach or default, except as would not, individually or in the aggregate, have a Material Adverse Effect.</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As of the date hereof, the Company has made available to Parent true, correct and complete copies of the Material Contracts.</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individually or in the aggregate, have a Material Adverse Effect, (a) the Company and its Subsidiaries and the Affiliated Professional Entities own or hold policies of insurance, or are self-insured, in amounts providing reasonably adequate coverage against all risks customarily insured against by companies in similar lines of business as the Company and its Subsidiaries and the Affiliated Professional Entities, (b) all such insurance policies are in full force and effect except for any expiration thereof in accordance with the terms thereof and all premiums and other payments due and payable on such insurance policies have been paid by the Company and its Subsidiaries and the Affiliated Professional Entities, (c) as of the date of this Agreement, no written notice of cancelation or modification has been received other than in connection with renewals in the ordinary course of business and (d) there is no existing default or event which, with the giving of notice or lapse of time or both, would constitute a default by any insured under such insurance policies. To the Knowledge of the Company, there are no outstanding material claims under any of the Company’s and its Subsidiaries’ and the Affiliated Professional Entities’ insurance policies for which coverage has been denied or disputed by the applicable insurance carrier or for which a carrier has provided a notice of reservation of rights.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Compliance with Healthcare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of its Subsidiaries and each of the Affiliated Professional Entity is, and has been since January 1, 2024, in compliance with all Healthcare Laws and Third-Party Payor Program rules, except as would not, individually or in the aggregate, have a Material Adverse Effect. Except as would not, individually or in the aggregate, have a Material Adverse Effect, no Action has been filed, commenced or, to the Company’s Knowledge, threatened against the Company, any of its Subsidiaries or any of the Affiliated Professional Entities alleging any failure to comply with any Healthcare Law and neither the Company nor any of its Subsidiaries nor any of the Affiliated Professional Entities has received written notice from any Governmental Authority relating to any actual or alleged violation of, default under, noncompliance with, or complaint to or investigation or inquiry or audit by any Governmental Authority with respect to, any Healthcare Laws. Except as would not, individually or in the aggregate, have a Material Adverse Effect, neither the Company nor any of its Subsidiaries nor any of the Affiliated Professional Entities has received written notice from any Governmental Authority of, and to the Company’s Knowledge, there are no, pending, active or threatened Actions, complaints, investigations, audits or inquiries pertaining to the Company, any of its Subsidiaries or any of the Affiliated Professional Entities with respect to any Healthcare Laws prohibiting, governing, regulating or relating to fee-splitting, self-referrals or payment or receipt of kickbacks in return for or to induce referrals.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8" w:lineRule="auto"/>
        <w:tabs>
          <w:tab w:leader="none" w:pos="136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is a party to an individual or corporate integrity agreement, or other similar Contract, in effect as of the date of this Agreement with the Office of Inspector General of the United States Department of Health and Human Services (the “</w:t>
      </w:r>
      <w:r>
        <w:rPr>
          <w:rFonts w:ascii="Times New Roman" w:cs="Times New Roman" w:eastAsia="Times New Roman" w:hAnsi="Times New Roman"/>
          <w:sz w:val="18"/>
          <w:szCs w:val="18"/>
          <w:u w:val="single" w:color="auto"/>
          <w:color w:val="auto"/>
        </w:rPr>
        <w:t>OIG</w:t>
      </w:r>
      <w:r>
        <w:rPr>
          <w:rFonts w:ascii="Times New Roman" w:cs="Times New Roman" w:eastAsia="Times New Roman" w:hAnsi="Times New Roman"/>
          <w:sz w:val="18"/>
          <w:szCs w:val="18"/>
          <w:color w:val="auto"/>
        </w:rPr>
        <w:t>”). Since January 1, 2024, neither the Company nor any of its Subsidiaries nor any of the Affiliated Professional Entities has made any self-disclosure to any Governmental Authority for any violation of Healthcare Laws, including any voluntary disclosure to OIG pursuant to the OIG’s self-disclosure protocol.</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since January 1, 2024, each of the Company, each of its Subsidiaries and each of the Affiliated Professional Entities has (i) prepared and timely filed all reports and billing records required to be filed with respect to each Third-Party Payor Program, (ii) paid all known and undisputed refunds, overpayments, discounts and adjustments due with respect to any such report or billing and (iii) not been audited or examined by any Third-Party Payor Program, other than routine additional document requests in the ordinary course of business. The Company, its Subsidiaries and the Affiliated Professional Entities collect copayments, deductibles and other patient financial responsibilities in material compliance with applicable Healthcare Laws. There is no pending or, to the Knowledge of the Company, threatened audit or investigation by any Third-Party Payor Program with respect to the Company’s, any of its Subsidiaries’ or any of the Affiliated Professional Entities’ billing practices, other than routine review and discussion regarding reimbursement claims. Except as would not, individually or in the aggregate, have a Material Adverse Effect, since January 1, 2024, to the extent that the Company, any of its Subsidiaries or any of the Affiliated Professional Entities has identified any overpayments from any Federal Health Care Program, the Company, such applicable Subsidiary or such applicable Affiliated Professional Entity has notified the applicable Governmental Authority and returned such overpayments within the timeframe required by applicable Healthcare Laws.</w:t>
      </w:r>
    </w:p>
    <w:p>
      <w:pPr>
        <w:spacing w:after="0" w:line="189" w:lineRule="exact"/>
        <w:rPr>
          <w:rFonts w:ascii="Times New Roman" w:cs="Times New Roman" w:eastAsia="Times New Roman" w:hAnsi="Times New Roman"/>
          <w:sz w:val="18"/>
          <w:szCs w:val="18"/>
          <w:color w:val="auto"/>
        </w:rPr>
      </w:pPr>
    </w:p>
    <w:p>
      <w:pPr>
        <w:jc w:val="both"/>
        <w:ind w:left="120" w:right="180" w:firstLine="987"/>
        <w:spacing w:after="0" w:line="261" w:lineRule="auto"/>
        <w:tabs>
          <w:tab w:leader="none" w:pos="136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 Affiliated Professional Entities are accredited by the accreditation organizations identified on Section 3.18(d) of the Company Disclosure Letter. Since January 1, 2024, no accreditation organization has given written notice to the Company or any of its Subsidiaries or any of the Affiliated Professional Entities, as applicable, of, or to the Knowledge of the Company threatened, any revocation, suspension or restriction of any such accreditation.</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5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have a Material Adverse Effect, the Company, its Subsidiaries and the Affiliated Professional Entities, with respect to their respective businesses, control persons, Healthcare Professionals (as defined below) and authorized representatives, in each case, acting on behalf of the Company, its Subsidiaries or the Affiliated Professional Entities, as applicable, are currently operating and, since January 1, 2024, have operated in compliance with the federal health care program anti-kickback statute (42 U.S.C. § 1320a-7b,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seq. </w:t>
      </w:r>
      <w:r>
        <w:rPr>
          <w:rFonts w:ascii="Times New Roman" w:cs="Times New Roman" w:eastAsia="Times New Roman" w:hAnsi="Times New Roman"/>
          <w:sz w:val="18"/>
          <w:szCs w:val="18"/>
          <w:color w:val="auto"/>
        </w:rPr>
        <w:t>and its implementing regulations), the federal physician self-referral law (commonly known as the Stark Law) (42 U.S.C. § 1395nn,</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regulations), Eliminating Kickbacks in Recovery Act (18 U.S.C. § 220) and all other applicable Laws with respect to direct and indirect compensation arrangements, ownership interests or other relationships between such Person and a patient, physician, Third-Party Payor Program or other Person in a position to refer, recommend or arrange for the referral of patients or other health care business (a “</w:t>
      </w:r>
      <w:r>
        <w:rPr>
          <w:rFonts w:ascii="Times New Roman" w:cs="Times New Roman" w:eastAsia="Times New Roman" w:hAnsi="Times New Roman"/>
          <w:sz w:val="18"/>
          <w:szCs w:val="18"/>
          <w:u w:val="single" w:color="auto"/>
          <w:color w:val="auto"/>
        </w:rPr>
        <w:t>Referral Source</w:t>
      </w:r>
      <w:r>
        <w:rPr>
          <w:rFonts w:ascii="Times New Roman" w:cs="Times New Roman" w:eastAsia="Times New Roman" w:hAnsi="Times New Roman"/>
          <w:sz w:val="18"/>
          <w:szCs w:val="18"/>
          <w:color w:val="auto"/>
        </w:rPr>
        <w:t>”) or to whom such Person refers, recommends or arranges for the referral of patients or other health care business (a “</w:t>
      </w:r>
      <w:r>
        <w:rPr>
          <w:rFonts w:ascii="Times New Roman" w:cs="Times New Roman" w:eastAsia="Times New Roman" w:hAnsi="Times New Roman"/>
          <w:sz w:val="18"/>
          <w:szCs w:val="18"/>
          <w:u w:val="single" w:color="auto"/>
          <w:color w:val="auto"/>
        </w:rPr>
        <w:t>Referral Recipient</w:t>
      </w:r>
      <w:r>
        <w:rPr>
          <w:rFonts w:ascii="Times New Roman" w:cs="Times New Roman" w:eastAsia="Times New Roman" w:hAnsi="Times New Roman"/>
          <w:sz w:val="18"/>
          <w:szCs w:val="18"/>
          <w:color w:val="auto"/>
        </w:rPr>
        <w:t>”). Except as would not, individually or in the aggregate, have a Material Adverse Effect, since January 1, 2024, neither the Company nor any of its Subsidiaries nor any of the Affiliated Professional Entities nor, to the Knowledge of the Company, any of their authorized representatives acting on behalf of the Company, its Subsidiaries or the Affiliated Professional Entities, as applicable, has, directly or indirectly, (i) offered or paid any remuneration (in cash or in kind) to or made any financial arrangements with any Referral Source to obtain any patient referrals or other business or payments from any such Person,</w:t>
      </w:r>
    </w:p>
    <w:p>
      <w:pPr>
        <w:spacing w:after="0" w:line="1" w:lineRule="exact"/>
        <w:rPr>
          <w:rFonts w:ascii="Times New Roman" w:cs="Times New Roman" w:eastAsia="Times New Roman" w:hAnsi="Times New Roman"/>
          <w:sz w:val="18"/>
          <w:szCs w:val="18"/>
          <w:color w:val="auto"/>
        </w:rPr>
      </w:pPr>
    </w:p>
    <w:p>
      <w:pPr>
        <w:ind w:left="120" w:right="100" w:hanging="4"/>
        <w:spacing w:after="0" w:line="253" w:lineRule="auto"/>
        <w:tabs>
          <w:tab w:leader="none" w:pos="3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or solicited any remuneration (in cash or in kind) from or made any financial arrangements with any Referral Recipient to make or deliver any patient or other health care business referrals, (iii) given or agreed to give any gift or gratuitous payment (in cash or in kind) to any such Referral Source or (iv) made or agreed to make any illegal contribution, gift or gratuitous payment (whether in money, property or services) to, or for the private use of, any Governmental Authority or any government official.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76" w:lineRule="auto"/>
        <w:tabs>
          <w:tab w:leader="none" w:pos="1336"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have a Material Adverse Effect, since January 1, 2024, none of the Company, its Subsidiaries, the Affiliated Professional Entities or any of their respective officers, directors, employees, contractors, agents or other representatives:</w:t>
      </w:r>
    </w:p>
    <w:p>
      <w:pPr>
        <w:ind w:left="120" w:right="20" w:hanging="4"/>
        <w:spacing w:after="0" w:line="252" w:lineRule="auto"/>
        <w:tabs>
          <w:tab w:leader="none" w:pos="33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been convicted of, charged with or entered into any settlement agreement with any Governmental Authority to avoid conviction of, any violation of any Healthcare Laws; (ii) has been excluded, suspended, debarred or proposed for debarment from participation, has received a written notice of their exclusion, suspension or debarment from participation, has been threatened in writing with exclusion, suspension or debarment from participation or is otherwise ineligible to participate in Third-Party Payor Programs; or (iii) has been convicted of, or entered into any settlement agreement with any Governmental Authority to avoid conviction of, any criminal offense relating to the delivery of any item or service under a Third-Party Payor Program or had a civil monetary penalty assessed against them under Section 1128A of the Social Security Act or any regulations promulgated thereunder,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related to the Company’s, its Subsidiaries’ and the Affiliated Professional Entities’ businesses.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January 1, 2024, each healthcare professional employed by, or under contract with, the Company, any of its Subsidiaries or any of the Affiliated Professional Entities (each, a “</w:t>
      </w:r>
      <w:r>
        <w:rPr>
          <w:rFonts w:ascii="Times New Roman" w:cs="Times New Roman" w:eastAsia="Times New Roman" w:hAnsi="Times New Roman"/>
          <w:sz w:val="18"/>
          <w:szCs w:val="18"/>
          <w:u w:val="single" w:color="auto"/>
          <w:color w:val="auto"/>
        </w:rPr>
        <w:t>Healthcare Professional</w:t>
      </w:r>
      <w:r>
        <w:rPr>
          <w:rFonts w:ascii="Times New Roman" w:cs="Times New Roman" w:eastAsia="Times New Roman" w:hAnsi="Times New Roman"/>
          <w:sz w:val="18"/>
          <w:szCs w:val="18"/>
          <w:color w:val="auto"/>
        </w:rPr>
        <w:t xml:space="preserve">”): (i) has held all required credentials, privileges, permits, licenses or other authorizations or certifications in each jurisdiction where such professionals were or are providing such services for or on behalf of the Company, any of its Subsidiaries or any of the Affiliated Professional Entities and such credentials, privileges, permits, licenses or other authorizations or certifications have not been suspended, revoked or restricted in any manner; and (ii) has complied with all Healthcare Laws in connection with the business of the Company, its Subsidiaries and the Affiliated Professional Entities, except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where failure to hold such authorizations or failure to comply, respectively, would not, individually or in the aggregate, have a Material Adverse Effect. To the Company’s Knowledge, since January 1, 2024, neither the Company nor any of its Subsidiaries nor any of the Affiliated Professional Entities have received any written communication from any Governmental Authority regarding any material violation of any Healthcare Law by any Healthcare Professional.</w:t>
      </w:r>
    </w:p>
    <w:p>
      <w:pPr>
        <w:spacing w:after="0" w:line="194"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6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 Affiliated Professional Entities (i) maintains or stores any controlled substances on its premises or (ii) prescribes any controlled substance listed on any Drug Enforcement Agency schedule.</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56" w:lineRule="auto"/>
        <w:tabs>
          <w:tab w:leader="none" w:pos="132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Corporate Practice Document is valid and legally binding and the Company and its Subsidiaries maintain Corporate Practice Documents with each Affiliated Professional Entity and its respective equityholder. Since January 1, 2024, no party to a Corporate Practice Document has materially breached any Corporate Practice Document. All amounts paid between any party to a Corporate Practice Document reflect the compensation structures set forth in the Corporate Practice Documents, and no such compensation constitutes impermissible fee-splitting under applicable Law. To the Knowledge of the Company, as of the date of this Agreement, no equityholder of any of the Affiliated Professional Entities has requested to disassociate in any manner or withdraw from any of the Affiliated Professional Entities.</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No Rights Agreement; Anti-Takeover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80" w:firstLine="987"/>
        <w:spacing w:after="0" w:line="282" w:lineRule="auto"/>
        <w:tabs>
          <w:tab w:leader="none" w:pos="135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the Company nor any of its Subsidiaries is a party to a stockholder rights agreement, “poison pill” or similar anti-takeover agreement or plan.</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6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as a result of the approval by the Board of Directors of the Company referred to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no “business combination,” “control share acquisition,” “fair price,” “moratorium” or other anti-takeover Law (each, a “</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applies or will apply to the Company pursuant to this Agreement or the Transactions.</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Board of Directors of the Company has received the opinion of Wells Fargo Securities, LLC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to the effect that, as of the date of such opinion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based upon and subject to the assumptions made, procedures followed, matters considered, qualifications and limitations on review set forth therein, the Merger Consideration to be paid to the holders of shares of Company Common Stock, other than (x) shares of Company Common Stock (i) owned by the Company or (ii) held by Parent or Merger Sub and (y) Appraisal Shares, in the Merger, is fair from a financial point of view to such holders. It is agreed and understood that such opinion is for the benefit of the Board of Directors of the Company and may not be relied on by Parent or Merger Sub.</w:t>
      </w:r>
    </w:p>
    <w:p>
      <w:pPr>
        <w:spacing w:after="0" w:line="180"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Except for Wells Fargo, the fees and expenses of which will be paid by the Company at or prior to Closing, no broker, investment banker, financial advisor or other Person is entitled to any broker’s, finder’s, financial advisor’s or other similar fee or commission, in connection with the Transactions based upon arrangements made by or on behalf of the Company or any of its Subsidiaries or any of the Affiliated Professional Entities.</w:t>
      </w:r>
    </w:p>
    <w:p>
      <w:pPr>
        <w:spacing w:after="0" w:line="18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Other than any Company Plan and the Corporate Practice Documents, no present officer or director of the Company or any of its Subsidiaries or any of the Affiliated Professional Entities, Person owning 5% or more of the Company Common Stock or family member of any such natural Person, (a) is a party to any Contract with, or binding upon, the Company, any of its Subsidiaries or any of the Affiliated Professional Entities or any of their respective properties or assets (other than the Corporate Practice Documents), (b) has any material interest in any material property used by the Company, any of its Subsidiaries or any of the Affiliated Professional Entities or (c), since January 1, 2024, has engaged in any material transaction with the Company or any of its Subsidiaries or any of the Affiliated Professional Entities that would be required to be disclosed under Item 404 under Regulation S-K under the Securities Act (such transaction,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and, in the case of each of clauses (a) through (c), that has not been so disclosed in the Filed SEC Documents.</w:t>
      </w:r>
    </w:p>
    <w:p>
      <w:pPr>
        <w:spacing w:after="0" w:line="19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No Other Representations or Warranties of Parent or Merger Sub</w:t>
      </w:r>
      <w:r>
        <w:rPr>
          <w:rFonts w:ascii="Times New Roman" w:cs="Times New Roman" w:eastAsia="Times New Roman" w:hAnsi="Times New Roman"/>
          <w:sz w:val="18"/>
          <w:szCs w:val="18"/>
          <w:color w:val="auto"/>
        </w:rPr>
        <w:t xml:space="preserve">. Except for the representations and warranties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in any certificate or agreement delivered pursuant to this Agreement, the Company (for itself and on behalf of its Affiliates and Representatives) acknowledges that neither Parent nor Merger Sub nor any other Person has made or is making, and each of the Company and its Affiliates and their respective Representatives have not relied on and are not relying on, any other express or implied representation or warranty with respect to Parent or Merger Sub or their respective businesses, operations, properties, assets, liabilities, condition (financial or otherwise) or prospects, or any estimates, projections, forecasts and other forward-looking information or business and strategic plan information regarding Parent or Merger Sub, notwithstanding the delivery or disclosure to the Company or any of its Affiliates or their respective Representatives of any documentation, forecasts or other information (in any form or through any medium) with respect to any one or more of the foregoing or any oral, written, video, electronic or other information developed by the Company or any of its Affiliates or their respective Representatives. The Company hereby acknowledges (for itself and on behalf of its Affiliates and Representatives) that the Company has conducted, to its satisfaction, its own independent investigation of the business, operations, assets and financial condition of Parent and Merger Sub and, in making its determination to proceed with the Transactions, the Company and its Affiliates and their respective Representatives have relied on the results of their own independent investigation and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or agreement delivered pursuant to this Agreement.</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Parent and Merger Sub jointly and severally represent and warrant to the Company that:</w:t>
      </w:r>
    </w:p>
    <w:p>
      <w:pPr>
        <w:spacing w:after="0" w:line="117"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Standing</w:t>
      </w:r>
      <w:r>
        <w:rPr>
          <w:rFonts w:ascii="Times New Roman" w:cs="Times New Roman" w:eastAsia="Times New Roman" w:hAnsi="Times New Roman"/>
          <w:sz w:val="18"/>
          <w:szCs w:val="18"/>
          <w:color w:val="auto"/>
        </w:rPr>
        <w:t>. Parent is a corporation duly organized, validly existing and in good standing under the laws of the State of Delaware and Merger Sub is a corporation duly incorporated, validly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existing under the laws of the State of Delaware and is in good standing with the Secretary of State of Delaware. Each of Parent and Merger Sub has all requisite power and authority necessary to carry on its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have a Parent Material Adverse Effect. Parent has made available to the Company complete and correct copies of Parent’s and Merger Sub’s certificates of incorporation, bylaws or comparable governing documents, as applicable, each as amended to the date of this Agreement.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9" w:lineRule="auto"/>
        <w:tabs>
          <w:tab w:leader="none" w:pos="1356"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has all necessary power and authority to execute and deliver this Agreement, to perform its obligations hereunder and to consummate the Transactions. The Board of Directors of Parent has unanimously adopted resolutions approving the execution, delivery and performance by Parent of this Agreement and the consummation of the Transactions, which resolutions have not been subsequently rescinded, modified or withdrawn. The Board of Directors of Merger Sub has unanimously adopted resolutions (i) approving the execution, delivery and performance by Merger Sub of this Agreement and the consummation by Merger Sub of the Transactions, (ii) declaring that the Merger is advisable and</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43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directing that this Agreement be submitted for consideration at a meeting or by unanimous written consent of Merger Sub’s stockholder, which resolutions have not been subsequently rescinded, modified or withdrawn. No vote of holders of capital stock of Parent is necessary to approve this Agreement or the consummation by Parent and Merger Sub of the Merger and the other Transactions. Parent, as the sole stockholder of Merger Sub, will approve this Agreement and the Transactions (which approval shall be provided for by the written consent of Parent) immediately following the execution and delivery of this Agreement. Except as expressly set forth in this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no other corporate action (including any stockholder vote or other action) on the part of Parent or Merger Sub is necessary to authorize the execution, delivery and performance by Parent and Merger Sub of this Agreement and the consummation by Parent and Merger Sub of the Transactions. This Agreement has been duly executed and delivered by Parent and Merger Sub and, assuming due authorization, execution and delivery hereof by the Company, constitutes a legal, valid and binding obligation of each of Parent and Merger Sub, enforceable against each of them in accordance with its terms, subject to the Bankruptcy and Equity Exception. No Takeover Laws apply or will apply to Parent or Merger Sub pursuant to this Agreement or the Transactions.</w:t>
      </w:r>
    </w:p>
    <w:p>
      <w:pPr>
        <w:spacing w:after="0" w:line="192" w:lineRule="exact"/>
        <w:rPr>
          <w:rFonts w:ascii="Times New Roman" w:cs="Times New Roman" w:eastAsia="Times New Roman" w:hAnsi="Times New Roman"/>
          <w:sz w:val="18"/>
          <w:szCs w:val="18"/>
          <w:color w:val="auto"/>
        </w:rPr>
      </w:pPr>
    </w:p>
    <w:p>
      <w:pPr>
        <w:ind w:left="120" w:right="20" w:firstLine="987"/>
        <w:spacing w:after="0" w:line="268" w:lineRule="auto"/>
        <w:tabs>
          <w:tab w:leader="none" w:pos="1366"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 of incorporation, bylaws or other comparable charter or organizational documents of Parent or Merger Sub or (ii) assuming that the consents, approvals, filings, licenses, permits, authorizations, declarations, notifications and registrations referred to in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xml:space="preserve"> are obtained prior to the Effective Time and the filings referred to in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xml:space="preserve"> are made and any waiting periods with respect to such filings have terminated or expired prior to the Effective Time, (x) violate any Law or Judgment applicable to Parent, Merger Sub or any of their respective Subsidiaries or</w:t>
      </w:r>
    </w:p>
    <w:p>
      <w:pPr>
        <w:spacing w:after="0" w:line="4" w:lineRule="exact"/>
        <w:rPr>
          <w:rFonts w:ascii="Times New Roman" w:cs="Times New Roman" w:eastAsia="Times New Roman" w:hAnsi="Times New Roman"/>
          <w:sz w:val="17"/>
          <w:szCs w:val="17"/>
          <w:color w:val="auto"/>
        </w:rPr>
      </w:pPr>
    </w:p>
    <w:p>
      <w:pPr>
        <w:ind w:left="120" w:right="40" w:hanging="4"/>
        <w:spacing w:after="0" w:line="255" w:lineRule="auto"/>
        <w:tabs>
          <w:tab w:leader="none" w:pos="37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constitute a default under any of the terms, conditions or provisions of any Contract to which Parent, Merger Sub or any of their respective Subsidiaries are a party or accelerate Parent’s, Merger Sub’s or any of their respective Subsidiaries’, if applicable, obligations under any such Contract, except, in the case of clause (ii), as would not, individually or in the aggregate, have a Parent Material Adverse Effect.</w:t>
      </w:r>
    </w:p>
    <w:p>
      <w:pPr>
        <w:spacing w:after="0" w:line="186"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Except for (a) compliance with the applicable requirements of the Exchange Act, including the filing with the SEC of the Proxy Statement, (b) compliance with the rules and regulations of NASDAQ, (c) the filing of the Certificate of Merger with the Secretary of State of Delaware pursuant to the DGCL, (d) filings required under, and compliance with other applicable requirements of, the HSR Act or any other Antitrust Laws, (e) the consents, approvals, orders, authorizations, filings, registrations, notifications or declarations set forth in Section 3.04(e) of the Company Disclosure Letter and (f) compliance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 any applicable state securities or blue sky Laws, no consent, approval, license, permit or authorization of, or filing, declaration, notification or registration with, any Governmental Authority is necessary for the execution and delivery of this Agreement by Parent and Merger Sub, the performance by Parent and Merger Sub of its obligations hereunder and the consummation by Parent and Merger Sub of the Transactions, other than such other consents, approvals, licenses, permits, authorizations, filings, declarations, notifications or registrations that, if not obtained, made or given, would not, individually or in the aggregate, have a Parent Material Adverse Effect.</w:t>
      </w:r>
    </w:p>
    <w:p>
      <w:pPr>
        <w:spacing w:after="0" w:line="183"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Ownership and Operations of Merger Sub</w:t>
      </w:r>
      <w:r>
        <w:rPr>
          <w:rFonts w:ascii="Times New Roman" w:cs="Times New Roman" w:eastAsia="Times New Roman" w:hAnsi="Times New Roman"/>
          <w:sz w:val="18"/>
          <w:szCs w:val="18"/>
          <w:color w:val="auto"/>
        </w:rPr>
        <w:t>. Parent indirectly, through a wholly-owned Subsidiary of Parent, owns beneficially and of record all of the outstanding shares of Merger Sub, free and clear of all Encumbrances (except for transfer restrictions arising under applicable securities Laws). Merger Sub was formed solely for the purpose of engaging in the Transactions, has no liabilities or obligations of any nature other than those incident to its formation and pursuant to the Transactions, and prior to the Effective Time, will not have engaged in any other business activities other than those relating to the Transactions.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Sufficiency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8" w:lineRule="auto"/>
        <w:tabs>
          <w:tab w:leader="none" w:pos="135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and at the Closing will have, sufficient funds available to it (including cash, available lines of credit or other sources of immediately available funds) to enable Merger Sub and the Surviving Corporation to pay the aggregate Merger Consideration and any other amounts required to be paid in connection with the consummation of the Transactions (including all amounts payable in respect of Equity-Based Awards and upon any exercise of the Company Warrants under this Agreement) and to pay all related fees and expenses and there is no restriction on the use of such cash for such purposes. Parent has the financial resources and capabilities to fully perform all of its obligations under this Agreement.</w:t>
      </w:r>
    </w:p>
    <w:p>
      <w:pPr>
        <w:spacing w:after="0" w:line="183"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6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receipt or availability of any funds or financing by or to Parent or any of its Affiliates or any other financing transaction be a condition to any of the obligations of Parent or Merger Sub hereunder.</w:t>
      </w:r>
    </w:p>
    <w:p>
      <w:pPr>
        <w:spacing w:after="0" w:line="162"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Except for the Voting Agreements and the offer letters set forth in Section 4.06 of the Company Disclosure Letter, as of the date of this Agreement, there are no Contracts or other arrangements or understandings (whether oral or written and whether or not legally binding) or commitments to enter into Contracts or other arrangements or understandings (whether oral or written and whether or not legally binding) between Parent, Merger Sub or any of their Affiliates, on the one hand, and any member of the Company’s management or Board of Directors, on the other hand, that relate in any way to the Company or any of its businesses or Subsidiaries (including those businesses and Subsidiaries following the Closing) or the Transactions (including as to continuing employment or equity roll-over).</w:t>
      </w:r>
    </w:p>
    <w:p>
      <w:pPr>
        <w:spacing w:after="0" w:line="187" w:lineRule="exact"/>
        <w:rPr>
          <w:sz w:val="20"/>
          <w:szCs w:val="20"/>
          <w:color w:val="auto"/>
        </w:rPr>
      </w:pPr>
    </w:p>
    <w:p>
      <w:pPr>
        <w:jc w:val="both"/>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in connection with the Transactions based upon arrangements made by or on behalf of Parent, Merger Sub or any of their respective Subsidiaries, except for Persons, if any, whose fees and expenses will be paid by Parent.</w:t>
      </w:r>
    </w:p>
    <w:p>
      <w:pPr>
        <w:spacing w:after="0" w:line="176"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Parent or Merger Sub in writing expressly for inclusion or incorporation by reference in the Proxy Statement (including any amendments or supplements thereto) will, at the time the Proxy Statement (or any amendment or supplement thereto) is first sent or given to the stockholders of the Company or at the time of the Company Stockholders’ Meeting, contain any untrue statement of a material fact or omit to state any material fact required to be stated therein or necessary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Proxy 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xml:space="preserve">. Except as would not, individually or in the aggregate, have a Parent Material Adverse Effect, as of the date of this Agreement, there is no (a) pending or, to the Knowledge of Parent and Merger Sub, threatened Action against Parent or Merger Sub, any of their respective Affiliates or (b) Judgment imposed upon or affecting Parent or Merger Sub, any of their respective Affiliates,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by or before any Governmental Authority.</w:t>
      </w:r>
    </w:p>
    <w:p>
      <w:pPr>
        <w:spacing w:after="0" w:line="180"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Ownership of Equity of the Company</w:t>
      </w:r>
      <w:r>
        <w:rPr>
          <w:rFonts w:ascii="Times New Roman" w:cs="Times New Roman" w:eastAsia="Times New Roman" w:hAnsi="Times New Roman"/>
          <w:sz w:val="18"/>
          <w:szCs w:val="18"/>
          <w:color w:val="auto"/>
        </w:rPr>
        <w:t>. Neither Parent nor Merger Sub nor any of their Affiliates own any shares of Company Common Stock or are or have been an “interested stockholder” (as defined in Section 203 of the DGCL) of the Company during the three years prior to the date hereof.</w:t>
      </w:r>
    </w:p>
    <w:p>
      <w:pPr>
        <w:spacing w:after="0" w:line="176"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Other Company Representations or Warranties</w:t>
      </w:r>
      <w:r>
        <w:rPr>
          <w:rFonts w:ascii="Times New Roman" w:cs="Times New Roman" w:eastAsia="Times New Roman" w:hAnsi="Times New Roman"/>
          <w:sz w:val="18"/>
          <w:szCs w:val="18"/>
          <w:color w:val="auto"/>
        </w:rPr>
        <w:t xml:space="preserve">. Except for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certificate or agreement delivered pursuant to this Agreement, Parent and Merger Sub (each for itself and on behalf of its Affiliates and Representatives) acknowledge that neither the Company nor any of its Subsidiaries, nor any other Person, have made or are making, and each of Parent, Merger Sub and their Affiliates and respective Representatives have not relied on and are not relying on, any other express or implied representation or warranty with respect to the Company or any of its Subsidiaries or their respective businesses, operations, properties, assets, liabilities, condition (financial or otherwise) or prospects, or any estimates, projections, forecasts and other forward-looking information or business and strategic plan information regarding the Company, its Subsidiaries and the Affiliated Professional Entities, notwithstanding the delivery or disclosure to Parent, Merger Sub or any of their Affiliates or respective Representatives of any documentation, forecasts or other information (in any form or through any medium) with respect to any one or more of the foregoing or any oral, written, video, electronic or other information developed by Parent, Merger Sub or any of their Affiliates or respective Representatives. Parent and Merger Sub hereby acknowledge (each for itself and on behalf of its Affiliates and Representatives) that they have conducted, to their satisfaction, their own independent investigation of the business, operations, assets and financial condition of the Company and its Subsidiaries and the Affiliated Professional Entities, in making their determination to proceed with the Transactions, each of Parent, Merger Sub and their Affiliates and respective Representatives have relied on the results of their own independent investigation and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certificate or agreement delivered pursuant to this Agreement.</w:t>
      </w:r>
    </w:p>
    <w:p>
      <w:pPr>
        <w:spacing w:after="0" w:line="19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Non-Reliance on Company Estimates, Projections, Forecasts, Forward-Looking Statements and Business Plans</w:t>
      </w:r>
      <w:r>
        <w:rPr>
          <w:rFonts w:ascii="Times New Roman" w:cs="Times New Roman" w:eastAsia="Times New Roman" w:hAnsi="Times New Roman"/>
          <w:sz w:val="18"/>
          <w:szCs w:val="18"/>
          <w:color w:val="auto"/>
        </w:rPr>
        <w:t xml:space="preserve">. In connection with the due diligence investigation of the Company by Parent and Merger Sub and their Affiliates and respective Representatives, the negotiations of this Agreement or the course of the Transactions, Parent, Merger Sub and their Affiliates and respective Representatives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(each for itself and on behalf of its Affiliates and Representatives) that (a) there are uncertainties inherent in attempting to make such estimates, projections, forecasts and other forward-looking statements, as well as in such business and strategic plans, with which Parent and Merger Sub are familiar, (b) Parent and Merger Sub (each for itself and on behalf of its Affiliates and Representatives)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(c) Parent, Merger Sub, their Affiliates and respective Representatives have not relied on such information and will have no claim against the Company or any of its Subsidiaries, or any of their respective Representatives, with respect thereto, except,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certificate or agreement delivered pursuant to this Agreement and any rights hereunder with respect thereto.</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Additional Covenants and Agreements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Judgment or a Governmental Authority, as expressly required or permitted by this Agreement or as set forth in Section 5.01 of the Company Disclosure Letter, during the period from the date of this Agreement until the Effective Time (or such earlier date on which this Agreement is terminated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unless Parent otherwise consents in advance in writing (such consent not to be unreasonably withheld, delayed or conditioned), the Company shall, and shall cause each of its Subsidiaries and shall direct each of the Affiliated Professional Entities to, use reasonable best efforts to carry on its business in all material respects in the ordinary course consistent with past practice and to preserve substantially intact the Company’s, each of its Subsidiaries’ and each of the Affiliated Professional Entities’ (x) current business organizations, (y) material assets, properties, Contracts and Permits and (z) current officers, employees and consultants (other than any terminations for cause or voluntary resignations), and relationships and goodwill with customers, suppliers, licensors, licensees, distributors, contractors, partners, Governmental Authorities and other Persons having material business dealings with the Company, any of its Subsidiaries or any of the Affiliated Professional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by the Company, any of its Subsidiaries or any of the Affiliated Professional Entities with respect to matters specifically addressed by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shall be deemed to be a breach of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unless such action would constitute a breach of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Judgment or a Governmental Authority, as expressly required or permitted by this Agreement or as set forth in Section 5.01 of the Company Disclosure Letter, during the period from the date of this Agreement until the Effective Time (or such earlier date on which this Agreement is terminated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unless Parent otherwise consents in advance in writing (such consent not to be unreasonably withheld, delayed or conditioned), the Company shall not, shall cause each of its Subsidiaries and shall direct each of the Affiliated Professional Entities not to:</w:t>
      </w:r>
    </w:p>
    <w:p>
      <w:pPr>
        <w:spacing w:after="0" w:line="75" w:lineRule="exact"/>
        <w:rPr>
          <w:rFonts w:ascii="Times New Roman" w:cs="Times New Roman" w:eastAsia="Times New Roman" w:hAnsi="Times New Roman"/>
          <w:sz w:val="18"/>
          <w:szCs w:val="18"/>
          <w:color w:val="auto"/>
        </w:rPr>
      </w:pPr>
    </w:p>
    <w:p>
      <w:pPr>
        <w:ind w:left="560" w:right="100" w:firstLine="419"/>
        <w:spacing w:after="0" w:line="268" w:lineRule="auto"/>
        <w:tabs>
          <w:tab w:leader="none" w:pos="1198"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transactions solely between or among the Company, its wholly owned Subsidiaries and Affiliated Professional Entities, issue, sell, distribute, assign, transfer, grant or dispose of any shares of its capital stock or other equity or voting interests, or any securities convertible into, or exchangeable or exercisable for, any shares of its capital stock or other equity or voting interests (including any warrants, options, restricted stock units or other rights of any kind to purchase any shares of its capital stock or other equity or voting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may issue shares of Company Common Stock (A) upon the settlement of any Equity-Based Awards in the ordinary course of business under the Company Plans in effect on the date of this Agreement or granted after the date of this Agreement not in violation of this Agreement,</w:t>
      </w:r>
    </w:p>
    <w:p>
      <w:pPr>
        <w:spacing w:after="0" w:line="4" w:lineRule="exact"/>
        <w:rPr>
          <w:rFonts w:ascii="Times New Roman" w:cs="Times New Roman" w:eastAsia="Times New Roman" w:hAnsi="Times New Roman"/>
          <w:sz w:val="17"/>
          <w:szCs w:val="17"/>
          <w:color w:val="auto"/>
        </w:rPr>
      </w:pPr>
    </w:p>
    <w:p>
      <w:pPr>
        <w:ind w:left="560" w:right="340" w:hanging="4"/>
        <w:spacing w:after="0" w:line="255" w:lineRule="auto"/>
        <w:tabs>
          <w:tab w:leader="none" w:pos="8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pursuant to the terms of the Equity-Based Awards outstanding as of the date of this Agreement or granted after the date of this Agreement not in violation of this Agreement or (C) in connection with the issuance of Company Common Stock upon any exercise of the Company Warrants;</w:t>
      </w:r>
    </w:p>
    <w:p>
      <w:pPr>
        <w:spacing w:after="0" w:line="77" w:lineRule="exact"/>
        <w:rPr>
          <w:rFonts w:ascii="Times New Roman" w:cs="Times New Roman" w:eastAsia="Times New Roman" w:hAnsi="Times New Roman"/>
          <w:sz w:val="18"/>
          <w:szCs w:val="18"/>
          <w:color w:val="auto"/>
        </w:rPr>
      </w:pPr>
    </w:p>
    <w:p>
      <w:pPr>
        <w:ind w:left="560" w:right="100" w:firstLine="419"/>
        <w:spacing w:after="0" w:line="256" w:lineRule="auto"/>
        <w:tabs>
          <w:tab w:leader="none" w:pos="124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transactions solely between or among the Company, its Subsidiaries and the Affiliated Professional Entities, directly or indirectly redeem, purchase or otherwise acquire any shares of the Company’s capital stock or other equity or voting interests, or any securities convertible (whether currently convertible or convertible only after the passage of time or the occurrence of certain events) into, or exchangeable or exercisable for, any shares of the Company’s capital stock or other equity or voting interests (including any warrants, options, restricted stock units or other rights of any kind to purchase any shares of the Company’s capital stock or other equity or voting interests) (other than pursuant to the forfeiture of, withholding of Taxes with respect to or the net settlement of Equity-Based Awards);</w:t>
      </w:r>
    </w:p>
    <w:p>
      <w:pPr>
        <w:spacing w:after="0" w:line="79" w:lineRule="exact"/>
        <w:rPr>
          <w:rFonts w:ascii="Times New Roman" w:cs="Times New Roman" w:eastAsia="Times New Roman" w:hAnsi="Times New Roman"/>
          <w:sz w:val="18"/>
          <w:szCs w:val="18"/>
          <w:color w:val="auto"/>
        </w:rPr>
      </w:pPr>
    </w:p>
    <w:p>
      <w:pPr>
        <w:ind w:left="560" w:right="80" w:firstLine="419"/>
        <w:spacing w:after="0" w:line="266" w:lineRule="auto"/>
        <w:tabs>
          <w:tab w:leader="none" w:pos="129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transactions solely between or among the Company, its Subsidiaries and the Affiliated Professional Entities, establish a record date for, authorize, declare, make, set aside for payment or pay any dividend on, or make any other distribution in respect of, any shares of its capital stock or other equity or voting interests;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40" w:firstLine="419"/>
        <w:spacing w:after="0" w:line="266" w:lineRule="auto"/>
        <w:tabs>
          <w:tab w:leader="none" w:pos="128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recapitalize reclassify or effect any similar change in capitalization of any shares of its capital stock or other equity or voting interests, except for any such transaction by a wholly owned Subsidiary of the Company which remains a wholly owned Subsidiary after consummation of such transaction;</w:t>
      </w:r>
    </w:p>
    <w:p>
      <w:pPr>
        <w:spacing w:after="0" w:line="67"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endorse or otherwise become liable for any indebtedness or obligations for borrowed money (including any notes, bonds, debentures, letters of credit, bank guarantees, performance bonds and/or other similar contractual obligations), issue, sell, redeem, purchase or otherwise acquire any debt securities or warrants or other rights to acquire any debt securities of the Company or any of its Subsidiaries, guarantee any such indebtedness or obligations or debt securities of another Person or enter into any “keep well” or other agreement to maintain or cause to be maintained any financial statement condition of another Person (collectively,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except for (A) intercompany Indebtedness solely between or among the Company, its Subsidiaries and the Affiliated Professional Entities in the ordinary course of business, and (B) letters of credit, bank guarantees, security or performance bonds or similar credit support instruments, overdraft facilities or cash management programs, in each case issued, made, entered into or drawn in the ordinary course of business.</w:t>
      </w:r>
    </w:p>
    <w:p>
      <w:pPr>
        <w:spacing w:after="0" w:line="83" w:lineRule="exact"/>
        <w:rPr>
          <w:rFonts w:ascii="Times New Roman" w:cs="Times New Roman" w:eastAsia="Times New Roman" w:hAnsi="Times New Roman"/>
          <w:sz w:val="18"/>
          <w:szCs w:val="18"/>
          <w:color w:val="auto"/>
        </w:rPr>
      </w:pPr>
    </w:p>
    <w:p>
      <w:pPr>
        <w:jc w:val="both"/>
        <w:ind w:left="560" w:firstLine="419"/>
        <w:spacing w:after="0" w:line="266" w:lineRule="auto"/>
        <w:tabs>
          <w:tab w:leader="none" w:pos="128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hedging transaction or other derivative agreements, except for (A) any such transaction or agreement entered into in the ordinary course of business, and (B) renewals, extensions or refinancing of any swap or hedging transactions or other derivative agreements existing on the date of this Agreement or permitted to be entered into hereunder;</w:t>
      </w:r>
    </w:p>
    <w:p>
      <w:pPr>
        <w:spacing w:after="0" w:line="67" w:lineRule="exact"/>
        <w:rPr>
          <w:rFonts w:ascii="Times New Roman" w:cs="Times New Roman" w:eastAsia="Times New Roman" w:hAnsi="Times New Roman"/>
          <w:sz w:val="18"/>
          <w:szCs w:val="18"/>
          <w:color w:val="auto"/>
        </w:rPr>
      </w:pPr>
    </w:p>
    <w:p>
      <w:pPr>
        <w:jc w:val="both"/>
        <w:ind w:left="560" w:right="120" w:firstLine="419"/>
        <w:spacing w:after="0" w:line="276" w:lineRule="auto"/>
        <w:tabs>
          <w:tab w:leader="none" w:pos="1338"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any loans, capital contributions or advances to any Person other than (x) transactions solely between or among the Company, its wholly owned Subsidiaries and the Affiliated Professional Entities, (y) in connection with any acquisition permitted under </w:t>
      </w:r>
      <w:r>
        <w:rPr>
          <w:rFonts w:ascii="Times New Roman" w:cs="Times New Roman" w:eastAsia="Times New Roman" w:hAnsi="Times New Roman"/>
          <w:sz w:val="17"/>
          <w:szCs w:val="17"/>
          <w:u w:val="single" w:color="auto"/>
          <w:color w:val="auto"/>
        </w:rPr>
        <w:t>Section 5.01(b)(xi)</w:t>
      </w:r>
      <w:r>
        <w:rPr>
          <w:rFonts w:ascii="Times New Roman" w:cs="Times New Roman" w:eastAsia="Times New Roman" w:hAnsi="Times New Roman"/>
          <w:sz w:val="17"/>
          <w:szCs w:val="17"/>
          <w:color w:val="auto"/>
        </w:rPr>
        <w:t xml:space="preserve"> or</w:t>
      </w:r>
    </w:p>
    <w:p>
      <w:pPr>
        <w:ind w:left="800" w:hanging="244"/>
        <w:spacing w:after="0"/>
        <w:tabs>
          <w:tab w:leader="none" w:pos="8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 the ordinary course of business consistent with past practice;</w:t>
      </w:r>
    </w:p>
    <w:p>
      <w:pPr>
        <w:spacing w:after="0" w:line="98" w:lineRule="exact"/>
        <w:rPr>
          <w:rFonts w:ascii="Times New Roman" w:cs="Times New Roman" w:eastAsia="Times New Roman" w:hAnsi="Times New Roman"/>
          <w:sz w:val="18"/>
          <w:szCs w:val="18"/>
          <w:color w:val="auto"/>
        </w:rPr>
      </w:pPr>
    </w:p>
    <w:p>
      <w:pPr>
        <w:ind w:left="560" w:right="100" w:firstLine="419"/>
        <w:spacing w:after="0" w:line="258" w:lineRule="auto"/>
        <w:tabs>
          <w:tab w:leader="none" w:pos="138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dispose, assign, transfer or lease to any Person, in a single transaction or series of related transactions, any of its material properties or assets (excluding Owned Company Intellectual Property), except (A) transfers, sales or leases solely between or among the Company, its wholly owned Subsidiaries and the Affiliated Professional Entities, (B) dispositions of assets that are obsolete, worn out, surplus or no longer used or useful in the conduct of the business of the Company or any of its Subsidiaries, (C) subleases of Leased Real Property and expirations of the Company Leases in accordance with their terms and (D) sales or leases in the ordinary course of business;</w:t>
      </w:r>
    </w:p>
    <w:p>
      <w:pPr>
        <w:spacing w:after="0" w:line="75" w:lineRule="exact"/>
        <w:rPr>
          <w:rFonts w:ascii="Times New Roman" w:cs="Times New Roman" w:eastAsia="Times New Roman" w:hAnsi="Times New Roman"/>
          <w:sz w:val="18"/>
          <w:szCs w:val="18"/>
          <w:color w:val="auto"/>
        </w:rPr>
      </w:pPr>
    </w:p>
    <w:p>
      <w:pPr>
        <w:jc w:val="both"/>
        <w:ind w:left="560" w:right="20" w:firstLine="419"/>
        <w:spacing w:after="0" w:line="261" w:lineRule="auto"/>
        <w:tabs>
          <w:tab w:leader="none" w:pos="128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assign, convey, sell, lease, license, subject to any Encumbrance (other than a Permitted Encumbrance), cancel, abandon, allow to lapse, or expire, or otherwise dispose of any material Owned Company Intellectual Property, except, in each case, Intellectual Property that, in the Company’s reasonable discretion, should be abandoned or allowed to lapse or expire as part of the Company’s ordinary course of management of its Intellectual Property portfolio consistent with past practice;</w:t>
      </w:r>
    </w:p>
    <w:p>
      <w:pPr>
        <w:spacing w:after="0" w:line="71" w:lineRule="exact"/>
        <w:rPr>
          <w:rFonts w:ascii="Times New Roman" w:cs="Times New Roman" w:eastAsia="Times New Roman" w:hAnsi="Times New Roman"/>
          <w:sz w:val="18"/>
          <w:szCs w:val="18"/>
          <w:color w:val="auto"/>
        </w:rPr>
      </w:pPr>
    </w:p>
    <w:p>
      <w:pPr>
        <w:ind w:left="560" w:right="160" w:firstLine="419"/>
        <w:spacing w:after="0" w:line="266" w:lineRule="auto"/>
        <w:tabs>
          <w:tab w:leader="none" w:pos="123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any Encumbrance (other than a Permitted Encumbrance) on any of its material assets (excluding Owned Company Intellectual Property) other than (A) to secure Indebtedness and other obligations permitted under </w:t>
      </w:r>
      <w:r>
        <w:rPr>
          <w:rFonts w:ascii="Times New Roman" w:cs="Times New Roman" w:eastAsia="Times New Roman" w:hAnsi="Times New Roman"/>
          <w:sz w:val="18"/>
          <w:szCs w:val="18"/>
          <w:u w:val="single" w:color="auto"/>
          <w:color w:val="auto"/>
        </w:rPr>
        <w:t>Section 5.01(b)(v)</w:t>
      </w:r>
      <w:r>
        <w:rPr>
          <w:rFonts w:ascii="Times New Roman" w:cs="Times New Roman" w:eastAsia="Times New Roman" w:hAnsi="Times New Roman"/>
          <w:sz w:val="18"/>
          <w:szCs w:val="18"/>
          <w:color w:val="auto"/>
        </w:rPr>
        <w:t xml:space="preserve"> or (B) solely to the Company, a wholly owned Subsidiary of the Company or an Affiliated Professional Entity;</w:t>
      </w:r>
    </w:p>
    <w:p>
      <w:pPr>
        <w:spacing w:after="0" w:line="67" w:lineRule="exact"/>
        <w:rPr>
          <w:rFonts w:ascii="Times New Roman" w:cs="Times New Roman" w:eastAsia="Times New Roman" w:hAnsi="Times New Roman"/>
          <w:sz w:val="18"/>
          <w:szCs w:val="18"/>
          <w:color w:val="auto"/>
        </w:rPr>
      </w:pPr>
    </w:p>
    <w:p>
      <w:pPr>
        <w:ind w:left="560" w:right="480" w:firstLine="419"/>
        <w:spacing w:after="0" w:line="282" w:lineRule="auto"/>
        <w:tabs>
          <w:tab w:leader="none" w:pos="128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by merger, sale of stock or other equity interests, sale of assets or otherwise) the capital stock, equity interests or material portion of the assets of any other Person or any properties, assets, securities, business or division thereof;</w:t>
      </w:r>
    </w:p>
    <w:p>
      <w:pPr>
        <w:spacing w:after="0" w:line="53" w:lineRule="exact"/>
        <w:rPr>
          <w:rFonts w:ascii="Times New Roman" w:cs="Times New Roman" w:eastAsia="Times New Roman" w:hAnsi="Times New Roman"/>
          <w:sz w:val="18"/>
          <w:szCs w:val="18"/>
          <w:color w:val="auto"/>
        </w:rPr>
      </w:pPr>
    </w:p>
    <w:p>
      <w:pPr>
        <w:ind w:left="560" w:right="80" w:firstLine="419"/>
        <w:spacing w:after="0" w:line="258" w:lineRule="auto"/>
        <w:tabs>
          <w:tab w:leader="none" w:pos="133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the terms of any Company Plan in effect on the date of this Agreement or adopted, established, entered into or amended after the date of this Agreement in a manner not in violation of this Agreement or applicable Law, (A) grant to any employee (whether of the Company, any of its Subsidiaries or any of the Affiliated Professional Entities) with an annual base salary or wage rate in excess of $150,000 any material increase in such employee’s compensation or benefits (including any severance, retention or termination pay), (B) grant to employees (of the Company, and its Subsidiaries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the Affiliated Professional Entities) any increases in compensation or benefits (including any severance, retention or termination pay) if the aggregate amount of such increases would exceed $1,000,000, (C) establish, adopt, enter into or materially amend any Collective Bargaining Agreement or any material Company Plan (which includes any Equity Plan or the Company ESPP), (D) take any action to accelerate any rights or benefits under any material Company Plan (which includes any Equity Plan or the Company ESPP), (E) grant any Equity-Based Awards or accelerate the vesting of any Equity-Based Awards, (F) undertake any reduction in force which would result in any obligation under the Workers Adjustment and Retraining Notification Act of 1988, (G) terminate the employment of any executive officer (other than “for cause” as reasonably determined by the Company in the ordinary course of business) or (H) hire any new employee with an annual base salary or wage rate in excess of $150,000;</w:t>
      </w:r>
    </w:p>
    <w:p>
      <w:pPr>
        <w:spacing w:after="0" w:line="84" w:lineRule="exact"/>
        <w:rPr>
          <w:sz w:val="20"/>
          <w:szCs w:val="20"/>
          <w:color w:val="auto"/>
        </w:rPr>
      </w:pPr>
    </w:p>
    <w:p>
      <w:pPr>
        <w:ind w:left="560" w:right="40" w:firstLine="419"/>
        <w:spacing w:after="0" w:line="261" w:lineRule="auto"/>
        <w:tabs>
          <w:tab w:leader="none" w:pos="138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financial accounting methods, principles or practices materially affecting the consolidated assets, liabilities or results of operations of the Company, its Subsidiaries or the Affiliated Professional Entities, except insofar as may be required (A) by GAAP (or any interpretation thereof), (B) by any applicable Law, including Regulation S-X under the Securities Act, or (C) by any Governmental Authority or quasi-governmental authority (including the Financial Accounting Standards Board or any similar organization);</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56" w:lineRule="auto"/>
        <w:tabs>
          <w:tab w:leader="none" w:pos="137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adopt or change any Tax accounting method or change any Tax accounting period, (C) file any amended material Tax Return, (D) enter into any closing agreement with respect to a material amount of Taxes, (E) settle any material Tax claim, audit, assessment or dispute, (F) enter into any Tax indemnification, sharing, allocation reimbursement or similar agreement (other than any customary Tax indemnification provisions in ordinary course commercial agreements or arrangements that are not primarily related to Taxes), (G) initiate any voluntary Tax disclosure or Tax amnesty or similar filings with any taxing authority with respect to a material amount of Taxes, or (H) surrender any right to claim a material Tax refund;</w:t>
      </w:r>
    </w:p>
    <w:p>
      <w:pPr>
        <w:spacing w:after="0" w:line="79" w:lineRule="exact"/>
        <w:rPr>
          <w:rFonts w:ascii="Times New Roman" w:cs="Times New Roman" w:eastAsia="Times New Roman" w:hAnsi="Times New Roman"/>
          <w:sz w:val="18"/>
          <w:szCs w:val="18"/>
          <w:color w:val="auto"/>
        </w:rPr>
      </w:pPr>
    </w:p>
    <w:p>
      <w:pPr>
        <w:ind w:left="560" w:right="260" w:firstLine="419"/>
        <w:spacing w:after="0" w:line="282" w:lineRule="auto"/>
        <w:tabs>
          <w:tab w:leader="none" w:pos="132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 Charter Documents or amend in any material respect the comparable organizational or governing documents or the Corporate Practice Documents of any Subsidiary of the Company or of any Affiliated Professional Entity;</w:t>
      </w:r>
    </w:p>
    <w:p>
      <w:pPr>
        <w:spacing w:after="0" w:line="53" w:lineRule="exact"/>
        <w:rPr>
          <w:rFonts w:ascii="Times New Roman" w:cs="Times New Roman" w:eastAsia="Times New Roman" w:hAnsi="Times New Roman"/>
          <w:sz w:val="18"/>
          <w:szCs w:val="18"/>
          <w:color w:val="auto"/>
        </w:rPr>
      </w:pPr>
    </w:p>
    <w:p>
      <w:pPr>
        <w:ind w:left="560" w:firstLine="419"/>
        <w:spacing w:after="0" w:line="254" w:lineRule="auto"/>
        <w:tabs>
          <w:tab w:leader="none" w:pos="137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release, waive or compromise any pending or threatened Action against or involving the Company, any of its Subsidiaries or any of the Affiliated Professional Entities, other than settlements, releases, waivers or compromises of any pending or threatened Action (A) reflected or reserved against in the balance sheet (or the notes thereto) of the Company as of the Balance Sheet Date included in the Filed SEC Documents for an amount not materially in excess of the amount so reflected or reserved (excluding any amount that may be paid under insurance policies or indemnification agreements) or (B) for an amount not in excess of $100,000 individually or $200,000 in the aggregate (so long as,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Company promptly notifies Parent following any such settlement, release, waiver or comprise);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settlement of any pending or threatened Action may involve (x) any material injunctive or equitable relief or impose material restrictions on the business activities of the Company, its Subsidiaries and the Affiliated Professional Entities, taken as a whole (other than customary non-disclosure obligations) or (y) any admission of wrongdoing by the Company, any of its Subsidiaries or any of the Affiliated Professional Entities;</w:t>
      </w:r>
    </w:p>
    <w:p>
      <w:pPr>
        <w:spacing w:after="0" w:line="80" w:lineRule="exact"/>
        <w:rPr>
          <w:rFonts w:ascii="Times New Roman" w:cs="Times New Roman" w:eastAsia="Times New Roman" w:hAnsi="Times New Roman"/>
          <w:sz w:val="18"/>
          <w:szCs w:val="18"/>
          <w:color w:val="auto"/>
        </w:rPr>
      </w:pPr>
    </w:p>
    <w:p>
      <w:pPr>
        <w:ind w:left="560" w:right="20" w:firstLine="419"/>
        <w:spacing w:after="0" w:line="270" w:lineRule="auto"/>
        <w:tabs>
          <w:tab w:leader="none" w:pos="1428"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renew, modify, amend or waive any material rights or any breaches under any Material Contract or any Corporate Practice Document, or enter into any Contract that would have been a Material Contract, Corporate Practice Document or Company Lease had such Contract been entered into prior to the date of this Agreement, in each case, other than (x) terminations, renewals, modifications or amendments in the ordinary course of business on terms that are not materially adverse to the Company, its Subsidiaries and the Affiliated Professional Entities,</w:t>
      </w:r>
    </w:p>
    <w:p>
      <w:pPr>
        <w:spacing w:after="0" w:line="2" w:lineRule="exact"/>
        <w:rPr>
          <w:rFonts w:ascii="Times New Roman" w:cs="Times New Roman" w:eastAsia="Times New Roman" w:hAnsi="Times New Roman"/>
          <w:sz w:val="17"/>
          <w:szCs w:val="17"/>
          <w:color w:val="auto"/>
        </w:rPr>
      </w:pPr>
    </w:p>
    <w:p>
      <w:pPr>
        <w:ind w:left="560" w:right="40" w:hanging="4"/>
        <w:spacing w:after="0" w:line="255" w:lineRule="auto"/>
        <w:tabs>
          <w:tab w:leader="none" w:pos="81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into Contracts that would have been a Material Contract of the type described in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(but not any other subclauses of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had such Contract been entered into prior to the date of this Agreement in the ordinary course of business or (z) otherwise expressly permitted by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419"/>
        <w:spacing w:after="0" w:line="282" w:lineRule="auto"/>
        <w:tabs>
          <w:tab w:leader="none" w:pos="147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transfer, lease, cancel, fail to renew or fail to extend any material Permit of the Company, any of its Subsidiaries or any of the Affiliated Professional Entities;</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Affiliate Transactions;</w:t>
      </w:r>
    </w:p>
    <w:p>
      <w:pPr>
        <w:spacing w:after="0" w:line="117" w:lineRule="exact"/>
        <w:rPr>
          <w:rFonts w:ascii="Times New Roman" w:cs="Times New Roman" w:eastAsia="Times New Roman" w:hAnsi="Times New Roman"/>
          <w:sz w:val="18"/>
          <w:szCs w:val="18"/>
          <w:color w:val="auto"/>
        </w:rPr>
      </w:pPr>
    </w:p>
    <w:p>
      <w:pPr>
        <w:ind w:left="560" w:right="440" w:firstLine="419"/>
        <w:spacing w:after="0" w:line="282" w:lineRule="auto"/>
        <w:tabs>
          <w:tab w:leader="none" w:pos="132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not conducted or discontinue any line of business conducted, in each case, as of the date of this Agreement and that is material to the Company, its Subsidiaries and the Affiliated Professional Entities, taken as a whole;</w:t>
      </w:r>
    </w:p>
    <w:p>
      <w:pPr>
        <w:spacing w:after="0" w:line="53" w:lineRule="exact"/>
        <w:rPr>
          <w:rFonts w:ascii="Times New Roman" w:cs="Times New Roman" w:eastAsia="Times New Roman" w:hAnsi="Times New Roman"/>
          <w:sz w:val="18"/>
          <w:szCs w:val="18"/>
          <w:color w:val="auto"/>
        </w:rPr>
      </w:pPr>
    </w:p>
    <w:p>
      <w:pPr>
        <w:jc w:val="both"/>
        <w:ind w:left="560" w:right="40" w:firstLine="419"/>
        <w:spacing w:after="0" w:line="266" w:lineRule="auto"/>
        <w:tabs>
          <w:tab w:leader="none" w:pos="137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that are greater than $100,000 in the aggregate, except for capital expenditures planned and budgeted as of the date of this Agreement and in an aggregate amount not in excess of the amount set forth on Section 5.01(b)(xxi) of the Company Disclosure Letter;</w:t>
      </w:r>
    </w:p>
    <w:p>
      <w:pPr>
        <w:spacing w:after="0" w:line="67" w:lineRule="exact"/>
        <w:rPr>
          <w:rFonts w:ascii="Times New Roman" w:cs="Times New Roman" w:eastAsia="Times New Roman" w:hAnsi="Times New Roman"/>
          <w:sz w:val="18"/>
          <w:szCs w:val="18"/>
          <w:color w:val="auto"/>
        </w:rPr>
      </w:pPr>
    </w:p>
    <w:p>
      <w:pPr>
        <w:ind w:left="560" w:firstLine="419"/>
        <w:spacing w:after="0" w:line="282" w:lineRule="auto"/>
        <w:tabs>
          <w:tab w:leader="none" w:pos="142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or permit to be adopted or entered into, a plan of complete or partial liquidation, dissolution, merger, consolidation, restructuring, recapitalization or other reorganization of the Company, its Subsidiaries or the Affiliated Professional Entities; or</w:t>
      </w:r>
    </w:p>
    <w:p>
      <w:pPr>
        <w:spacing w:after="0" w:line="53" w:lineRule="exact"/>
        <w:rPr>
          <w:rFonts w:ascii="Times New Roman" w:cs="Times New Roman" w:eastAsia="Times New Roman" w:hAnsi="Times New Roman"/>
          <w:sz w:val="18"/>
          <w:szCs w:val="18"/>
          <w:color w:val="auto"/>
        </w:rPr>
      </w:pPr>
    </w:p>
    <w:p>
      <w:pPr>
        <w:ind w:left="1480" w:hanging="501"/>
        <w:spacing w:after="0"/>
        <w:tabs>
          <w:tab w:leader="none" w:pos="14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or agree, in writing or otherwise, to take any of the foregoing actions.</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5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Parent or Merger Sub, directly or indirectly, the right to control or direct the Company’s, its Subsidiaries’ or the Affiliated Professional Entities’ operations prior to the Effective Time. Prior to the Effective Time, the Company shall exercise, consistent with the terms and conditions of this Agreement, complete control and supervision over its, its Subsidiaries’ and Affiliated Professional Entities’ respective operations.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 Solicitation; Change in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from the date of this Agreement until the Effective Time or, if earlier, the termination of this Agreement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 Company shall, and shall cause each of its Subsidiaries and each of the Affiliated Professional Entities to, and shall direct and use reasonable best efforts to cause its and their Representatives acting on its or their behalf to, (i) immediately cease any solicitation, discussions or negotiations with any Persons with respect to any Takeover Proposal or any proposal that would reasonably be expected to lead to a Takeover Proposal and (ii) not, directly or indirectly, (A) initiate, solicit, knowingly facilitate or knowingly encourage (including by way of furnishing non-public information) any inquiries regarding, or the making of any proposal or offer that constitutes, or would reasonably be expected to lead to, a Takeover Proposal, (B) engage in, continue or otherwise participate in any discussions or negotiations regarding (except to notify any Person of the provisions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furnish to any other Person any non-public information in connection with, or for the purpose of, knowingly encouraging or knowingly facilitating a Takeover Proposal, (C) approve, adopt, endorse, recommend or enter into any letter of intent, memorandum of understanding, agreement in principle, merger agreement, acquisition agreement or other similar agreement providing for or relating to a Takeover Proposal or any proposal or offer that would reasonably be expected to lead to a Takeover Proposal (other than an Acceptable Confidentiality Agreement), (D) take any action to exempt any Person (other than Parent and its Subsidiaries) from the restrictions on “business combinations” or any similar provision contained in applicable Takeover Laws or the Company’s organizational and governing documents or (E) waive or release any Person from, forebear in the enforcement of, or amend any standstill agreement or any standstill provision in any other Contract (it being understood that the Company may waive or release any such standstill provision solely to the extent reasonably necessary to permit the applicable Person (if such Person has not been solicited in breach of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to make, on a confidential basis, a Takeover Proposal, if the Board of Directors of the Company has determined in good faith, after consultation with outside legal counsel, that failure to so waive or release such standstill would reasonably be expected to be inconsistent with the directors’ fiduciary duties under applicable Law). Following the date of this Agreement, the Company shall promptly (x) discontinue all electronic or physical data room access granted to any Person and any such Person’s Representatives (other than Parent, its Affiliates and their respective Representatives) and (y) request the prompt return or destruction (to the extent provided for by the applicable confidentiality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agreement) of all confidential information or documents previously furnished to any Person and any such Person’s Representatives (other than Parent, its Affiliates and their respective Representatives) and all material incorporating such information created by any such Person.</w:t>
      </w:r>
    </w:p>
    <w:p>
      <w:pPr>
        <w:spacing w:after="0" w:line="162" w:lineRule="exact"/>
        <w:rPr>
          <w:sz w:val="20"/>
          <w:szCs w:val="20"/>
          <w:color w:val="auto"/>
        </w:rPr>
      </w:pPr>
    </w:p>
    <w:p>
      <w:pPr>
        <w:ind w:left="120" w:firstLine="987"/>
        <w:spacing w:after="0" w:line="267" w:lineRule="auto"/>
        <w:tabs>
          <w:tab w:leader="none" w:pos="1366"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in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xml:space="preserve"> or any other provision of this Agreement to the contrary, if at any time on or after the date of this Agreement and prior to obtaining the Company Stockholder Approval or, if earlier, the termination of this Agreement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the Company or any of its Subsidiaries or any of its or their Representatives receives a Takeover Proposal, which Takeover Proposal did not result from a material breach of Section 5.02(a) (it being understood that if any Representative of the Company or any of its Subsidiaries takes any action on behalf of the Company or its Subsidiaries that if taken by the Company would be a breach of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xml:space="preserve">, the taking of such action by such Representative will be deemed to constitute a breach of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xml:space="preserve"> by the Company for purposes of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(i) 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or to notify such Person or group of Persons or its or their Representatives of the provisions of this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(ii) if the Board of Directors of the Company or any duly authorized committee thereof determines in good faith, after consultation with its financial advisors and outside legal counsel, that (x) a bona fide written Takeover Proposal constitutes or would reasonably be expected to result in a Superior Proposal and (y) the failure to take such actions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below would reasonably be expected to be inconsistent with the directors’ fiduciary duties under applicable Law, then the Company and any of its Representatives may (A) enter into an Acceptable Confidentiality Agreement with the Person or group of Persons making such Takeover Proposal and furnish pursuant to an Acceptable Confidentiality Agreement information (including non-public information) with respect to the Company and its Subsidiaries to the Person or group of Persons who has made such Takeover Proposal and its or their respective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promptly (and in any event within twenty-four (24) hours) provide to Parent any material non-public information concerning the Company or any of its Subsidiaries that is provided to any Person given such access which was not previously provided to Parent or its Representatives; and (B) engage in or otherwise participate in discussions or negotiations with the Person or group of Persons making such Takeover Proposal and its or their Representatives. The parties acknowledge and agree that any contacts, disclosures, discussions or negotiations permitted under this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including any public announcement that the Company or the Board of Directors of the Company (or any duly authorized committee thereof) has made any determination contemplated under this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to take or engage in any such actions, shall not constitute an Adverse Recommendation Change. The Company shall not, and shall cause its Subsidiaries not to, enter into any confidentiality agreement with any Person (relating to a Takeover Proposal) that prohibits the sharing of any information with Parent (and its Representatives) in accordance with this Agreement.</w:t>
      </w:r>
    </w:p>
    <w:p>
      <w:pPr>
        <w:spacing w:after="0" w:line="399" w:lineRule="exact"/>
        <w:rPr>
          <w:rFonts w:ascii="Times New Roman" w:cs="Times New Roman" w:eastAsia="Times New Roman" w:hAnsi="Times New Roman"/>
          <w:sz w:val="17"/>
          <w:szCs w:val="17"/>
          <w:color w:val="auto"/>
        </w:rPr>
      </w:pPr>
    </w:p>
    <w:p>
      <w:pPr>
        <w:ind w:left="120" w:right="20" w:firstLine="987"/>
        <w:spacing w:after="0" w:line="253" w:lineRule="auto"/>
        <w:tabs>
          <w:tab w:leader="none" w:pos="135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date of this Agreement and prior to obtaining the Company Stockholder Approval, the Company shall (i) promptly (and in any event within twenty-four (24) hours of receipt) notify Parent in the event that the Company or any of its Subsidiaries or any of its or their Representatives receives a Takeover Proposal, or any inquiries, proposals or requests for discussions, negotiations or non-public information that would reasonably be expected to lead to a Takeover Proposal, and shall disclose to Parent the material terms and conditions of any such Takeover Proposal and the identity of the Person or group of Persons making such Takeover Proposal, (ii) upon the request of Parent, keep Parent reasonably informed on a prompt basis of the status, material details and any material developments with respect to any such Takeover Proposal, inquiries, proposals or requests (including any material changes thereto) and (iii) promptly (and in any event within twenty-four (24) hours of receipt) provide to Parent copies of all correspondence and other written and electronic material exchanged between the Company or any of its Subsidiaries or any of its or their Representatives and any Person that relates to the material terms or conditions of any such Takeover Proposal. For the avoidance of doubt, all information provided to Parent pursuant to this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xml:space="preserve"> will be subject to the terms of the Confidentiality Agreement.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1" w:lineRule="auto"/>
        <w:tabs>
          <w:tab w:leader="none" w:pos="136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Board of Directors of the Company or any duly authorized committee thereof shall (i) (A) fail to include the Company Board Recommendation in the Proxy Statement, (B) withdraw or withhold (or modify or qualify in a manner adverse to Parent), or publicly propose to withdraw or withhold (or modify or qualify in a manner adverse to Parent), the Company Board Recommendation, (C) recommend the approval or adoption of, or approve or adopt, or publicly propose to recommend, approve or adopt, any Takeover Proposal (it being understood that the Board of Directors of the Company or any duly authorized committee thereof may, and may cause the Company to, make a customary “stop, look and listen” communication), (D) fail to recommend against acceptance by the holders of Company Common Stock of a third party tender offer or exchange offer that constitutes a Takeover Proposal within ten (10) Business Days after the commencement of such offer pursuant to Rule 14-d-2 of the Exchange Act or (E) commit or agree to take any of the foregoing actions (any action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being referred to as an “</w:t>
      </w:r>
      <w:r>
        <w:rPr>
          <w:rFonts w:ascii="Times New Roman" w:cs="Times New Roman" w:eastAsia="Times New Roman" w:hAnsi="Times New Roman"/>
          <w:sz w:val="18"/>
          <w:szCs w:val="18"/>
          <w:u w:val="single" w:color="auto"/>
          <w:color w:val="auto"/>
        </w:rPr>
        <w:t>Adverse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or (ii) approve or recommend, or cause or permit the Company or any of its Subsidiaries or any of the Affiliated Professional Entities to execute or enter into, any letter of intent, memorandum of understanding, agreement in principle, merger agreement, acquisition agreement or other similar agreement providing for, or that is intended to or would reasonably be expected to lead to, a Takeover Proposal, other than any Acceptable Confidentiality Agreement (each, a “</w:t>
      </w:r>
      <w:r>
        <w:rPr>
          <w:rFonts w:ascii="Times New Roman" w:cs="Times New Roman" w:eastAsia="Times New Roman" w:hAnsi="Times New Roman"/>
          <w:sz w:val="18"/>
          <w:szCs w:val="18"/>
          <w:u w:val="single" w:color="auto"/>
          <w:color w:val="auto"/>
        </w:rPr>
        <w:t>Company Acquisition Agreement</w:t>
      </w:r>
      <w:r>
        <w:rPr>
          <w:rFonts w:ascii="Times New Roman" w:cs="Times New Roman" w:eastAsia="Times New Roman" w:hAnsi="Times New Roman"/>
          <w:sz w:val="18"/>
          <w:szCs w:val="18"/>
          <w:color w:val="auto"/>
        </w:rPr>
        <w:t xml:space="preserve">”). Notwithstanding the foregoing or any other provision of this Agreement to the contrary, prior to obtaining the Company Stockholder Approval, but not after, the Board of Directors of the Company or any duly authorized committee thereof may (I) make an Adverse Recommendation Change in response to an Intervening Event or in response to a Superior Proposal received after the date of this Agreement (which such Superior Proposal did not result from a material breach of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by the Company) or (II) cause the Company to enter into a Company Acquisition Agreement with respect to a Takeover Proposal (where such Takeover Proposal constitutes a Superior Proposal, which such Superior Proposal did not result from a material breach of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by the Company) and terminate this Agreement pursuant to </w:t>
      </w:r>
      <w:r>
        <w:rPr>
          <w:rFonts w:ascii="Times New Roman" w:cs="Times New Roman" w:eastAsia="Times New Roman" w:hAnsi="Times New Roman"/>
          <w:sz w:val="18"/>
          <w:szCs w:val="18"/>
          <w:u w:val="single" w:color="auto"/>
          <w:color w:val="auto"/>
        </w:rPr>
        <w:t>Section 7.01(d)(ii)</w:t>
      </w:r>
      <w:r>
        <w:rPr>
          <w:rFonts w:ascii="Times New Roman" w:cs="Times New Roman" w:eastAsia="Times New Roman" w:hAnsi="Times New Roman"/>
          <w:sz w:val="18"/>
          <w:szCs w:val="18"/>
          <w:color w:val="auto"/>
        </w:rPr>
        <w:t xml:space="preserve">, in either case if the Board of Directors of the Company or any duly authorized committee thereof has determined in good faith, after consultation with its financial advisors and outside legal counsel, that the failure to take such action would reasonably be expected to be inconsistent with the directors’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of Directors of the Company or any duly authorized committee thereof shall not, and the Company shall not, shall cause its Subsidiaries not to, and shall direct the Affiliated Professional Entities not to, take any action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unless (1) the Company has given Parent at least four (4) Business Days’ prior written notice of its intention to take such action (which notice shall state that the Company has received a written Takeover Proposal that constitutes a Superior Proposal, specify the identity of the party making such Superior Proposal and the material terms thereof, or, if in response to an Intervening Event, shall have specified in reasonable detail the material facts and circumstances describing the Intervening Event and the rationale for the Adverse Recommendation Change, and shall state that the Board of Directors of the Company has determined to make an Adverse Recommendation Change) (such notice, a “</w:t>
      </w:r>
      <w:r>
        <w:rPr>
          <w:rFonts w:ascii="Times New Roman" w:cs="Times New Roman" w:eastAsia="Times New Roman" w:hAnsi="Times New Roman"/>
          <w:sz w:val="18"/>
          <w:szCs w:val="18"/>
          <w:u w:val="single" w:color="auto"/>
          <w:color w:val="auto"/>
        </w:rPr>
        <w:t>Match Right Notice</w:t>
      </w:r>
      <w:r>
        <w:rPr>
          <w:rFonts w:ascii="Times New Roman" w:cs="Times New Roman" w:eastAsia="Times New Roman" w:hAnsi="Times New Roman"/>
          <w:sz w:val="18"/>
          <w:szCs w:val="18"/>
          <w:color w:val="auto"/>
        </w:rPr>
        <w:t xml:space="preserve">”), (2) the Company has negotiated, and has caused its Representatives to negotiate, in good faith with Parent during such notice period, to the extent Parent wishes to negotiate, to enable Parent to propose in writing a binding offer to effect revisions to the terms of this Agreement such that it would cause such Superior Proposal to no longer constitute a Superior Proposal or, in the case of an Intervening Event, to effect revisions to this Agreement or make another proposal so that the failure to make an Adverse Recommendation Change would no longer reasonably be expected to be inconsistent with the directors’ fiduciary duties under applicable Law and (3) following the end of such notice period, the Board of Directors of the Company or any duly authorized committee thereof shall have considered in good faith such binding offer, and shall, after consultation with its financial advisors and outside legal counsel, have determined that the Superior Proposal would continue to constitute a Superior Proposal if the revisions proposed in such binding offer were to be given effect or, if the Match Right Notice is related to an Intervening Event, taking into account any revised terms committed to in writing by Parent, that failure to make an Adverse Recommendation Change would reasonably be expected to be inconsistent with the directors’ fiduciary duties under applicable Law (it being understood and agreed that any change to the financial or other material terms of any Takeover Proposal or any material development in any Intervening Event, in each case, that was previously the subject of a Match Right Notice shall require the Company to deliver to Parent a new Match Right Notice as provided for immediately above, provided that the reference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to “four (4) Business Days’” shall be deemed to be “two (2) Business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purported termination of this Agreement pursuant to this sentence shall be void and of no force and effect unless the termination is in accordance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to the extent required under the terms of this Agreement, the Company pays or causes to be paid to Parent the applicable Company Termination Fee in accordance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the extent due and payable thereunder) prior to or concurrently with such termination so long as Parent has provided the Company with wire instructions for such payment.</w:t>
      </w:r>
    </w:p>
    <w:p>
      <w:pPr>
        <w:spacing w:after="0" w:line="180" w:lineRule="exact"/>
        <w:rPr>
          <w:sz w:val="20"/>
          <w:szCs w:val="20"/>
          <w:color w:val="auto"/>
        </w:rPr>
      </w:pPr>
    </w:p>
    <w:p>
      <w:pPr>
        <w:ind w:left="120" w:right="100" w:firstLine="987"/>
        <w:spacing w:after="0" w:line="255" w:lineRule="auto"/>
        <w:tabs>
          <w:tab w:leader="none" w:pos="135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w:t>
      </w:r>
      <w:r>
        <w:rPr>
          <w:rFonts w:ascii="Times New Roman" w:cs="Times New Roman" w:eastAsia="Times New Roman" w:hAnsi="Times New Roman"/>
          <w:sz w:val="18"/>
          <w:szCs w:val="18"/>
          <w:u w:val="single" w:color="auto"/>
          <w:color w:val="auto"/>
        </w:rPr>
        <w:t>ection 5.02</w:t>
      </w:r>
      <w:r>
        <w:rPr>
          <w:rFonts w:ascii="Times New Roman" w:cs="Times New Roman" w:eastAsia="Times New Roman" w:hAnsi="Times New Roman"/>
          <w:sz w:val="18"/>
          <w:szCs w:val="18"/>
          <w:color w:val="auto"/>
        </w:rPr>
        <w:t xml:space="preserve"> or elsewhere in this Agreement shall prohibit the Company or the Board of Directors of the Company or any duly authorized committee thereof from (i) taking and disclosing to the stockholders of the Company a position contemplated by Rule 14e-2(a), Rule 14d-9 or Item 1012(a) of Regulation M-A promulgated under the Exchange Act or (ii) making any disclosure to the stockholders of the Company that is required by applicable Law or if the Board of Directors of the Company or any duly authorized committee thereof determines in good faith, after consultation with the Company’s outside legal counsel, that the failure of the Board of Directors of the Company or any duly authorized committee thereof to make such disclosure reasonably be expected to be inconsistent with the directors’ fiduciary duties under applicable Law; provided that the Board of Directors of the Company shall not effect an Adverse Recommendation Change except in accordance with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33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(x) a customary confidentiality agreement entered into by the Company from and after the date of this Agreement that contains confidentiality provisions that are not materially less favorable in the aggregate to the Company than those contained in the Confidentiality Agreement, except that such confidentiality agreement need not include explicit or implicit standstill provisions or otherwise restrict the making of or amendment or modification to Takeover Proposals or (y) any confidentiality agreement entered into prior to the date of this Agreement.</w:t>
      </w:r>
    </w:p>
    <w:p>
      <w:pPr>
        <w:spacing w:after="0" w:line="183"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w:t>
      </w:r>
      <w:r>
        <w:rPr>
          <w:rFonts w:ascii="Times New Roman" w:cs="Times New Roman" w:eastAsia="Times New Roman" w:hAnsi="Times New Roman"/>
          <w:sz w:val="17"/>
          <w:szCs w:val="17"/>
          <w:u w:val="single" w:color="auto"/>
          <w:color w:val="auto"/>
        </w:rPr>
        <w:t>Takeover Proposal</w:t>
      </w:r>
      <w:r>
        <w:rPr>
          <w:rFonts w:ascii="Times New Roman" w:cs="Times New Roman" w:eastAsia="Times New Roman" w:hAnsi="Times New Roman"/>
          <w:sz w:val="17"/>
          <w:szCs w:val="17"/>
          <w:color w:val="auto"/>
        </w:rPr>
        <w:t>” shall mean any bona fide third party proposal or offer from any Person or group (other than Parent and its Subsidiaries) relating to, in a single transaction or series of related transactions, any direct or indirect (i) acquisition or disposition of 25% or more of the consolidated assets of the Company and its Subsidiaries (based on the fair market value thereof, as determined in good faith by the Board of Directors of the Company or any duly authorized committee thereof), including through the acquisition of one or more Subsidiaries of the Company owning such assets, (ii) acquisition or disposition of securities representing 25% or more of the voting power of the then outstanding Company Common Stock, (iii) tender offer or exchange offer that if consummated would result in any Person or group (or the equityholders of any Person) owning, directly or indirectly, securities representing 25% or more of the voting power of the then outstanding Company Common Stock or</w:t>
      </w:r>
    </w:p>
    <w:p>
      <w:pPr>
        <w:spacing w:after="0" w:line="2" w:lineRule="exact"/>
        <w:rPr>
          <w:rFonts w:ascii="Times New Roman" w:cs="Times New Roman" w:eastAsia="Times New Roman" w:hAnsi="Times New Roman"/>
          <w:sz w:val="17"/>
          <w:szCs w:val="17"/>
          <w:color w:val="auto"/>
        </w:rPr>
      </w:pPr>
    </w:p>
    <w:p>
      <w:pPr>
        <w:ind w:left="120" w:hanging="4"/>
        <w:spacing w:after="0" w:line="252" w:lineRule="auto"/>
        <w:tabs>
          <w:tab w:leader="none" w:pos="42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consolidation, share exchange, business combination, recapitalization, liquidation, dissolution or similar transaction involving the Company pursuant to which such Person or group (or the equityholders of any Person) would own, directly or indirectly, 25% or more of the consolidated assets of the Company and its Subsidiaries (based on the fair market value thereof, as determined in good faith by the Board of Directors of the Company or any duly authorized committee thereof) or securities representing 25% or more of the aggregate voting power of the Company’s then outstanding securities or of the surviving entity in a merger, consolidation, share exchange or other business combination involving the Company or the resulting direct or indirect parent of the Company or such surviving entity, in each case, other than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and the Transactions shall not be deemed a Takeover Proposal.</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shall mean any bona fide written Takeover Proposal made after the date hereof that the Board of Directors of the Company or any duly authorized committee thereof has determined in its good faith judgment, after consultation with its financial advisors and outside legal counsel, (i) would be more favorable to the stockholders of the Company than the Transactions from a financial point of view and (ii) is reasonably capable of being completed, in each case, taking into account all legal, regulatory, financial, financing and other aspects of such proposal and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definition of “Superior Proposal”, the references to “25%” in the definition of Takeover Proposal shall be deemed to be references to “50%”.</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2" w:lineRule="auto"/>
        <w:tabs>
          <w:tab w:leader="none" w:pos="135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of the parties hereto shall coordinate and cooperate with the other parties and use, and shall cause its Affiliates to use, reasonable best efforts (unless, with respect to any action, another standard of performance is expressly provided for herein) to as promptly as reasonably practicable (i) take, or cause to be taken, all actions, and do, or cause to be done, and assist and cooperate with the other parties hereto in doing, all things necessary, proper or advisable to cause the conditions to Closing to be satisfied as promptly as reasonably practicable and to consummate and make effective, in the most expeditious manner reasonably practicable, the Transactions, including preparing and filing promptly and fully all documentation to effect all necessary, proper and advisable filings, notices, petitions, statements, registrations, declarations, submissions of information, applications, reports and other documents, (ii) obtain all approvals, consents, registrations, waivers, permits, authorizations, exemptions, clearances, orders and other confirmations from any Governmental Authority or third party necessary, proper or advisable to consummate the Transactions, (iii) execute and deliver any additional instruments necessary to consummate the Transactions and</w:t>
      </w:r>
    </w:p>
    <w:p>
      <w:pPr>
        <w:spacing w:after="0" w:line="6" w:lineRule="exact"/>
        <w:rPr>
          <w:rFonts w:ascii="Times New Roman" w:cs="Times New Roman" w:eastAsia="Times New Roman" w:hAnsi="Times New Roman"/>
          <w:sz w:val="18"/>
          <w:szCs w:val="18"/>
          <w:color w:val="auto"/>
        </w:rPr>
      </w:pPr>
    </w:p>
    <w:p>
      <w:pPr>
        <w:ind w:left="120" w:right="80" w:hanging="4"/>
        <w:spacing w:after="0" w:line="260" w:lineRule="auto"/>
        <w:tabs>
          <w:tab w:leader="none" w:pos="42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or contest in good faith any Action brought by any Governmental Authority or a third party or any Judgment that could otherwise prevent or impede, interfere with, hinder or delay in any material respect the consummation of the Transactions.</w:t>
      </w:r>
    </w:p>
    <w:p>
      <w:pPr>
        <w:spacing w:after="0" w:line="18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foregoing, the Company and Parent shall each use, and shall cause its Affiliates to use, reasonable best efforts to (i) take all action necessary to ensure that no Takeover Law is or becomes applicable to any of the Transactions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5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shall jointly coordinate and cooperate in developing (i) the timing and strategy for obtaining any approvals, consents, registrations, waivers, permits, authorizations, exemptions, clearances, orders and other confirmations from any Governmental Authority in connection with the Transactions and (ii) the positions to be taken and the regulatory actions to be requested in any filing or submission with any Governmental Authority in connection with the Transactions and in connection with any investigation or other inquiry or litigation by or before, or any negotiations with, any Governmental Authority relating to the Transactions and of all other regulatory matters incidental thereto; subject to the other provisions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Parent considering in good faith the views and comments of the Company and its outside counsel, Parent shall make the final determination as to the appropriate course of action with matters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foregoing, each of the parties hereto agrees to, and to cause its Affiliates to, (i) make an appropriate filing of a Notification and Report Form pursuant to the HSR Act and the requisite filings described in Section 3.04(e) of the Company Disclosure Letter with respect to the Transactions as promptly as reasonably practicable following the date of this Agreement (and, in the case of the filing pursuant to the HSR Act, in any event within fifteen (15) Business Days following the date hereof), (ii) respond as promptly as reasonably practicable, to any requests for additional information and documentary material that may be requested pursuant to the HSR Act or any other applicable Law and (iii) promptly take any and all steps necessary to avoid or eliminate each and every impediment and obtain all consents under any Laws that may be required by any foreign or U.S. federal, state or local Governmental Authority, in each case with competent jurisdiction, so as to enable the parties hereto to consummate the Transactions. Without limiting the foregoing, but subject to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each of Parent and the Company shall use reasonable best efforts to promptly take, and cause its Affiliates to take, all actions necessary to secure the expiration or termination of any applicable waiting period under the HSR Act or any other applicable Law and resolve any objections asserted with respect to the Transactions under any applicable Law raised by any Governmental Authority, in order to prevent the entry of, or to have vacated, lifted, reversed or overturned, any Restraint that would prevent, prohibit,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restrict or delay the consummation of the Transactions, including (A) executing settlements, undertakings, consent decrees, stipulations or other agreements with any Governmental Authority or with any other Person, (B) selling, divesting or otherwise conveying or holding separate particular assets or categories of assets or businesses of Parent, its Subsidiaries or any Affiliate of the foregoing, (C) agreeing to sell, divest or otherwise convey or hold separate any particular assets or categories of assets or businesses of the Company and its Subsidiaries contemporaneously with or subsequent to the Effective Time, (D) permitting the Company to sell, divest or otherwise convey or hold separate any of the particular assets or categories of assets or businesses of the Company, any of its Subsidiaries or Affiliated Professional Entities prior to the Effective Time, (E) terminating existing relationships, contractual rights or obligations of (x) the Company or its Affiliates or (y) Parent, its Subsidiaries or any Affiliate of the foregoing, (F) creating any relationship, contractual right, license or obligation of (x) the Company, its Affiliates or Affiliated Professional Entities or (y) Parent, its Subsidiaries or any Affiliate of the foregoing, (G) effectuating any other change or restructuring of (x) the Company, its Affiliates or Affiliated Professional Entities or</w:t>
      </w:r>
    </w:p>
    <w:p>
      <w:pPr>
        <w:spacing w:after="0" w:line="5" w:lineRule="exact"/>
        <w:rPr>
          <w:sz w:val="20"/>
          <w:szCs w:val="20"/>
          <w:color w:val="auto"/>
        </w:rPr>
      </w:pPr>
    </w:p>
    <w:p>
      <w:pPr>
        <w:ind w:left="120" w:hanging="4"/>
        <w:spacing w:after="0" w:line="251" w:lineRule="auto"/>
        <w:tabs>
          <w:tab w:leader="none" w:pos="3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its Subsidiaries or any Affiliate of the foregoing or (H) limiting, or agreeing to limit, Parent’s (or any of its Subsidiaries’ or Affiliates’) freedom of action (and, in each case, entering into agreements or stipulating to the entry of any Judgment by, or filing appropriate applications with,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the Antitrust Division of the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xml:space="preserve">”) or any other Governmental Authority in connection with any of the foregoing and, in the case of actions by or with respect to the Company, by consenting to such action by the Company) (any such 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is conditioned upon the Closing. Parent and the Company shall use reasonable best efforts to respond to and seek to resolve as promptly as reasonably practicable any objections asserted by any Governmental Authority with respect to the Transactions. Each of the Company, Parent and Merger Sub shall not knowingly take (and each of the Company and Parent shall cause their respective Affiliates or Affiliated Professional Entities not to knowingly take) any action with the intention to, or that would reasonably be expected to, materially hinder or materially delay the expiration or termination of any waiting period under the HSR Act or the obtaining of approval of the DOJ or FTC or any other Governmental Authority as necessary. Neither Parent nor the Company shall (and shall cause their respective Affiliates or Affiliated Professional Entities not to) commit to or agree with any Governmental Authority to stay, toll or extend any applicable waiting period under the HSR Act or any other applicable Laws, pull and refile under the HSR Act more than once, or any other applicable Laws or enter into a timing agreement with any Governmental Authority, without the prior written consent of the other party (such consent may be provided by email and shall not be unreasonably withheld, delayed or conditioned). In addition and without limiting the foregoing, Parent and Company shall not, and Parent shall cause its Affiliates not to, effect or agree to any business combination (whether structured as a merger, business combination, tender offer, exchange offer or similar transaction) with, or the acquisition of any assets, licenses, rights, product lines, operations or businesses of, any Person that would reasonably be expected to materially hinder or materially delay the consummation of the Transactions.</w:t>
      </w:r>
    </w:p>
    <w:p>
      <w:pPr>
        <w:spacing w:after="0" w:line="189"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else contained in this Agreement to the contrary, nothing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otherwise in this Agreement shall (i) require Parent, any of its Affiliates or any of its Subsidiaries or the Company, any of its Subsidiaries or any of the Affiliated Professional Entities or (ii) permit the Company, any of its Subsidiaries or any of the Affiliated Professional Entities, without the prior written consent of Parent, to discuss, negotiate, agree to, accept or undertake (or to consent to the Company, any of its Subsidiaries or any of the Affiliated Professional Entities agreeing to, accepting or undertaking) any Restriction that would reasonably be expected to be material to the Company, its Subsidiaries and the Affiliated Professional Entities, taken as a whole.</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3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foregoing, each of the parties hereto shall use (and shall cause their respective Affiliates to use) reasonable best efforts to (i) promptly cooperate in all respects with each other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FTC, the DOJ or any other Governmental Authority in connection with the Transactions and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connection with any investigation or other inquiry by or before the FTC, the DOJ or any other Governmental Authority relating to the Transactions or any proceeding initiated by a private Person relating to the Transactions, (ii) keep the other parties hereto promptly and fully informed in all material respects of any written or verbal communication received by such party from, or given by such party to, the FTC, the DOJ or any other Governmental Authority (including by promptly sending the other parties a copy of all documents, information, correspondence or other communications) and of any material written or verbal communication received or given in connection with any proceeding by a private Person, in each case regarding any of the Transactions; provided, however, that such material may be redacted or provided on an outside counsel only basis as necessary (x) to address reasonable legal privilege concerns or contractual confidentiality obligations or (y) to comply with applicable Law, (iii) subject to applicable Laws and the Confidentiality Agreement relating to the exchange of information, and to the extent reasonably practicable, promptly consult with the other parties hereto with respect to information relating to the other parties hereto and their respective Affiliates, as the case may be, that appears in any filing made with, or written materials submitted to, any third Person or the FTC, the DOJ or any other Governmental Authority in connection with the Transactions, other than “Transaction-Related Documents” as that term is used in the rules and regulations under the HSR Act and (iv) to the extent permitted by the FTC, the DOJ or such other applicable Governmental Authority or other Person, promptly give the other parties hereto the opportunity to attend and participate in such meetings and conferences (whether in person, by telephone or otherwise). Prior to submitting any document or any information relating to the Transactions or the parties (whether formally or informally, in draft form or final form) to the FTC, the DOJ or any other Governmental Authority, a party shall send the other parties such document or information reasonably in advance of such submission and, consistent with</w:t>
      </w:r>
    </w:p>
    <w:p>
      <w:pPr>
        <w:spacing w:after="0" w:line="1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permit the other parties hereto to review and discuss in advance, and consider in good faith the view of the other in connection with, any proposed written or oral communications with or information to any Governmental Authority.</w:t>
      </w:r>
    </w:p>
    <w:p>
      <w:pPr>
        <w:spacing w:after="0" w:line="18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Unless and until an Adverse Recommendation Change has occurred, Parent and the Company shall consult (and shall cause their respective Affiliates to consult) with each other before issuing, and give each other the opportunity to review and comment upon, any press release or other public statements with respect to the Transactions, and shall not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The parties hereto agree that the initial press release to be issued with respect to the Transactions following execution of this Agreement shall be in the form heretofore agreed to by the parties hereto (the “</w:t>
      </w:r>
      <w:r>
        <w:rPr>
          <w:rFonts w:ascii="Times New Roman" w:cs="Times New Roman" w:eastAsia="Times New Roman" w:hAnsi="Times New Roman"/>
          <w:sz w:val="18"/>
          <w:szCs w:val="18"/>
          <w:u w:val="single" w:color="auto"/>
          <w:color w:val="auto"/>
        </w:rPr>
        <w:t>Announcement</w:t>
      </w:r>
      <w:r>
        <w:rPr>
          <w:rFonts w:ascii="Times New Roman" w:cs="Times New Roman" w:eastAsia="Times New Roman" w:hAnsi="Times New Roman"/>
          <w:sz w:val="18"/>
          <w:szCs w:val="18"/>
          <w:color w:val="auto"/>
        </w:rPr>
        <w:t xml:space="preserve">”). Notwithstanding the foregoing,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shall not apply to any press release or other public statement made by the Company or Parent (a) which is consistent with the Announcement and the terms of this Agreement and does not contain any information relating to the Company, Parent or the Transactions that has not been previously announced or made public in accordance with the terms of this Agreement or (b) is made in the ordinary course of business and does not relate specifically to the signing of this Agreement or the Transactions.</w:t>
      </w:r>
    </w:p>
    <w:p>
      <w:pPr>
        <w:spacing w:after="0" w:line="194"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 xml:space="preserve">. Subject to applicable Law and any applicable Judgment, between the date of this Agreement and the earlier of the Effective Time and the termination of this Agreement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upon reasonable notice, the Company shall afford to Parent and Parent’s Representatives reasonable access during normal business hours to the Company’s and its Subsidiaries’ and the Affiliated Professional Entities’ officers, employees, agents, properties, books, Contracts and records (other than any of the foregoing that relate to the negotiation and execution of this Agreement, or, except as expressly provided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to any Takeover Proposal or any other transactions potentially competing with or alternative to the Transactions or proposals from other parties relating to any competing or alternative transactions or relating to any deliberation of the Board of Directors of the Company or any duly authorized committee thereof regarding any Takeover Proposal or Adverse Recommendation Change) and the Company shall furnish promptly to Parent and Parent’s Representatives such information concerning its and its Subsidiaries’ and the Affiliated Professional Entities’ business, personnel, assets, liabilities and properties as Parent may reasonably request (other than any information that the Company determines in its reasonable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judgment relates to the negotiation and execution of this Agreement, or, except as expressly provided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to any Takeover Proposal or any other transactions potentially competing with or alternative to the Transactions or proposals from other parties relating to any competing or alternative transactions or relating to any deliberation of the Board of Directors of the Company or any duly authorized committee thereof regarding any Takeover Proposal or Adverse Recommendation Change), in each case, for any reasonable purpose in connection with the consummation of the Transactions (including for integration planning);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its Representatives shall conduct any such activities in such a manner as not to interfere unreasonably with the business or operations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the Company shall not be obligated to provide such access or information if the Company determines, in its reasonable judgment, that doing so would reasonably be expected to (i) result in the disclosure of Proprietary Information or competitively sensitive information to third parties, (ii) violate applicable Law, an applicable Judgment or a Contract or obligation of confidentiality owing to a third party, (iii) jeopardize the protection of an attorney-client privilege, attorney work product protection or other legal privilege, (iv) be materially adverse to the interests of the Company or any of its Subsidiaries or any of the Affiliated Professional Entities in any pending or threatened Action or (v) expose the Company to risk of liability for disclosure of sensitive or personal information and (b) such access shall not include any right to conduct any intrusive or invasive sampling or testing of any environmental media, or any building, fixture or equipment, at any real property leased by the Company or any of its Subsidiaries. All requests for information made pursuant to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directed to the executive officer or other Person designated by the Company. Until the Effective Time, all information provided will be subject to the terms of the letter agreement dated as of October 22, 2025, by and among the Company and UHS of Delaware, Inc.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Effective Time, the Surviving Corporation shall, and Parent shall cause the Surviving Corporation to, in each case, to the fullest extent permissible by applicable Law, (i) indemnify and hold harmless each current or former director or officer of the Company or its Subsidiaries and each other Person who immediately prior to the Effective Time was indemnified or was required to be indemnified by the Company or its Subsidiaries pursuant to the Company Charter Documents and the organizational documents of such Subsidiaries as in effect on the date of this Agreement or in any agreement in existence as of the date of this Agreement providing for indemnification or advancement of expenses between the Company or any of its Subsidiaries and such Person (each,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with respect to all claims, liabilities, losses, damages, judgments, fines, penalties, costs (including amounts paid in settlement or compromise) and expenses (including fees and expenses of legal counsel) in connection with any Action (whether civil, criminal, administrative or investigative), whenever asserted, based on or arising out of, in whole or in part, (A) the fact that an Indemnitee is or was a member, director, manager, officer, employee or agent of the Company or such Subsidiary or</w:t>
      </w:r>
    </w:p>
    <w:p>
      <w:pPr>
        <w:spacing w:after="0" w:line="5" w:lineRule="exact"/>
        <w:rPr>
          <w:rFonts w:ascii="Times New Roman" w:cs="Times New Roman" w:eastAsia="Times New Roman" w:hAnsi="Times New Roman"/>
          <w:sz w:val="17"/>
          <w:szCs w:val="17"/>
          <w:color w:val="auto"/>
        </w:rPr>
      </w:pPr>
    </w:p>
    <w:p>
      <w:pPr>
        <w:ind w:left="120" w:right="60" w:hanging="4"/>
        <w:spacing w:after="0" w:line="251"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acts or omissions by an Indemnitee in the Indemnitee’s capacity as a member, director, manager, officer, employee or agent of the Company or such Subsidiary or taken at the request of the Company or such Subsidiary (including in connection with serving at the request of the Company or such Subsidiary as a representative of another Person (including any employee benefit plan)), in each case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or at any time prior to, the Effective Time (including any Action relating in whole or in part to the Transactions or relating to the enforcement of this provision or any other indemnification or expense advancement right of any Indemnitee) and (ii) assume (in the case of the Surviving Corporation, in the Merger without any further action) all obligations of the Company and such Subsidiaries to the Indemnitees in respect of indemnification, advancement of expenses and exculpation from liabilities for acts or omissions occurring at or prior to the Effective Time as provided in the Company Charter Documents and the organizational documents of such Subsidiaries as in effect on the date of this Agreement or in any agreement in existence as of the date of this Agreement providing for indemnification or advancement of expenses between the Company or any of its Subsidiaries and any Indemnitee, in each case, as in effect on the date of this Agreement.</w:t>
      </w:r>
    </w:p>
    <w:p>
      <w:pPr>
        <w:spacing w:after="0" w:line="192"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from and after the Effective Time, to the fullest extent permissible by applicable Law, Parent shall cause the certificate of incorporation and bylaws of the Surviving 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and the Surviving Corporation shall cause the organizational documents of its Subsidiaries, to contain provisions no less favorable to the Indemnitees with respect to limitation of liabilities, indemnification and exculpation, in each case, than are set forth as of the date of this Agreement in the Company Charter Documents and the organizational documents of such Subsidiaries as in effect on the date of this Agreement, which provisions shall not be amended, repealed or otherwise modified in a manner that would adversely affect the rights thereunder of any of the Indemnitees. In addition, from the Effective Time, Parent shall cause the Surviving Corporation to, without requiring a preliminary determination of entitlement to indemnification, advance any reasonable and documented out-of-pocket expenses (including reasonable fees and expenses of legal counsel) of any Indemnitee in accordance with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(including in connection with enforcing the indemnity and other obligations referred to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as incurred to the fullest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Indemnitee shall be required to provide a written undertaking to repay such amounts if it is ultimately determined in a final non-appealable judgment that such Indemnitee is not entitled to be indemnified under applicable Law.</w:t>
      </w:r>
    </w:p>
    <w:p>
      <w:pPr>
        <w:spacing w:after="0" w:line="194" w:lineRule="exact"/>
        <w:rPr>
          <w:sz w:val="20"/>
          <w:szCs w:val="20"/>
          <w:color w:val="auto"/>
        </w:rPr>
      </w:pPr>
    </w:p>
    <w:p>
      <w:pPr>
        <w:ind w:left="120" w:right="20" w:firstLine="987"/>
        <w:spacing w:after="0" w:line="258" w:lineRule="auto"/>
        <w:tabs>
          <w:tab w:leader="none" w:pos="135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Parent, the Surviving Corporation or any of its Subsidiaries shall settle, compromise or consent to the entry of any judgment in any threatened or actual litigation, claim or proceeding relating to any acts or omissions covered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for which indemnification would reasonably be expected to be sought by an Indemnitee hereunder, unless such settlement, compromise or consent includes an unconditional release of such Indemnitee from all liability arising out of such Claim or such Indemnitee otherwise consents in writing to such settlement, compromise or consent.</w:t>
      </w:r>
    </w:p>
    <w:p>
      <w:pPr>
        <w:spacing w:after="0" w:line="183"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six-year period commencing immediately after the Effective Time, the Surviving Corporation shall, and the Parent shall cause the Surviving Corporation to, maintain in effect the Company’s current directors’ and officers’ liability insurance covering acts or omissions occurring at or prior to the Effective Time with respect to those individuals who are currently (and any additional individuals who prior to the Effective Time become) covered by the Company’s directors’ and officers’ liability insurance policies on terms and scope with respect to such coverage, and in an amount, no less favorable to such individuals than those of such policy in effect on the date of this Agreement (or Parent may substitute therefor policies, issued by reputable insurers, of at least the same coverage with respect to matters existing or occurring prior to the Effective Time, including a “tail”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or the Surviving Corporation be required to expend for such policy an aggregate amount in excess of 300% of the current annual premium paid by the Company for such insurance. The Company shall have the right prior to the Effective Time to purchase a six-year prepaid “tail policy” on terms and conditions providing at least substantially equivalent benefits as the current policies of directors’ and officers’ liability insurance maintained by the Company and its Subsidiaries with respect to matters existing or occurring prior to the Effective Time, covering without limitation the Transactions, subject to the cap described in the immediately preceding sentence. If such prepaid “tail policy” has been obtained by the Company, it shall be deemed to satisfy all obligations to obtain insurance pursuant to this </w:t>
      </w:r>
      <w:r>
        <w:rPr>
          <w:rFonts w:ascii="Times New Roman" w:cs="Times New Roman" w:eastAsia="Times New Roman" w:hAnsi="Times New Roman"/>
          <w:sz w:val="18"/>
          <w:szCs w:val="18"/>
          <w:u w:val="single" w:color="auto"/>
          <w:color w:val="auto"/>
        </w:rPr>
        <w:t>Section 5.06(d)</w:t>
      </w:r>
      <w:r>
        <w:rPr>
          <w:rFonts w:ascii="Times New Roman" w:cs="Times New Roman" w:eastAsia="Times New Roman" w:hAnsi="Times New Roman"/>
          <w:sz w:val="18"/>
          <w:szCs w:val="18"/>
          <w:color w:val="auto"/>
        </w:rPr>
        <w:t xml:space="preserve"> and the Surviving Corporation shall, and the Parent shall cause the Surviving Corporation to, use reasonable best efforts to cause such policy to be maintained in full force and effect, for its full term, and to honor all of its obligations thereunder.</w:t>
      </w:r>
    </w:p>
    <w:p>
      <w:pPr>
        <w:spacing w:after="0" w:line="197" w:lineRule="exact"/>
        <w:rPr>
          <w:rFonts w:ascii="Times New Roman" w:cs="Times New Roman" w:eastAsia="Times New Roman" w:hAnsi="Times New Roman"/>
          <w:sz w:val="18"/>
          <w:szCs w:val="18"/>
          <w:color w:val="auto"/>
        </w:rPr>
      </w:pPr>
    </w:p>
    <w:p>
      <w:pPr>
        <w:ind w:left="120" w:right="160" w:firstLine="987"/>
        <w:spacing w:after="0" w:line="254" w:lineRule="auto"/>
        <w:tabs>
          <w:tab w:leader="none" w:pos="135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are (i) intended to be for the benefit of, and shall be enforceable by, each Indemnitee, his or her heirs and his or her representatives and (ii) in addition to, and not in substitution for, any other rights to indemnification or contribution that any such individual may have under the Company Charter Documents or the organizational documents of the Company’s Subsidiaries as in effect on the date of this Agreement or by contract or otherwise. The obligations of Parent and the Surviving Corporation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not be terminated or modified in such a manner as to adversely affect the rights of any Indemnitee to whom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applies unless (x) such termination or modification is required by applicable Law or (y) the affected Indemnitee shall have consented in writing to such termination or modification (it being expressly agreed that the Indemnitees to whom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applies and each Indemnitee’s heirs and representatives shall be third-party beneficiaries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987"/>
        <w:spacing w:after="0" w:line="258" w:lineRule="auto"/>
        <w:tabs>
          <w:tab w:leader="none" w:pos="13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Parent, the Surviving Corporation or any of their respective successors or assigns (A) consolidates with or merges into any other Person and is not the continuing or surviving corporation or entity of such consolidation or merger or (B) transfers or conveys all or substantially all of its properties and assets to any Person or (ii) Parent or any of its successors or assigns dissolves the Surviving Corporation, then, in each such case, proper provision shall be made so that the successors and assigns of Parent or the Surviving Corporation shall assume all of the obligations thereof set forth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260" w:firstLine="987"/>
        <w:spacing w:after="0" w:line="261" w:lineRule="auto"/>
        <w:tabs>
          <w:tab w:leader="none" w:pos="136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is not prior to or in substitution for any such claims under such policies.</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Parent’s and the Surviving Corporation’s obligations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only continue in full force and effect for a period of six years from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Claim (whether arising before, at or after the Effective Time) is brought against an Indemnitee on or prior to the sixth anniversary of the Effective Time, the provisions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continue in effect until the full and final resolution of such Claim.</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8" w:lineRule="auto"/>
        <w:tabs>
          <w:tab w:leader="none" w:pos="1356"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twelve (12) months following the Effective Time (such period, the “</w:t>
      </w:r>
      <w:r>
        <w:rPr>
          <w:rFonts w:ascii="Times New Roman" w:cs="Times New Roman" w:eastAsia="Times New Roman" w:hAnsi="Times New Roman"/>
          <w:sz w:val="17"/>
          <w:szCs w:val="17"/>
          <w:u w:val="single" w:color="auto"/>
          <w:color w:val="auto"/>
        </w:rPr>
        <w:t>Comparability Period</w:t>
      </w:r>
      <w:r>
        <w:rPr>
          <w:rFonts w:ascii="Times New Roman" w:cs="Times New Roman" w:eastAsia="Times New Roman" w:hAnsi="Times New Roman"/>
          <w:sz w:val="17"/>
          <w:szCs w:val="17"/>
          <w:color w:val="auto"/>
        </w:rPr>
        <w:t>”), Parent shall, and shall cause the Surviving Corporation and its Subsidiaries to, (i) provide a base salary or wage rate, as applicable, and short- and long-term incentive opportunities (excluding equity purchase, equity and equity-based compensation opportunities and change of control or similar type transaction bonuses) to each Person who is an employee of the Company or any of its Subsidiaries immediately prior to the Effective Time (each, a “</w:t>
      </w:r>
      <w:r>
        <w:rPr>
          <w:rFonts w:ascii="Times New Roman" w:cs="Times New Roman" w:eastAsia="Times New Roman" w:hAnsi="Times New Roman"/>
          <w:sz w:val="17"/>
          <w:szCs w:val="17"/>
          <w:u w:val="single" w:color="auto"/>
          <w:color w:val="auto"/>
        </w:rPr>
        <w:t>Continuing Employee</w:t>
      </w:r>
      <w:r>
        <w:rPr>
          <w:rFonts w:ascii="Times New Roman" w:cs="Times New Roman" w:eastAsia="Times New Roman" w:hAnsi="Times New Roman"/>
          <w:sz w:val="17"/>
          <w:szCs w:val="17"/>
          <w:color w:val="auto"/>
        </w:rPr>
        <w:t>”) that are, in each case, no less favorable than those in effect immediately prior to the Effective Time, (ii) provide severance benefits to each Continuing Employee that are no less favorable than those that would have been provided to such Continuing Employee under the applicable severance benefit plans, programs, policies, agreements and arrangements as in effect immediately prior to the Effective Time (after giving effect to any provisions relating to a “change in control”, “change of control” or other term of similar import), (iii) provide employee benefit plans and arrangements (other than</w:t>
      </w:r>
    </w:p>
    <w:p>
      <w:pPr>
        <w:ind w:left="120" w:right="220" w:hanging="4"/>
        <w:spacing w:after="0" w:line="252" w:lineRule="auto"/>
        <w:tabs>
          <w:tab w:leader="none" w:pos="37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wage rate, short- and long-term incentive opportunities, severance and retention benefits, equity purchase, equity and equity-based compensation benefits, change in control, defined benefit, post-retirement or retiree medical benefits and (y) loans to employees for educational purposes, for purposes of satisfying withholding tax in connection with equity awards or for any other purpose) to each Continuing Employee that are substantially comparable in the aggregate to those provided to such Continuing Employee immediately prior to the Effective Time and (iv) starting January 1, 2027, provide equity purchase, equity, and equity-based compensation opportunities to each Continuing Employee that are substantially comparable to those provided to similarly situated employees of Parent with comparable levels of seniority and responsibilities.</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employee benefit plans of Parent, the Surviving Corporation and their respective Subsidiaries in which Continuing Employees are eligible to participate from and after the Effective Time, including any “employee benefit plan” (as defined in Section 3(3) of ERISA) (including any vacation, paid time-off and severance plans), for all purposes, including determining eligibility to participate, level of benefits, vesting, benefit accruals (other than accruals under any defined benefit pension plan unless otherwise required by a Collective Bargaining Agreement) and early retirement subsidies, each Continuing Employee’s service with the Company or any of its Subsidiaries (as well as service with any predecessor employer of the Company or any such Subsidiary, to the extent service with the predecessor employer was recognized by the Company or such Subsidiary) shall be treated as service with Parent, the Surviving Corporation or any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service need not be recognized (i) to the extent that such recognition would result in any duplication of benefits for the same period of service and</w:t>
      </w:r>
    </w:p>
    <w:p>
      <w:pPr>
        <w:ind w:left="380" w:hanging="264"/>
        <w:spacing w:after="0"/>
        <w:tabs>
          <w:tab w:leader="none" w:pos="3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Parent’s stock purchase plan offerings.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6" w:lineRule="auto"/>
        <w:tabs>
          <w:tab w:leader="none" w:pos="135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 Parent shall use reasonable best efforts, or use reasonable best efforts to cause the Surviving Corporation and its Subsidiaries to, waive, or cause to be waived, any pre-existing condition limitations, exclusions, actively-at-work requirements and waiting periods under any welfare benefit plan maintained by Parent, the Surviving Corporation or any of their respective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Plan immediately prior to the Effective Time.</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Continuing Employee who is eligible to receive an annual cash bonus in accordance with the terms of the applicable bonus plan or arrangement, Parent shall cause the Surviving Corporation and its Subsidiaries to pay such Continuing Employee a cash bonus payment for the year in which the Closing Date occurs (if such Continuing Employee remains employed on the date such payment is to be made) in accordance with the terms of such applicable bonus plan or arrangement.</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5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are solely for the benefit of the parties to this Agreement, and no provision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is intended to, or shall constitute the establishment or adoption of, or an amendment to, any employee benefit plan for purposes of ERISA or otherwise and, except as otherwise explicitly provided for in this Agreement, no current or former employee or any other individual associated therewith shall be regarded for any purpose as a third-party beneficiary of this Agreement or have the right to enforce the provisions hereof or have the right to continued employment.</w:t>
      </w:r>
    </w:p>
    <w:p>
      <w:pPr>
        <w:spacing w:after="0" w:line="183"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u w:val="single" w:color="auto"/>
          <w:color w:val="auto"/>
        </w:rPr>
        <w:t>Notification of Certain Matters; Stockholder Litigation</w:t>
      </w:r>
      <w:r>
        <w:rPr>
          <w:rFonts w:ascii="Times New Roman" w:cs="Times New Roman" w:eastAsia="Times New Roman" w:hAnsi="Times New Roman"/>
          <w:sz w:val="17"/>
          <w:szCs w:val="17"/>
          <w:color w:val="auto"/>
        </w:rPr>
        <w:t xml:space="preserve">. Prior to the Effective Time, Parent shall give prompt notice to the Company, and the Company shall give prompt notice to Parent, of (a) the occurrence or non-occurrence of any event whose occurrence or non-occurrence, as the case may be, would be likely to cause any representation or warranty contained in this Agreement to be untrue or inaccurate as if made as of any time prior to the Effective Time, such that the conditions set forth in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6.03(a)</w:t>
      </w:r>
      <w:r>
        <w:rPr>
          <w:rFonts w:ascii="Times New Roman" w:cs="Times New Roman" w:eastAsia="Times New Roman" w:hAnsi="Times New Roman"/>
          <w:sz w:val="17"/>
          <w:szCs w:val="17"/>
          <w:color w:val="auto"/>
        </w:rPr>
        <w:t>, as applicable, would not be satisfied, (b) to the extent permitted under applicable Law, any notice or other communication received by such party from any Governmental Authority in connection with this Agreement or the Transactions or from any Person alleging that the consent of such Person is or may be required in connection with the Transactions and (c) any Actions commenced or, to such party’s Knowledge, threatened against such party (or its directors, officers, Subsidiaries, Affiliates or Affiliated Professional Entities) which relates to this Agreement or the Transactions. The Company shall (i) give Parent the opportunity to participate in the defense and settlement of any stockholder litigation against the Company or the Company’s directors or officers relating to this Agreement or the Transactions, (ii) keep Parent reasonably and promptly informed of the status of and any material developments with respect to any such litigation (whether or not Parent exercises its right to participate in the defense of such litigation), (iii) give Parent the right to review and comment on all material filings or responses made by the Company in connection with any such litigation and (iv) not settle or provide any payment or other compensation with respect to any stockholder demand or litigation against the Company or the Company’s directors or officers relating to this Agreement or the Transactions without Parent’s prior written consent (such consent not to be unreasonably withheld, delayed or conditioned).</w:t>
      </w:r>
    </w:p>
    <w:p>
      <w:pPr>
        <w:spacing w:after="0" w:line="184"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Merger Sub Expenditures and Distributions</w:t>
      </w:r>
      <w:r>
        <w:rPr>
          <w:rFonts w:ascii="Times New Roman" w:cs="Times New Roman" w:eastAsia="Times New Roman" w:hAnsi="Times New Roman"/>
          <w:sz w:val="18"/>
          <w:szCs w:val="18"/>
          <w:color w:val="auto"/>
        </w:rPr>
        <w:t>. From the date of this Agreement until the Effective Time, Merger Sub shall not expend funds other than in connection with the Transactions and the payment of related expenses.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Parent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987"/>
        <w:spacing w:after="0" w:line="261" w:lineRule="auto"/>
        <w:tabs>
          <w:tab w:leader="none" w:pos="135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vote or cause to be voted any shares of Company Common Stock beneficially owned by it or any of its Affiliates or with respect to which it or any of its Affiliates has the power (by agreement, proxy or otherwise) to cause to be voted, in favor of the approval of this Agreement at any meeting of stockholders of the Company at which this Agreement shall be submitted for approval and at all adjournments or postponements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82" w:lineRule="auto"/>
        <w:tabs>
          <w:tab w:leader="none" w:pos="136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execution and delivery of this Agreement, Parent, in its capacity as the sole stockholder of Merger Sub, will execute and deliver to Merger Sub and the Company a written consent adopting this Agreement in accordance with the DGCL.</w:t>
      </w:r>
    </w:p>
    <w:p>
      <w:pPr>
        <w:spacing w:after="0" w:line="162"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Parent shall use reasonable best efforts to cause the shares of Company Common Stock and the Company Warrants to be de-listed from NASDAQ and de-registered under the Exchange Act as soon as reasonably practicable following the Effective Time.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Preparation of the Proxy Statement; Stockholders’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after the execution of this Agreement (and in any event within twenty (20) Business Days of the date hereof) and subject to applicable Law, the Company shall prepare the Proxy Statement in preliminary form and file it with the SEC. Subject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the Board of Directors of the Company shall make the Company Board Recommendation to the stockholders of the Company and shall include such recommendation in the Proxy Statement. Parent shall provide to the Company all information concerning Parent, Merger Sub and their respective Affiliates as may be reasonably requested by the Company in connection with the Proxy Statement and shall otherwise reasonably assist and cooperate with the Company in the preparation of the Proxy Statement and the resolution of any comments thereto received from the SEC. Each of the Company, Parent and Merger Sub shall correct any information provided by it for use in the Proxy Statement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The Company shall notify Parent promptly upon the receipt of any comments from the SEC and of any request by the SEC for amendments or supplements to the Proxy Statement and shall supply Parent with copies of all written correspondence between the Company or any of its Representatives, on the one hand, and the SEC, on the other hand, with respect to the Proxy Statement. The Company shall use reasonable best efforts to respond as promptly as reasonably practicable to any comments received from the SEC concerning the Proxy Statement and to resolve such comments with the SEC, and shall use reasonable best efforts to cause the Proxy Statement to be disseminated to its stockholders as promptly as reasonably practicable (and in any event within seven (7) calendar days after the earlier of (i) the date the SEC confirms that it has no further comments to the Proxy Statement or (ii) if there is or has been no review of the Proxy Statement by the SEC, the expiration of the SEC review period therefor (such earlier date, the “</w:t>
      </w:r>
      <w:r>
        <w:rPr>
          <w:rFonts w:ascii="Times New Roman" w:cs="Times New Roman" w:eastAsia="Times New Roman" w:hAnsi="Times New Roman"/>
          <w:sz w:val="18"/>
          <w:szCs w:val="18"/>
          <w:u w:val="single" w:color="auto"/>
          <w:color w:val="auto"/>
        </w:rPr>
        <w:t>SEC Clearance Date</w:t>
      </w:r>
      <w:r>
        <w:rPr>
          <w:rFonts w:ascii="Times New Roman" w:cs="Times New Roman" w:eastAsia="Times New Roman" w:hAnsi="Times New Roman"/>
          <w:sz w:val="18"/>
          <w:szCs w:val="18"/>
          <w:color w:val="auto"/>
        </w:rPr>
        <w:t>”)). Prior to the filing of the Proxy Statement (or any amendment or supplement thereto) or any dissemination thereof to the stockholders of the Company, or responding to any comments from the SEC with respect thereto, the Company shall provide Parent with a reasonable opportunity to review and to propose comments on such document or response, which the Company shall consider in good faith.</w:t>
      </w:r>
    </w:p>
    <w:p>
      <w:pPr>
        <w:spacing w:after="0" w:line="190"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Adverse Recommendation Change but subject to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and applicable Law and to the extent not prohibited by any Judgment, the Company shall take all necessary actions in accordance with applicable Law, the Company Charter Documents and the rules of NASDAQ to duly call, give notice of, convene and hold a meeting of its stockholders (including any adjournment, recess or postponement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for the purpose of obtaining the Company Stockholder Approval, as soon as reasonably practicable after the SEC Clearance Date. Subject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the Company shall use reasonable best efforts to obtain the Company Stockholder Approval. Notwithstanding anything to the contrary contained in this Agreement, the Company may, in its reasonable discretion after consultation with Parent, adjourn, recess or postpone the Company Stockholders’ Meeting only (A) to allow reasonable additional time for the filing or mailing of any supplement or amendment to the Proxy Statement that the Board of Directors of the Company has determined in good faith (after consultation with outside legal counsel) is required under applicable Law and for such supplement or amendment to be disseminated and reviewed by the stockholders of the Company in advance of the Company Stockholders’ Meeting, (B) to the extent required by a court of competent jurisdiction in connection with any proceedings in connection with this Agreement or the Transactions, (C) if as of the time for which the Company Stockholders’ Meeting is originally scheduled (as set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forth in the Proxy Statement) there are insufficient shares of Company Common Stock represented (either in person or by proxy) to constitute a quorum necessary to conduct the business of the Company Stockholders’ Meeting or (D) to solicit additional proxies for the purpose of obtaining the Company Stockholder Approval, and in each case only for the minimum duration necessary to remedy the circumstances giving rise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 in no event shall the Company Stockholders’ Meeting be held later than thirty (30) calendar days after the date on which the Company Stockholders’ Meeting was originally scheduled (excluding any adjournments required by applicable Law) without the consent of Parent (such consent not to be unreasonably withheld, delayed or conditioned).</w:t>
      </w:r>
    </w:p>
    <w:p>
      <w:pPr>
        <w:spacing w:after="0" w:line="187" w:lineRule="exact"/>
        <w:rPr>
          <w:sz w:val="20"/>
          <w:szCs w:val="20"/>
          <w:color w:val="auto"/>
        </w:rPr>
      </w:pPr>
    </w:p>
    <w:p>
      <w:pPr>
        <w:ind w:left="120" w:right="40" w:firstLine="987"/>
        <w:spacing w:after="0" w:line="312" w:lineRule="auto"/>
        <w:tabs>
          <w:tab w:leader="none" w:pos="1356"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shall be deemed to prevent the Company or the Board of Directors of the Company or any duly authorized committee thereof from taking any action they are permitted or required to take under, and in compliance with,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applicable Law.</w:t>
      </w:r>
    </w:p>
    <w:p>
      <w:pPr>
        <w:spacing w:after="0" w:line="140" w:lineRule="exact"/>
        <w:rPr>
          <w:sz w:val="20"/>
          <w:szCs w:val="20"/>
          <w:color w:val="auto"/>
        </w:rPr>
      </w:pPr>
    </w:p>
    <w:p>
      <w:pPr>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shall take all actions reasonably necessary or advisable to cause the dispositions of equity securities of the Company (including any derivative securities) pursuant to the Merger and the other Transactions by each individual who is an officer or director of the Company subject to Section 16 of the Exchange Act to be exempt pursuant to Rule 16b-3 promulgated under the Exchange Act.</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Conditions to the Merger</w:t>
      </w:r>
    </w:p>
    <w:p>
      <w:pPr>
        <w:spacing w:after="0" w:line="225" w:lineRule="exact"/>
        <w:rPr>
          <w:sz w:val="20"/>
          <w:szCs w:val="20"/>
          <w:color w:val="auto"/>
        </w:rPr>
      </w:pPr>
    </w:p>
    <w:p>
      <w:pPr>
        <w:jc w:val="both"/>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each party hereto to effect the Merger shall be subject to the satisfaction (or written waiver by each party hereto, if permissible under applicable Law) on or prior to the Closing Date of the following conditions:</w:t>
      </w:r>
    </w:p>
    <w:p>
      <w:pPr>
        <w:spacing w:after="0" w:line="68" w:lineRule="exact"/>
        <w:rPr>
          <w:sz w:val="20"/>
          <w:szCs w:val="20"/>
          <w:color w:val="auto"/>
        </w:rPr>
      </w:pPr>
    </w:p>
    <w:p>
      <w:pPr>
        <w:ind w:left="120" w:right="80" w:firstLine="987"/>
        <w:spacing w:after="0" w:line="266" w:lineRule="auto"/>
        <w:tabs>
          <w:tab w:leader="none" w:pos="135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applicable Law and no Judgment enacted, promulgated, issued, entered, amended or enforced by any Governmental Authority of competent jurisdiction (collectively, “</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in the U.S. shall be in effect enjoining, restraining or otherwise making illegal, preventing or prohibiting the consummation of the Merger;</w:t>
      </w:r>
    </w:p>
    <w:p>
      <w:pPr>
        <w:spacing w:after="0" w:line="175"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The waiting period (and any extension thereof) applicable to the consummation of the Merger under the HSR Act shall have expired or been terminated;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and</w:t>
      </w:r>
    </w:p>
    <w:p>
      <w:pPr>
        <w:spacing w:after="0" w:line="22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Healthcare Notifications</w:t>
      </w:r>
      <w:r>
        <w:rPr>
          <w:rFonts w:ascii="Times New Roman" w:cs="Times New Roman" w:eastAsia="Times New Roman" w:hAnsi="Times New Roman"/>
          <w:sz w:val="18"/>
          <w:szCs w:val="18"/>
          <w:color w:val="auto"/>
        </w:rPr>
        <w:t>. The waiting periods (and any extension thereof) and any required approvals or authorizations applicable to the consummation of the Merger under state Healthcare Laws set forth on Section 3.04(e) of the Company Disclosure Letter shall have expired or been terminated or been obtained, respectively.</w:t>
      </w:r>
    </w:p>
    <w:p>
      <w:pPr>
        <w:spacing w:after="0" w:line="176"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Conditions to the Obligations of Parent and Merger Sub</w:t>
      </w:r>
      <w:r>
        <w:rPr>
          <w:rFonts w:ascii="Times New Roman" w:cs="Times New Roman" w:eastAsia="Times New Roman" w:hAnsi="Times New Roman"/>
          <w:sz w:val="18"/>
          <w:szCs w:val="18"/>
          <w:color w:val="auto"/>
        </w:rPr>
        <w:t>. The obligations of Parent and Merger Sub to effect the Merger shall be subject to the satisfaction (or written waiver by Parent, if permissible under applicable Law) on or prior to the Closing Date of the following conditions:</w:t>
      </w:r>
    </w:p>
    <w:p>
      <w:pPr>
        <w:spacing w:after="0" w:line="68" w:lineRule="exact"/>
        <w:rPr>
          <w:sz w:val="20"/>
          <w:szCs w:val="20"/>
          <w:color w:val="auto"/>
        </w:rPr>
      </w:pPr>
    </w:p>
    <w:p>
      <w:pPr>
        <w:ind w:left="120" w:right="160" w:firstLine="987"/>
        <w:spacing w:after="0" w:line="261" w:lineRule="auto"/>
        <w:tabs>
          <w:tab w:leader="none" w:pos="135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Company (i)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except for any inaccuracies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(ii) set forth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3.01(a), Section 3.03(a), Section 3.03(b), Section 3.03(c), Section 3.19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and (iii) set forth in this Agreement, other than those Sections specifically identified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be true and correct (disregarding all qualifications or limitations as to “materiality”, “Material Adverse Effect” and words of similar import set forth therein)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except, in the case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only, where the failure to be so true and correct would not, individually or in the aggregate, have a Material Adverse Effect.</w:t>
      </w:r>
    </w:p>
    <w:p>
      <w:pPr>
        <w:spacing w:after="0" w:line="188" w:lineRule="exact"/>
        <w:rPr>
          <w:sz w:val="20"/>
          <w:szCs w:val="20"/>
          <w:color w:val="auto"/>
        </w:rPr>
      </w:pPr>
    </w:p>
    <w:p>
      <w:pPr>
        <w:ind w:left="120" w:firstLine="987"/>
        <w:spacing w:after="0" w:line="282" w:lineRule="auto"/>
        <w:tabs>
          <w:tab w:leader="none" w:pos="136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Covenants</w:t>
      </w:r>
      <w:r>
        <w:rPr>
          <w:rFonts w:ascii="Times New Roman" w:cs="Times New Roman" w:eastAsia="Times New Roman" w:hAnsi="Times New Roman"/>
          <w:sz w:val="18"/>
          <w:szCs w:val="18"/>
          <w:color w:val="auto"/>
        </w:rPr>
        <w:t>. The Company shall have complied with or performed in all material respects its obligations required to be complied with or performed by it at or prior to the Effective Time under this Agreement.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the date of this Agreement, no Material Adverse Effect shall have occurred and be continuing.</w:t>
      </w:r>
    </w:p>
    <w:p>
      <w:pPr>
        <w:spacing w:after="0" w:line="225" w:lineRule="exact"/>
        <w:rPr>
          <w:rFonts w:ascii="Times New Roman" w:cs="Times New Roman" w:eastAsia="Times New Roman" w:hAnsi="Times New Roman"/>
          <w:sz w:val="18"/>
          <w:szCs w:val="18"/>
          <w:color w:val="auto"/>
        </w:rPr>
      </w:pPr>
    </w:p>
    <w:p>
      <w:pPr>
        <w:ind w:left="120" w:right="400" w:firstLine="987"/>
        <w:spacing w:after="0" w:line="312" w:lineRule="auto"/>
        <w:tabs>
          <w:tab w:leader="none" w:pos="1366"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w:t>
      </w:r>
      <w:r>
        <w:rPr>
          <w:rFonts w:ascii="Times New Roman" w:cs="Times New Roman" w:eastAsia="Times New Roman" w:hAnsi="Times New Roman"/>
          <w:sz w:val="17"/>
          <w:szCs w:val="17"/>
          <w:color w:val="auto"/>
        </w:rPr>
        <w:t xml:space="preserve">. Parent shall have received a certificate, dated as of the Closing Date, signed on behalf of the Company by an executive officer of the Company certifying that the conditions set forth in </w:t>
      </w:r>
      <w:r>
        <w:rPr>
          <w:rFonts w:ascii="Times New Roman" w:cs="Times New Roman" w:eastAsia="Times New Roman" w:hAnsi="Times New Roman"/>
          <w:sz w:val="17"/>
          <w:szCs w:val="17"/>
          <w:u w:val="single" w:color="auto"/>
          <w:color w:val="auto"/>
        </w:rPr>
        <w:t>Section 6.02(a), Section 6.02(b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6.02(c)</w:t>
      </w:r>
      <w:r>
        <w:rPr>
          <w:rFonts w:ascii="Times New Roman" w:cs="Times New Roman" w:eastAsia="Times New Roman" w:hAnsi="Times New Roman"/>
          <w:sz w:val="17"/>
          <w:szCs w:val="17"/>
          <w:color w:val="auto"/>
        </w:rPr>
        <w:t xml:space="preserve"> have been satisfied.</w:t>
      </w:r>
    </w:p>
    <w:p>
      <w:pPr>
        <w:spacing w:after="0" w:line="140" w:lineRule="exact"/>
        <w:rPr>
          <w:sz w:val="20"/>
          <w:szCs w:val="20"/>
          <w:color w:val="auto"/>
        </w:rPr>
      </w:pPr>
    </w:p>
    <w:p>
      <w:pPr>
        <w:ind w:left="120" w:right="2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Conditions to the Obligations of the Company</w:t>
      </w:r>
      <w:r>
        <w:rPr>
          <w:rFonts w:ascii="Times New Roman" w:cs="Times New Roman" w:eastAsia="Times New Roman" w:hAnsi="Times New Roman"/>
          <w:sz w:val="17"/>
          <w:szCs w:val="17"/>
          <w:color w:val="auto"/>
        </w:rPr>
        <w:t>. The obligations of the Company to effect the Merger shall be subject to the satisfaction (or written waiver by the Company, if permissible under applicable Law) on or prior to the Closing Date of the following conditions:</w:t>
      </w:r>
    </w:p>
    <w:p>
      <w:pPr>
        <w:spacing w:after="0" w:line="32" w:lineRule="exact"/>
        <w:rPr>
          <w:sz w:val="20"/>
          <w:szCs w:val="20"/>
          <w:color w:val="auto"/>
        </w:rPr>
      </w:pPr>
    </w:p>
    <w:p>
      <w:pPr>
        <w:ind w:left="120" w:firstLine="987"/>
        <w:spacing w:after="0" w:line="256" w:lineRule="auto"/>
        <w:tabs>
          <w:tab w:leader="none" w:pos="135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Parent and Merger Sub set forth in this Agreement shall be true and correct (disregarding all qualifications or limitations as to “materiality”, “Parent Material Adverse Effect” and words of similar import set forth therein) as of the date of this Agreement and as of the Closing Date with the same effect as though made on and as of the Closing Date (except for any representation or warranty that is expressly made as of a specified date, in which case such representation or warranty shall be true and correct only as of such specified date), except where the failure to be so true and correct would not, individually or in the aggregate, have a Parent Material Adverse Effect.</w:t>
      </w:r>
    </w:p>
    <w:p>
      <w:pPr>
        <w:spacing w:after="0" w:line="187"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6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Covenants</w:t>
      </w:r>
      <w:r>
        <w:rPr>
          <w:rFonts w:ascii="Times New Roman" w:cs="Times New Roman" w:eastAsia="Times New Roman" w:hAnsi="Times New Roman"/>
          <w:sz w:val="18"/>
          <w:szCs w:val="18"/>
          <w:color w:val="auto"/>
        </w:rPr>
        <w:t>. Parent and Merger Sub shall have complied with or performed in all material respects their obligations required to be complied with or performed by them at or prior to the Effective Time under this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Company shall have received a certificate, dated as of the Closing Date, signed on behalf of Parent and Merger Sub by an executive officer of Parent certifying that the conditions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xml:space="preserve">. Neither Parent nor Merger Sub may rely on the failure of any condition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to be satisfied if such failure was caused by the failure of Parent or Merger Sub to perform any of its obligations under this Agreement. The Company may not rely on the failure of any condition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to be satisfied if such failure was caused by the Company’s failure to perform any of its obligations under this Agreement.</w:t>
      </w:r>
    </w:p>
    <w:p>
      <w:pPr>
        <w:spacing w:after="0" w:line="180"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Waiver of Conditions.</w:t>
      </w:r>
      <w:r>
        <w:rPr>
          <w:rFonts w:ascii="Times New Roman" w:cs="Times New Roman" w:eastAsia="Times New Roman" w:hAnsi="Times New Roman"/>
          <w:sz w:val="18"/>
          <w:szCs w:val="18"/>
          <w:color w:val="auto"/>
        </w:rPr>
        <w:t xml:space="preserve"> All conditions to the Closing set forth in this Article VI will be deemed to have been satisfied or waived from and after the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abandoned, at any time prior to the Effective Time (except as otherwise expressly provided herein) as follows:</w:t>
      </w:r>
    </w:p>
    <w:p>
      <w:pPr>
        <w:spacing w:after="0" w:line="54" w:lineRule="exact"/>
        <w:rPr>
          <w:sz w:val="20"/>
          <w:szCs w:val="20"/>
          <w:color w:val="auto"/>
        </w:rPr>
      </w:pPr>
    </w:p>
    <w:p>
      <w:pPr>
        <w:ind w:left="1360" w:hanging="253"/>
        <w:spacing w:after="0"/>
        <w:tabs>
          <w:tab w:leader="none" w:pos="13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of the Company or Parent:</w:t>
      </w:r>
    </w:p>
    <w:p>
      <w:pPr>
        <w:spacing w:after="0" w:line="117" w:lineRule="exact"/>
        <w:rPr>
          <w:rFonts w:ascii="Times New Roman" w:cs="Times New Roman" w:eastAsia="Times New Roman" w:hAnsi="Times New Roman"/>
          <w:sz w:val="18"/>
          <w:szCs w:val="18"/>
          <w:color w:val="auto"/>
        </w:rPr>
      </w:pPr>
    </w:p>
    <w:p>
      <w:pPr>
        <w:ind w:left="1100" w:right="20" w:firstLine="408"/>
        <w:spacing w:after="0" w:line="252" w:lineRule="auto"/>
        <w:tabs>
          <w:tab w:leader="none" w:pos="171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shall not have occurred on or prior to December 9, 2026 (as such date may be extended in accordance with the terms hereof,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such date, all of the conditions to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(to the extent permitted by applicable Law) waived other than (A) the conditions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(a) (solely to the extent such condition has not been satisfied due to any Restraint issued in respect of, under or relating to the HSR Act or any state Healthcare Law) and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and (B) those conditions that by their nature are to be satisfied at the Closing, which conditions shall be capable of being satisfied at such time, then the Outside Date will be automatically extended until March 9, 2027 (and such date will then be the Outside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shall not be available to any party if the breach by such party of its representations and warranties set forth in this Agreement or the failure of such party to perform any of its obligations under this Agreement has been a principal cause of or resulted in the events specified in this </w:t>
      </w:r>
      <w:r>
        <w:rPr>
          <w:rFonts w:ascii="Times New Roman" w:cs="Times New Roman" w:eastAsia="Times New Roman" w:hAnsi="Times New Roman"/>
          <w:sz w:val="18"/>
          <w:szCs w:val="18"/>
          <w:u w:val="single" w:color="auto"/>
          <w:color w:val="auto"/>
        </w:rPr>
        <w:t>Section 7.01(b)</w:t>
      </w:r>
    </w:p>
    <w:p>
      <w:pPr>
        <w:spacing w:after="0" w:line="6"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2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(it being understood that Parent and Merger Sub shall be deemed a single party for purposes of the foregoing proviso);</w:t>
      </w:r>
    </w:p>
    <w:p>
      <w:pPr>
        <w:spacing w:after="0" w:line="98" w:lineRule="exact"/>
        <w:rPr>
          <w:rFonts w:ascii="Times New Roman" w:cs="Times New Roman" w:eastAsia="Times New Roman" w:hAnsi="Times New Roman"/>
          <w:sz w:val="18"/>
          <w:szCs w:val="18"/>
          <w:u w:val="single" w:color="auto"/>
          <w:color w:val="auto"/>
        </w:rPr>
      </w:pPr>
    </w:p>
    <w:p>
      <w:pPr>
        <w:ind w:left="1100" w:right="40" w:firstLine="408"/>
        <w:spacing w:after="0" w:line="258" w:lineRule="auto"/>
        <w:tabs>
          <w:tab w:leader="none" w:pos="176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Restraint in the U.S. having the effect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shall be in effect and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7.01(b)(ii)</w:t>
      </w:r>
      <w:r>
        <w:rPr>
          <w:rFonts w:ascii="Times New Roman" w:cs="Times New Roman" w:eastAsia="Times New Roman" w:hAnsi="Times New Roman"/>
          <w:sz w:val="18"/>
          <w:szCs w:val="18"/>
          <w:color w:val="auto"/>
        </w:rPr>
        <w:t xml:space="preserve"> shall (A) have used the required efforts to prevent the entry of and to remove such Restraint in accordance with its obligations under this Agreement, (B) not have breached in any material respects its respective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(C) not have been the primary cause of such Restraint due to a failure to perform any such obligations; or</w:t>
      </w:r>
    </w:p>
    <w:p>
      <w:pPr>
        <w:spacing w:after="0" w:line="75" w:lineRule="exact"/>
        <w:rPr>
          <w:rFonts w:ascii="Times New Roman" w:cs="Times New Roman" w:eastAsia="Times New Roman" w:hAnsi="Times New Roman"/>
          <w:sz w:val="18"/>
          <w:szCs w:val="18"/>
          <w:color w:val="auto"/>
        </w:rPr>
      </w:pPr>
    </w:p>
    <w:p>
      <w:pPr>
        <w:ind w:left="1100" w:right="300" w:firstLine="408"/>
        <w:spacing w:after="0" w:line="282" w:lineRule="auto"/>
        <w:tabs>
          <w:tab w:leader="none" w:pos="181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Stockholders’ Meeting (including any adjournments or postponements thereof) shall have concluded and the Company Stockholder Approval shall not have been obtained;</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117" w:lineRule="exact"/>
        <w:rPr>
          <w:rFonts w:ascii="Times New Roman" w:cs="Times New Roman" w:eastAsia="Times New Roman" w:hAnsi="Times New Roman"/>
          <w:sz w:val="18"/>
          <w:szCs w:val="18"/>
          <w:color w:val="auto"/>
        </w:rPr>
      </w:pPr>
    </w:p>
    <w:p>
      <w:pPr>
        <w:ind w:left="1100" w:firstLine="408"/>
        <w:spacing w:after="0" w:line="239" w:lineRule="auto"/>
        <w:tabs>
          <w:tab w:leader="none" w:pos="171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breached any of its representations or warranties or failed to perform any of its covenants or agreements set forth in this Agreement, which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(B) is incapable of being cured or, if capable of being cured by the Outside Date, has not been cured by the Company prior to the earlier of the Outside Date or the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receipt by the Company of written notice of such breach or failure to perform from Parent describing such breach or failure to perform and stating Parent’s intention to terminate this Agreement pursuant to this </w:t>
      </w:r>
      <w:r>
        <w:rPr>
          <w:rFonts w:ascii="Times New Roman" w:cs="Times New Roman" w:eastAsia="Times New Roman" w:hAnsi="Times New Roman"/>
          <w:sz w:val="18"/>
          <w:szCs w:val="18"/>
          <w:u w:val="single" w:color="auto"/>
          <w:color w:val="auto"/>
        </w:rPr>
        <w:t>Section 7.01(c)(i)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7.01(c)(i)</w:t>
      </w:r>
      <w:r>
        <w:rPr>
          <w:rFonts w:ascii="Times New Roman" w:cs="Times New Roman" w:eastAsia="Times New Roman" w:hAnsi="Times New Roman"/>
          <w:sz w:val="18"/>
          <w:szCs w:val="18"/>
          <w:color w:val="auto"/>
        </w:rPr>
        <w:t xml:space="preserve"> if Parent or Merger Sub is then in material breach of any of its representations, warranties, covenants or agreements hereunder (which breach has not be cured); or</w:t>
      </w:r>
    </w:p>
    <w:p>
      <w:pPr>
        <w:spacing w:after="0" w:line="95" w:lineRule="exact"/>
        <w:rPr>
          <w:rFonts w:ascii="Times New Roman" w:cs="Times New Roman" w:eastAsia="Times New Roman" w:hAnsi="Times New Roman"/>
          <w:sz w:val="18"/>
          <w:szCs w:val="18"/>
          <w:color w:val="auto"/>
        </w:rPr>
      </w:pPr>
    </w:p>
    <w:p>
      <w:pPr>
        <w:ind w:left="1100" w:right="60" w:firstLine="408"/>
        <w:spacing w:after="0" w:line="282" w:lineRule="auto"/>
        <w:tabs>
          <w:tab w:leader="none" w:pos="176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Company Stockholders’ Meeting (including any adjournments or postponement thereof), if the Board of Directors of the Company shall have made or effected an Adverse Recommendation Change; or</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17" w:lineRule="exact"/>
        <w:rPr>
          <w:rFonts w:ascii="Times New Roman" w:cs="Times New Roman" w:eastAsia="Times New Roman" w:hAnsi="Times New Roman"/>
          <w:sz w:val="18"/>
          <w:szCs w:val="18"/>
          <w:color w:val="auto"/>
        </w:rPr>
      </w:pPr>
    </w:p>
    <w:p>
      <w:pPr>
        <w:ind w:left="1100" w:right="540" w:firstLine="408"/>
        <w:spacing w:after="0" w:line="282" w:lineRule="auto"/>
        <w:tabs>
          <w:tab w:leader="none" w:pos="171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Parent or Merger Sub shall have breached any of its representations or warranties or failed to perform any of its covenants or agreements set forth in this Agreement, which breach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30" w:lineRule="auto"/>
        <w:rPr>
          <w:sz w:val="20"/>
          <w:szCs w:val="20"/>
          <w:color w:val="auto"/>
        </w:rPr>
      </w:pPr>
      <w:r>
        <w:rPr>
          <w:rFonts w:ascii="Times New Roman" w:cs="Times New Roman" w:eastAsia="Times New Roman" w:hAnsi="Times New Roman"/>
          <w:sz w:val="18"/>
          <w:szCs w:val="18"/>
          <w:color w:val="auto"/>
        </w:rPr>
        <w:t xml:space="preserve">failure to perform (A) would give rise to the failure of a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and (B) is incapable of being cured or, if capable of being cured by the Outside Date, has not been cured by Parent prior to the earlier of the Outside Date or the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following receipt by Parent of written notice of such breach or failure to perform from the Company describing such breach or failure to perform and stating the Company’s intention to terminate this Agreement pursuant to this</w:t>
      </w:r>
    </w:p>
    <w:p>
      <w:pPr>
        <w:spacing w:after="0" w:line="1" w:lineRule="exact"/>
        <w:rPr>
          <w:sz w:val="20"/>
          <w:szCs w:val="20"/>
          <w:color w:val="auto"/>
        </w:rPr>
      </w:pPr>
    </w:p>
    <w:p>
      <w:pPr>
        <w:jc w:val="both"/>
        <w:ind w:left="110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7.01(d)(i)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7.01(d)(i)</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 (which breach has not be cured); or</w:t>
      </w:r>
    </w:p>
    <w:p>
      <w:pPr>
        <w:spacing w:after="0" w:line="78" w:lineRule="exact"/>
        <w:rPr>
          <w:sz w:val="20"/>
          <w:szCs w:val="20"/>
          <w:color w:val="auto"/>
        </w:rPr>
      </w:pPr>
    </w:p>
    <w:p>
      <w:pPr>
        <w:ind w:left="1100" w:right="40" w:firstLine="408"/>
        <w:spacing w:after="0" w:line="261" w:lineRule="auto"/>
        <w:tabs>
          <w:tab w:leader="none" w:pos="176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receipt of the Company Stockholder Approval, in connection with entering into a Company Acquisition Agreement providing for a Superior Proposal in accordance with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xml:space="preserve"> which Company Acquisition Agreement is entered into immediately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concurrently with such termination the Company pays or causes to be paid the applicable Company Termination Fee to the extent due and payable under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all of which shall survive termination of this Agreement), and there shall be no liability on the part of Parent, Merger Sub, the Company or their respective directors, officers and Affiliates, except, subject to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(including the limitations on liability set forth therein), no such termination shall relieve any party from liability for damages to another party resulting from a Willful Breach of this Agreement or from Fraud.</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60" w:hanging="253"/>
        <w:spacing w:after="0"/>
        <w:tabs>
          <w:tab w:leader="none" w:pos="13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17" w:lineRule="exact"/>
        <w:rPr>
          <w:rFonts w:ascii="Times New Roman" w:cs="Times New Roman" w:eastAsia="Times New Roman" w:hAnsi="Times New Roman"/>
          <w:sz w:val="18"/>
          <w:szCs w:val="18"/>
          <w:color w:val="auto"/>
        </w:rPr>
      </w:pPr>
    </w:p>
    <w:p>
      <w:pPr>
        <w:ind w:left="1100" w:right="140" w:firstLine="408"/>
        <w:spacing w:after="0" w:line="253" w:lineRule="auto"/>
        <w:tabs>
          <w:tab w:leader="none" w:pos="171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or Parent pursuant to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(Outside Date) or </w:t>
      </w:r>
      <w:r>
        <w:rPr>
          <w:rFonts w:ascii="Times New Roman" w:cs="Times New Roman" w:eastAsia="Times New Roman" w:hAnsi="Times New Roman"/>
          <w:sz w:val="18"/>
          <w:szCs w:val="18"/>
          <w:u w:val="single" w:color="auto"/>
          <w:color w:val="auto"/>
        </w:rPr>
        <w:t>Section 7.01(b)(iii)</w:t>
      </w:r>
      <w:r>
        <w:rPr>
          <w:rFonts w:ascii="Times New Roman" w:cs="Times New Roman" w:eastAsia="Times New Roman" w:hAnsi="Times New Roman"/>
          <w:sz w:val="18"/>
          <w:szCs w:val="18"/>
          <w:color w:val="auto"/>
        </w:rPr>
        <w:t xml:space="preserve"> (Failure to Obtain Company Stockholder Approval) or by Parent pursuant to </w:t>
      </w:r>
      <w:r>
        <w:rPr>
          <w:rFonts w:ascii="Times New Roman" w:cs="Times New Roman" w:eastAsia="Times New Roman" w:hAnsi="Times New Roman"/>
          <w:sz w:val="18"/>
          <w:szCs w:val="18"/>
          <w:u w:val="single" w:color="auto"/>
          <w:color w:val="auto"/>
        </w:rPr>
        <w:t>Section 7.01(c)(i)</w:t>
      </w:r>
      <w:r>
        <w:rPr>
          <w:rFonts w:ascii="Times New Roman" w:cs="Times New Roman" w:eastAsia="Times New Roman" w:hAnsi="Times New Roman"/>
          <w:sz w:val="18"/>
          <w:szCs w:val="18"/>
          <w:color w:val="auto"/>
        </w:rPr>
        <w:t xml:space="preserve"> (Company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 bona fide Takeover Proposal shall have been publicly made, proposed or communicated by a third party (or such Takeover Proposal has otherwise been made known to the Board of Directors of the Company and shall have become publicly known) (1) in the case of a termination pursuant to </w:t>
      </w:r>
      <w:r>
        <w:rPr>
          <w:rFonts w:ascii="Times New Roman" w:cs="Times New Roman" w:eastAsia="Times New Roman" w:hAnsi="Times New Roman"/>
          <w:sz w:val="18"/>
          <w:szCs w:val="18"/>
          <w:u w:val="single" w:color="auto"/>
          <w:color w:val="auto"/>
        </w:rPr>
        <w:t>Section 7.01(b)(i)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7.01(b)(iii)</w:t>
      </w:r>
      <w:r>
        <w:rPr>
          <w:rFonts w:ascii="Times New Roman" w:cs="Times New Roman" w:eastAsia="Times New Roman" w:hAnsi="Times New Roman"/>
          <w:sz w:val="18"/>
          <w:szCs w:val="18"/>
          <w:color w:val="auto"/>
        </w:rPr>
        <w:t xml:space="preserve">, after the date of this Agreement or (2) in the case of a termination pursuant to </w:t>
      </w:r>
      <w:r>
        <w:rPr>
          <w:rFonts w:ascii="Times New Roman" w:cs="Times New Roman" w:eastAsia="Times New Roman" w:hAnsi="Times New Roman"/>
          <w:sz w:val="18"/>
          <w:szCs w:val="18"/>
          <w:u w:val="single" w:color="auto"/>
          <w:color w:val="auto"/>
        </w:rPr>
        <w:t>Section 7.01(c)(i)</w:t>
      </w:r>
      <w:r>
        <w:rPr>
          <w:rFonts w:ascii="Times New Roman" w:cs="Times New Roman" w:eastAsia="Times New Roman" w:hAnsi="Times New Roman"/>
          <w:sz w:val="18"/>
          <w:szCs w:val="18"/>
          <w:color w:val="auto"/>
        </w:rPr>
        <w:t xml:space="preserve">, prior to the date of the applicable breach and, in the case of a termination pursuant to </w:t>
      </w:r>
      <w:r>
        <w:rPr>
          <w:rFonts w:ascii="Times New Roman" w:cs="Times New Roman" w:eastAsia="Times New Roman" w:hAnsi="Times New Roman"/>
          <w:sz w:val="18"/>
          <w:szCs w:val="18"/>
          <w:u w:val="single" w:color="auto"/>
          <w:color w:val="auto"/>
        </w:rPr>
        <w:t>Section 7.01(b)(iii)</w:t>
      </w:r>
      <w:r>
        <w:rPr>
          <w:rFonts w:ascii="Times New Roman" w:cs="Times New Roman" w:eastAsia="Times New Roman" w:hAnsi="Times New Roman"/>
          <w:sz w:val="18"/>
          <w:szCs w:val="18"/>
          <w:color w:val="auto"/>
        </w:rPr>
        <w:t xml:space="preserve">, not publicly withdrawn prior to the time this Agreement is terminated and (B) within twelve (12) months of the date this Agreement is terminated, the Company consummates a Takeover Proposal (or enters into a definitive written agreement with respect to any transaction included within the definition of Takeover Proposal and such transaction is subsequently consummated at any time) with the Person or Persons that made the Takeover Proposal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7.03(a)(i)</w:t>
      </w:r>
      <w:r>
        <w:rPr>
          <w:rFonts w:ascii="Times New Roman" w:cs="Times New Roman" w:eastAsia="Times New Roman" w:hAnsi="Times New Roman"/>
          <w:sz w:val="18"/>
          <w:szCs w:val="18"/>
          <w:color w:val="auto"/>
        </w:rPr>
        <w:t>, the references to “25%” in the definition of Takeover Proposal shall be deemed to be references to “50%”; or</w:t>
      </w:r>
    </w:p>
    <w:p>
      <w:pPr>
        <w:spacing w:after="0" w:line="83" w:lineRule="exact"/>
        <w:rPr>
          <w:rFonts w:ascii="Times New Roman" w:cs="Times New Roman" w:eastAsia="Times New Roman" w:hAnsi="Times New Roman"/>
          <w:sz w:val="18"/>
          <w:szCs w:val="18"/>
          <w:color w:val="auto"/>
        </w:rPr>
      </w:pPr>
    </w:p>
    <w:p>
      <w:pPr>
        <w:ind w:left="1100" w:right="360" w:firstLine="408"/>
        <w:spacing w:after="0" w:line="282" w:lineRule="auto"/>
        <w:tabs>
          <w:tab w:leader="none" w:pos="176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(A) by Parent pursuant to </w:t>
      </w:r>
      <w:r>
        <w:rPr>
          <w:rFonts w:ascii="Times New Roman" w:cs="Times New Roman" w:eastAsia="Times New Roman" w:hAnsi="Times New Roman"/>
          <w:sz w:val="18"/>
          <w:szCs w:val="18"/>
          <w:u w:val="single" w:color="auto"/>
          <w:color w:val="auto"/>
        </w:rPr>
        <w:t>Section 7.01(c)(ii)</w:t>
      </w:r>
      <w:r>
        <w:rPr>
          <w:rFonts w:ascii="Times New Roman" w:cs="Times New Roman" w:eastAsia="Times New Roman" w:hAnsi="Times New Roman"/>
          <w:sz w:val="18"/>
          <w:szCs w:val="18"/>
          <w:color w:val="auto"/>
        </w:rPr>
        <w:t xml:space="preserve"> (Adverse Recommendation Change) or (B) by the Company pursuant to </w:t>
      </w:r>
      <w:r>
        <w:rPr>
          <w:rFonts w:ascii="Times New Roman" w:cs="Times New Roman" w:eastAsia="Times New Roman" w:hAnsi="Times New Roman"/>
          <w:sz w:val="18"/>
          <w:szCs w:val="18"/>
          <w:u w:val="single" w:color="auto"/>
          <w:color w:val="auto"/>
        </w:rPr>
        <w:t>Section 7.01(d)(ii)</w:t>
      </w:r>
      <w:r>
        <w:rPr>
          <w:rFonts w:ascii="Times New Roman" w:cs="Times New Roman" w:eastAsia="Times New Roman" w:hAnsi="Times New Roman"/>
          <w:sz w:val="18"/>
          <w:szCs w:val="18"/>
          <w:color w:val="auto"/>
        </w:rPr>
        <w:t xml:space="preserve"> (Company Superior Proposal);</w:t>
      </w:r>
    </w:p>
    <w:p>
      <w:pPr>
        <w:spacing w:after="0" w:line="162"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then, in any such event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the Company shall pay or cause to be paid the applicable Company Termination Fee to Parent or its designee by wire transfer of same-day funds to an account designated in writing by Parent (x) in the case of </w:t>
      </w:r>
      <w:r>
        <w:rPr>
          <w:rFonts w:ascii="Times New Roman" w:cs="Times New Roman" w:eastAsia="Times New Roman" w:hAnsi="Times New Roman"/>
          <w:sz w:val="18"/>
          <w:szCs w:val="18"/>
          <w:u w:val="single" w:color="auto"/>
          <w:color w:val="auto"/>
        </w:rPr>
        <w:t>Section 7.03(a)(ii)(A)</w:t>
      </w:r>
      <w:r>
        <w:rPr>
          <w:rFonts w:ascii="Times New Roman" w:cs="Times New Roman" w:eastAsia="Times New Roman" w:hAnsi="Times New Roman"/>
          <w:sz w:val="18"/>
          <w:szCs w:val="18"/>
          <w:color w:val="auto"/>
        </w:rPr>
        <w:t xml:space="preserve">, within two (2) Business Days after such termination, (y) in the case of </w:t>
      </w:r>
      <w:r>
        <w:rPr>
          <w:rFonts w:ascii="Times New Roman" w:cs="Times New Roman" w:eastAsia="Times New Roman" w:hAnsi="Times New Roman"/>
          <w:sz w:val="18"/>
          <w:szCs w:val="18"/>
          <w:u w:val="single" w:color="auto"/>
          <w:color w:val="auto"/>
        </w:rPr>
        <w:t>Section 7.03(a)(ii)(B)</w:t>
      </w:r>
      <w:r>
        <w:rPr>
          <w:rFonts w:ascii="Times New Roman" w:cs="Times New Roman" w:eastAsia="Times New Roman" w:hAnsi="Times New Roman"/>
          <w:sz w:val="18"/>
          <w:szCs w:val="18"/>
          <w:color w:val="auto"/>
        </w:rPr>
        <w:t xml:space="preserve">, simultaneously with such termination or (z) in the case of </w:t>
      </w:r>
      <w:r>
        <w:rPr>
          <w:rFonts w:ascii="Times New Roman" w:cs="Times New Roman" w:eastAsia="Times New Roman" w:hAnsi="Times New Roman"/>
          <w:sz w:val="18"/>
          <w:szCs w:val="18"/>
          <w:u w:val="single" w:color="auto"/>
          <w:color w:val="auto"/>
        </w:rPr>
        <w:t>Section 7.03(a)(i)</w:t>
      </w:r>
      <w:r>
        <w:rPr>
          <w:rFonts w:ascii="Times New Roman" w:cs="Times New Roman" w:eastAsia="Times New Roman" w:hAnsi="Times New Roman"/>
          <w:sz w:val="18"/>
          <w:szCs w:val="18"/>
          <w:color w:val="auto"/>
        </w:rPr>
        <w:t>, within two (2) Business Days after the consummation of the Takeover Proposal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referred to therein; it being understood that in no event shall the Company be required to pay or cause to be paid the applicable Company Termination Fee on more than one occasion.</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shall mean a cash amount equal to $32,394,000.</w:t>
      </w:r>
    </w:p>
    <w:p>
      <w:pPr>
        <w:spacing w:after="0" w:line="225" w:lineRule="exact"/>
        <w:rPr>
          <w:sz w:val="20"/>
          <w:szCs w:val="20"/>
          <w:color w:val="auto"/>
        </w:rPr>
      </w:pPr>
    </w:p>
    <w:p>
      <w:pPr>
        <w:ind w:left="120" w:right="40" w:firstLine="987"/>
        <w:spacing w:after="0" w:line="255" w:lineRule="auto"/>
        <w:tabs>
          <w:tab w:leader="none" w:pos="136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acknowledges that the agreements contained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are an integral part of the Transactions, and that without these agreements, the other parties hereto would not enter into this Agreement. Accordingly, if the Company fails to timely pay or cause to be paid any amount due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in order to obtain the payment, Parent commences an Action which results in a judgment against the Company for the payment set forth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then the Company shall pay or cause to be paid to Parent its reasonable and documented costs and expenses (including reasonable and documented attorneys’ fees) in connection with such Action, together with interest on such amount at the prime rate as published in The Wall Street Journal in effect on the date such payment was required to be made through the date such payment was actually received.</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respects to Parent’s injunction, specific performance and equitable relief rights and related rights set forth in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and the reimbursement obligations of the Company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in the event the applicable Company Termination Fee is paid to Parent in circumstances for which such fee is payable pursuant to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payment of the applicable Company Termination Fee shall be the sole and exclusive monetary damages remedy of Parent, Merger Sub or any of their respective former, current or future officers, directors, partners, stockholders, financing sources, managers, members or Affiliates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against the Company and its Subsidiaries and any of their respective former, current or future officers, directors, partners, stockholders, managers, members or Affiliates (collectively,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for any loss suffered as a result of the failure of the Transactions to be consummated or for a breach or failure to perform hereunder or otherwise, and upon payment of such amount none of the Company Related Parties shall have any further liability or obligation relating to or arising out of this Agreement or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payment of the Company Termination Fee shall relieve the Company Related Parties from any liability for damages resulting from a Willful Breach of this Agreement or from Fraud by such Company Related Party. While Parent may pursue both a grant of specific performance in accordance with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and the payment of the applicable Company Termination Fee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under no circumstances shall Parent be permitted or entitled to receive both a grant of specific performance that results in a Closing and any money damages, including all or any portion of the Company Termination Fee.</w:t>
      </w:r>
    </w:p>
    <w:p>
      <w:pPr>
        <w:spacing w:after="0" w:line="200" w:lineRule="exact"/>
        <w:rPr>
          <w:sz w:val="20"/>
          <w:szCs w:val="20"/>
          <w:color w:val="auto"/>
        </w:rPr>
      </w:pPr>
    </w:p>
    <w:p>
      <w:pPr>
        <w:spacing w:after="0" w:line="20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left="120" w:right="2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8.01. </w:t>
      </w:r>
      <w:r>
        <w:rPr>
          <w:rFonts w:ascii="Times New Roman" w:cs="Times New Roman" w:eastAsia="Times New Roman" w:hAnsi="Times New Roman"/>
          <w:sz w:val="17"/>
          <w:szCs w:val="17"/>
          <w:u w:val="single" w:color="auto"/>
          <w:color w:val="auto"/>
        </w:rPr>
        <w:t>No Survival of Representations and Warranties</w:t>
      </w:r>
      <w:r>
        <w:rPr>
          <w:rFonts w:ascii="Times New Roman" w:cs="Times New Roman" w:eastAsia="Times New Roman" w:hAnsi="Times New Roman"/>
          <w:sz w:val="17"/>
          <w:szCs w:val="17"/>
          <w:color w:val="auto"/>
        </w:rPr>
        <w:t xml:space="preserve">. None of the representations or warranties in this Agreement or in any document or instrument delivered pursuant to or in connection with this Agreement shall survive the Effective Time. This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shall not limit any covenant or agreement contained in this Agreement or in any document or instrument delivered pursuant to or in connection with this Agreement that by its terms applies in whole or in part after the Effective Time, which shall survive to the extent expressly provided for herein or therein.</w:t>
      </w:r>
    </w:p>
    <w:p>
      <w:pPr>
        <w:spacing w:after="0" w:line="164" w:lineRule="exact"/>
        <w:rPr>
          <w:sz w:val="20"/>
          <w:szCs w:val="20"/>
          <w:color w:val="auto"/>
        </w:rPr>
      </w:pPr>
    </w:p>
    <w:p>
      <w:pPr>
        <w:ind w:left="120"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Subject to compliance with applicable Law, at any time prior to the Effective Time, this Agreement may be amended or supplemented in any and all respects by written agreement of Parent and the Company;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following receipt of the Company Stockholder Approval, there shall be no amendment or supplement to the provisions hereof which by Law would require further approval by the stockholders of the Company without such approval.</w:t>
      </w:r>
    </w:p>
    <w:p>
      <w:pPr>
        <w:spacing w:after="0" w:line="180" w:lineRule="exact"/>
        <w:rPr>
          <w:sz w:val="20"/>
          <w:szCs w:val="20"/>
          <w:color w:val="auto"/>
        </w:rPr>
      </w:pPr>
    </w:p>
    <w:p>
      <w:pPr>
        <w:ind w:left="120" w:right="6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Extension of Time, Waiver, etc</w:t>
      </w:r>
      <w:r>
        <w:rPr>
          <w:rFonts w:ascii="Times New Roman" w:cs="Times New Roman" w:eastAsia="Times New Roman" w:hAnsi="Times New Roman"/>
          <w:sz w:val="18"/>
          <w:szCs w:val="18"/>
          <w:color w:val="auto"/>
        </w:rPr>
        <w:t>. At any time prior to the Effective Time, Parent and the Company may, subject to applicable Law, (a) waive any inaccuracies in the representations and warranties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 xml:space="preserve">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(it being understood that Parent and Merger Sub shall be deemed a single party for purposes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receipt of the Company Stockholder Approval, there shall be no waiver or extension of this Agreement which by Law would require further approval by the stockholders of the Company without such approval.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8"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(such consent not to be unreasonably withheld, delayed or conditioned).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electronic signature,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76"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(and the exhibits and schedules hereto), together with the Company Disclosure Letter, the Confidentiality Agreement and the Voting Agreements, constitutes the entire agreement, and supersedes all other prior agreements and understandings, both written and oral, among the parties and their Affiliates, or any of them, with respect to the subject matter hereof and thereof. The Company Disclosure Letter and the Exhibits hereto are “facts ascertainable” as that term is used in Section 251(b) of the DGCL, and do not form part of this Agreement but instead operate upon the terms of this Agreement as provided herein. Notwithstanding anything to the contrary in this Agreement, the Company Disclosure Letter shall not be deemed a part of this Agreement as provided in Section 268(b) of the DGCL. This Agreement is not intended to and does not confer upon any Person other than the parties hereto any rights or remedies hereunder, except for: (a) if the Effective Time occurs, the right of the stockholders of the Company to receive the Merger Consideration as provided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(b) if the Effective Time occurs, the right of the holders of Equity-Based Awards to receive such amounts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(c) if the Effective Time occurs, the rights of the Indemnitees (and each Indemnitee’s heirs and representatives)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(d) the rights of the Company Related Parties set forth in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and (e) following the termination of this Agreement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last sentence of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the right of the Company, as sole and exclusive agent for and on behalf of the stockholders of the Company (which stockholders shall not be entitled to pursue such damages on their own behalf) (who are third-party beneficiaries hereunder solely to the extent necessary for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to be enforceable in accordance with Section 261(a) of the DGCL), to pursue any damages (including damages based on the loss of the economic benefit of the Transactions to the stockholders of the Company) solely in connection with a Willful Breach of this Agreement by Parent or Fraud by Parent. The rights granted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with respect to the recovery of damages based on the losses suffered by the stockholders of the Company (including the loss of the economic benefit of the Transactions to the stockholders of the Company) shall only be enforceable on behalf of the stockholders of the Company by the Company in its sole and absolute discretion, as the sole and exclusive agent for the stockholders of the Company (which stockholders shall not be entitled to pursue such enforcement on their own behalf);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capacity as sole and exclusive agent for the stockholders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Company, the Company shall (i) be entitled to reimbursement (from the stockholders of the Company) from any such recovery of damages of its reasonable and documented out-of-pocket costs and expenses (including reasonable and documented out-of-pocket attorneys’ fees determined by reference to standard hourly rates) that have been incurred by the Company in connection with acting as sole and exclusive agent for the stockholders of the Company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(ii) not be liable to the stockholders of the Company for any action taken, suffered or omitted to be taken by it in good faith except to the extent that the Company’s gross negligence or willful misconduct was the cause of any direct loss to the stockholders of the Company.</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987"/>
        <w:spacing w:after="0" w:line="266" w:lineRule="auto"/>
        <w:tabs>
          <w:tab w:leader="none" w:pos="1356"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75" w:lineRule="exact"/>
        <w:rPr>
          <w:rFonts w:ascii="Times New Roman" w:cs="Times New Roman" w:eastAsia="Times New Roman" w:hAnsi="Times New Roman"/>
          <w:sz w:val="18"/>
          <w:szCs w:val="18"/>
          <w:color w:val="auto"/>
        </w:rPr>
      </w:pPr>
    </w:p>
    <w:p>
      <w:pPr>
        <w:ind w:left="120" w:firstLine="987"/>
        <w:spacing w:after="0" w:line="272" w:lineRule="auto"/>
        <w:tabs>
          <w:tab w:leader="none" w:pos="1366"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Actions arising out of or relating to this Agreement or the Transactions shall be heard and determined in the Court of Chancery of the State of Delaware (or, if the Court of Chancery of the State of Delaware declines to accept jurisdiction over any Action, any state or federal court within the State of Delaware). The parties hereto hereby irrevocably (i) submit to the exclusive jurisdiction and venue of such courts in any such Action,</w:t>
      </w:r>
    </w:p>
    <w:p>
      <w:pPr>
        <w:spacing w:after="0" w:line="1" w:lineRule="exact"/>
        <w:rPr>
          <w:rFonts w:ascii="Times New Roman" w:cs="Times New Roman" w:eastAsia="Times New Roman" w:hAnsi="Times New Roman"/>
          <w:sz w:val="17"/>
          <w:szCs w:val="17"/>
          <w:color w:val="auto"/>
        </w:rPr>
      </w:pPr>
    </w:p>
    <w:p>
      <w:pPr>
        <w:ind w:left="120" w:hanging="4"/>
        <w:spacing w:after="0" w:line="251" w:lineRule="auto"/>
        <w:tabs>
          <w:tab w:leader="none" w:pos="38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the defense of an inconvenient forum or lack of jurisdiction to the maintenance of any such Action, (iii) agree to not attempt to deny or defeat such jurisdiction by motion or otherwise request for leave from any such court and (iv) agree to not bring any Action arising out of or relating to this Agreement or the Transactions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cs="Times New Roman" w:eastAsia="Times New Roman" w:hAnsi="Times New Roman"/>
          <w:sz w:val="18"/>
          <w:szCs w:val="18"/>
          <w:u w:val="single" w:color="auto"/>
          <w:color w:val="auto"/>
        </w:rPr>
        <w:t>Section 8.07(b)</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192"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xml:space="preserve">. The parties hereto agree that irreparable damage for which monetary relief (including any fees payable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following sentence,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8.07(b)</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(b) the provisions set forth in </w:t>
      </w:r>
      <w:r>
        <w:rPr>
          <w:rFonts w:ascii="Times New Roman" w:cs="Times New Roman" w:eastAsia="Times New Roman" w:hAnsi="Times New Roman"/>
          <w:sz w:val="18"/>
          <w:szCs w:val="18"/>
          <w:u w:val="single" w:color="auto"/>
          <w:color w:val="auto"/>
        </w:rPr>
        <w:t>Section 7.03 (i)</w:t>
      </w:r>
      <w:r>
        <w:rPr>
          <w:rFonts w:ascii="Times New Roman" w:cs="Times New Roman" w:eastAsia="Times New Roman" w:hAnsi="Times New Roman"/>
          <w:sz w:val="18"/>
          <w:szCs w:val="18"/>
          <w:color w:val="auto"/>
        </w:rPr>
        <w:t xml:space="preserve"> are not intended to and do not adequately compensate for the harm that would result from a breach of this Agreement and (ii) shall not be construed to diminish or otherwise impair in any respect any party’s right to specific enforcement and (c) the right of specific enforcement is an integral part of the Transactions and without that right none of the Company, Parent and Merger Sub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 If, prior to</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080"/>
          </w:cols>
          <w:pgMar w:left="320" w:top="455"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the Outside Date, any party hereto brings any action, in each case, in accordance with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to enforce specifically the performance of the terms and provisions hereof by any other party, the Outside Date shall automatically be extended (x) for the period during which such action is pending, plus 20 Business Days or (y) by such other time period established by the court presiding over such action, as the case may be.</w:t>
      </w:r>
    </w:p>
    <w:p>
      <w:pPr>
        <w:spacing w:after="0" w:line="176"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(unless an automated message indicating non-delivery is received with respect thereto) or sent by nationally recognized overnight courier (providing proof of delivery) to the parties at the following addresses: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or Merger Sub, to it at:</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c/o Universal Health Services, Inc.</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367 South Gulph Road</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King of Prussia, PA 19406</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Attention: Matthew D. Klein, Senior Vice President and General Counsel</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jc w:val="center"/>
        <w:ind w:right="5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444 West Lake Street, Suite 4000</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Attention: Eric Orsic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eorsic@mcdermottlaw.com</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Talkspace, Inc.</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P.O. Box 659</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Portsmouth, NH 03802</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jc w:val="center"/>
        <w:ind w:right="53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Two Manhattan West 375 Ninth Avenue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Attention: Minh Van Ngo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Andrew M. Wark</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Email:   mngo@cravath.com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awark@cravath.com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or such other address or email address as such party may hereafter specify by like notice to the other parties hereto. All such notices, requests and other communications shall be in writing and shall be deemed to have been received on the earliest of (i) the date when personally delivered, (ii) the date when transmitted via electronic e-mail address (unless an automated message indicating non-delivery is received with respect thereto) or (iii) the next succeeding Business Day following the day on which the same has been delivered prepaid to a reputable national overnight air courier service.</w:t>
      </w:r>
    </w:p>
    <w:p>
      <w:pPr>
        <w:spacing w:after="0" w:line="180" w:lineRule="exact"/>
        <w:rPr>
          <w:sz w:val="20"/>
          <w:szCs w:val="20"/>
          <w:color w:val="auto"/>
        </w:rPr>
      </w:pPr>
    </w:p>
    <w:p>
      <w:pPr>
        <w:ind w:left="120"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As used in this Agreement, the following terms have the meanings ascribed thereto below:</w:t>
      </w:r>
    </w:p>
    <w:p>
      <w:pPr>
        <w:spacing w:after="0" w:line="117"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0" w:lineRule="exact"/>
        <w:rPr>
          <w:sz w:val="20"/>
          <w:szCs w:val="20"/>
          <w:color w:val="auto"/>
        </w:rPr>
      </w:pPr>
    </w:p>
    <w:p>
      <w:pPr>
        <w:jc w:val="both"/>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Professional Entity</w:t>
      </w:r>
      <w:r>
        <w:rPr>
          <w:rFonts w:ascii="Times New Roman" w:cs="Times New Roman" w:eastAsia="Times New Roman" w:hAnsi="Times New Roman"/>
          <w:sz w:val="18"/>
          <w:szCs w:val="18"/>
          <w:color w:val="auto"/>
        </w:rPr>
        <w:t>” means any entity that provides professional medical, psychology, or other therapy services and to which the Company or any of its Subsidiaries provides comprehensive administrative and back office support services under a management or administrative services agreement.</w:t>
      </w:r>
    </w:p>
    <w:p>
      <w:pPr>
        <w:spacing w:after="0" w:line="176"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Antitrust Act of 1890, the Clayton Antitrust Act of 1914, the HSR Act, the Federal Trade Commission Act of 1914, all other applicable federal, state or foreign antitrust Laws and all other applicable Laws issued by a Governmental Authority that are designed or intended to preserve or protect competition or prohibit, restrict or regulate actions having the purpose or effect of monopolization, restraint of trade, abuse of a dominant position or lessening of competition through merger or acquisition.</w:t>
      </w:r>
    </w:p>
    <w:p>
      <w:pPr>
        <w:spacing w:after="0" w:line="180"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except a Saturday, a Sunday or other day on which the banking institutions in the City of New York, New York are authorized or required by Law or executive order to be closed.</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each collective bargaining, works council or other labor union Contract or labor arrangement covering any employee of the Company or any of its Subsidiaries or any of the Affiliated Professional Entities, excluding any national, industry or similar generally applicable Contract or arrangement.</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means any Person or entity that, together with the Company or any of its Subsidiaries, is treated as a single employer under Section 414(b), (c), (m) or (o) of the Code.</w:t>
      </w:r>
    </w:p>
    <w:p>
      <w:pPr>
        <w:spacing w:after="0" w:line="162"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 Documents</w:t>
      </w:r>
      <w:r>
        <w:rPr>
          <w:rFonts w:ascii="Times New Roman" w:cs="Times New Roman" w:eastAsia="Times New Roman" w:hAnsi="Times New Roman"/>
          <w:sz w:val="18"/>
          <w:szCs w:val="18"/>
          <w:color w:val="auto"/>
        </w:rPr>
        <w:t>” means the Company’s certificate of incorporation and bylaws, each as amended or amended and restated, as the case may be, and as in effect on the date hereof.</w:t>
      </w:r>
    </w:p>
    <w:p>
      <w:pPr>
        <w:spacing w:after="0" w:line="162"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means the computer and other information technology systems, including hardware, Software, computer systems, databases and documentation, reference and resource materials relating thereto that are owned, leased or licensed and, in each of the foregoing cases, controlled by the Company or any of its Subsidiaries or any of the Affiliated Professional Entities and used in the operation of the businesses of the Company or any of its Subsidiaries or any of the Affiliated Professional Entities.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means any lease, sublease, license or other agreement (including any amendments, extensions, renewals, guaranties or other agreements related thereto) pursuant to which the Company or any of its Subsidiaries or any of the Affiliated Professional Entities leases, subleases, licenses, uses or occupies any Leased Real Property.</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with respect to Company Common Stock granted under the Equity Plans.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means an option to purchase shares of Company Common Stock granted under the Equity Plans.</w:t>
      </w:r>
    </w:p>
    <w:p>
      <w:pPr>
        <w:spacing w:after="0" w:line="22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plan, program, policy, agreement or other arrangement covering current or former directors, employees or individual consultants of the Company or any of its Subsidiaries or any of the Affiliated Professional Entities that is (a) an employee welfare plan within the meaning of Section 3(1) of ERISA (whether or not subject to ERISA), (b) an employee pension benefit plan within the meaning of Section 3(2) of ERISA, (c) a stock option, stock purchase or other equity or equity-based agreement, program or plan, (d) an individual employment, consulting, change-in-control, severance, retention or other similar agreement or (e) a bonus, incentive, deferred compensation, profit-sharing, retirement, post-retirement, health or welfare, vacation, severance or termination pay, benefit or fringe benefit plan, program, policy, agreement or other arrangement, in each case, that is sponsored, maintained or contributed to by the Company or any of its Subsidiaries or any of the Affiliated Professional Entities or which the Company or any of its Subsidiaries or any of the Affiliated Professional Entities is obligated to sponsor, maintain or contribute to, other than any plan, program, policy, agreement or arrangement mandated by applicable Law.</w:t>
      </w:r>
    </w:p>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Warrants</w:t>
      </w:r>
      <w:r>
        <w:rPr>
          <w:rFonts w:ascii="Times New Roman" w:cs="Times New Roman" w:eastAsia="Times New Roman" w:hAnsi="Times New Roman"/>
          <w:sz w:val="17"/>
          <w:szCs w:val="17"/>
          <w:color w:val="auto"/>
        </w:rPr>
        <w:t>” means, together, the Public Warrants and the Private Placement Warrants, each as defined in the Warrant Agreement.</w:t>
      </w:r>
    </w:p>
    <w:p>
      <w:pPr>
        <w:spacing w:after="0" w:line="237"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loan or credit agreement, indenture, debenture, note, bond, mortgage, deed of trust, lease, sublease, license, contract or other agreement.</w:t>
      </w:r>
    </w:p>
    <w:p>
      <w:pPr>
        <w:spacing w:after="0" w:line="162"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Practice Documents</w:t>
      </w:r>
      <w:r>
        <w:rPr>
          <w:rFonts w:ascii="Times New Roman" w:cs="Times New Roman" w:eastAsia="Times New Roman" w:hAnsi="Times New Roman"/>
          <w:sz w:val="18"/>
          <w:szCs w:val="18"/>
          <w:color w:val="auto"/>
        </w:rPr>
        <w:t xml:space="preserve">” means (a) a management services agreement, administrative services agreement, business support services agreement, reciprocal provider agreement or network participation agreement between an Affiliated Professional Entity and the Company or any of its Subsidiaries, (b) medical director and physician liaison agreement or membership interest control agreement between an equityholder of the Affiliated Professional Entity and an Affiliated Professional Entity, (c) a line of credit agreement, deficit funding loan agreement, or substantially equivalent agreement permitting the Company or its Subsidiaries to lend funds to an Affiliated Professional Entity,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 Securities Transfer Restriction Agreement and (e) the governing and organizational documents of an Affiliated Professional Entity.</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 Liability</w:t>
      </w:r>
      <w:r>
        <w:rPr>
          <w:rFonts w:ascii="Times New Roman" w:cs="Times New Roman" w:eastAsia="Times New Roman" w:hAnsi="Times New Roman"/>
          <w:sz w:val="18"/>
          <w:szCs w:val="18"/>
          <w:color w:val="auto"/>
        </w:rPr>
        <w:t>” means any and all liabilities (a) under Title IV of ERISA, (b) under Section 302 or 4068(a) of ERISA,</w:t>
      </w:r>
    </w:p>
    <w:p>
      <w:pPr>
        <w:spacing w:after="0" w:line="27" w:lineRule="exact"/>
        <w:rPr>
          <w:sz w:val="20"/>
          <w:szCs w:val="20"/>
          <w:color w:val="auto"/>
        </w:rPr>
      </w:pPr>
    </w:p>
    <w:p>
      <w:pPr>
        <w:ind w:left="120" w:right="40" w:hanging="4"/>
        <w:spacing w:after="0" w:line="255" w:lineRule="auto"/>
        <w:tabs>
          <w:tab w:leader="none" w:pos="36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Section 430(k) or 4971 of the Code and (d) for violation of the continuation coverage requirements of Sections 601 et seq. of ERISA and Section 4980B of the Code or the group health requirements of Sections 701 et seq. of ERISA and Sections 9801 et seq. of the Code, in the case of each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with respect to the Company or any Commonly Controlled Entity.</w:t>
      </w:r>
    </w:p>
    <w:p>
      <w:pPr>
        <w:spacing w:after="0" w:line="186" w:lineRule="exact"/>
        <w:rPr>
          <w:sz w:val="20"/>
          <w:szCs w:val="20"/>
          <w:color w:val="auto"/>
        </w:rPr>
      </w:pPr>
    </w:p>
    <w:p>
      <w:pPr>
        <w:ind w:left="120"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Laws</w:t>
      </w:r>
      <w:r>
        <w:rPr>
          <w:rFonts w:ascii="Times New Roman" w:cs="Times New Roman" w:eastAsia="Times New Roman" w:hAnsi="Times New Roman"/>
          <w:sz w:val="18"/>
          <w:szCs w:val="18"/>
          <w:color w:val="auto"/>
        </w:rPr>
        <w:t>” means any Law or industry self-regulatory program concerning the collection, use, analysis, retention, storage, protection, transfer, disclosure, disposal or Processing of Personal Information.</w:t>
      </w:r>
    </w:p>
    <w:p>
      <w:pPr>
        <w:spacing w:after="0" w:line="162"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pledge, lien, charge, mortgage, deed of trust, security interest, lease, license, covenant, restriction, hypothecation, option to purchase or lease or otherwise acquire any interest, right of first refusal or offer, conditional sale or other title retention agreement, adverse claim of ownership or use, easement, encroachment, right-of-way or other title defect, third-party right or encumbrance of any kind or nature.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means the Company 2021 Incentive Award Plan and the 2014 Stock Incentive Plan of the Company, each as may be amended or amended and restated from time to time and including any subplan thereto.</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Equity-Based Awards</w:t>
      </w:r>
      <w:r>
        <w:rPr>
          <w:rFonts w:ascii="Times New Roman" w:cs="Times New Roman" w:eastAsia="Times New Roman" w:hAnsi="Times New Roman"/>
          <w:sz w:val="18"/>
          <w:szCs w:val="18"/>
          <w:color w:val="auto"/>
        </w:rPr>
        <w:t>” means, together, Company RSUs and Company Stock Options.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a fraction (a) the numerator of which is the closing price of Company Common Stock on Nasdaq (as reported by Bloomberg L.P. or, if not reported therein, in another authoritative source mutually selected by the parties) on the last day on which Company Common Stock is traded on Nasdaq that is immediately prior to the date of the Effective Time and (b) the denominator of which is the closing price of a Parent Class B Share on NYSE (as reported by Bloomberg L.P. or, if not reported therein, in another authoritative source mutually selected by the parties) on the last day on which Company Common Stock is traded on Nasdaq that is immediately prior to the date of the Effective Time.</w:t>
      </w:r>
    </w:p>
    <w:p>
      <w:pPr>
        <w:spacing w:after="0" w:line="181" w:lineRule="exact"/>
        <w:rPr>
          <w:sz w:val="20"/>
          <w:szCs w:val="20"/>
          <w:color w:val="auto"/>
        </w:rPr>
      </w:pPr>
    </w:p>
    <w:p>
      <w:pPr>
        <w:ind w:left="120"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federal health care program</w:t>
      </w:r>
      <w:r>
        <w:rPr>
          <w:rFonts w:ascii="Times New Roman" w:cs="Times New Roman" w:eastAsia="Times New Roman" w:hAnsi="Times New Roman"/>
          <w:sz w:val="18"/>
          <w:szCs w:val="18"/>
          <w:color w:val="auto"/>
        </w:rPr>
        <w:t>” as defined in 42 U.S.C. § 1320a-7b(f), including Medicare, state Medicaid programs, state CHIP programs, TRICARE and similar or successor programs with or for the benefit of any Governmental Authority.</w:t>
      </w:r>
    </w:p>
    <w:p>
      <w:pPr>
        <w:spacing w:after="0" w:line="160"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the actual, knowing and intentional fraud under the laws of the State of Delaware by any party hereto in connection with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 consistently applied.</w:t>
      </w:r>
    </w:p>
    <w:p>
      <w:pPr>
        <w:spacing w:after="0" w:line="225"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government, governmental bureau, governmental board, governmental department, court, regulatory or administrative agency or body, commission or authority or other legislative, executive or judicial governmental entity or tribunal (in each case including any self-regulatory organization), whether federal, state or local, domestic, foreign or multinational or any arbitrational tribunal.</w:t>
      </w:r>
    </w:p>
    <w:p>
      <w:pPr>
        <w:spacing w:after="0" w:line="176" w:lineRule="exact"/>
        <w:rPr>
          <w:sz w:val="20"/>
          <w:szCs w:val="20"/>
          <w:color w:val="auto"/>
        </w:rPr>
      </w:pPr>
    </w:p>
    <w:p>
      <w:pPr>
        <w:ind w:left="120" w:right="20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Healthcare Laws</w:t>
      </w:r>
      <w:r>
        <w:rPr>
          <w:rFonts w:ascii="Times New Roman" w:cs="Times New Roman" w:eastAsia="Times New Roman" w:hAnsi="Times New Roman"/>
          <w:sz w:val="17"/>
          <w:szCs w:val="17"/>
          <w:color w:val="auto"/>
        </w:rPr>
        <w:t>” means all Laws pertaining to the regulation of healthcare, entities that provide items or services directly or indirectly to, for, or on behalf of healthcare providers and suppliers or the payment or reimbursement for items or services rendered, provided, dispensed or furnished by healthcare providers or suppliers, including: (a) the federal Anti-Kickback Statute (42 U.S.C. § 1320a-7b), the Civil Monetary Penalties Law (42 U.S.C. § 1320a-7a), the Exclusions Law (42 U.S.C. § 1320a-7), the Physician Self-Referral Law, commonly known as the “Stark Law” (42 U.S.C. §§ 1395nn and 1396b), the civil False Claims Act (31 U.S.C. § 3729 et seq.), the Federal Criminal False Claims Act (18 U.S.C. §§ 287 and</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1001), the Federal Program Fraud Civil Remedies Act (31 U.S.C. §§ 3801 et seq.), the False Statements Relating to Health Care Matters Law (18 U.S.C.</w:t>
      </w:r>
    </w:p>
    <w:p>
      <w:pPr>
        <w:spacing w:after="0" w:line="21" w:lineRule="exact"/>
        <w:rPr>
          <w:sz w:val="20"/>
          <w:szCs w:val="20"/>
          <w:color w:val="auto"/>
        </w:rPr>
      </w:pPr>
    </w:p>
    <w:p>
      <w:pPr>
        <w:ind w:left="120" w:right="120" w:hanging="4"/>
        <w:spacing w:after="0" w:line="265" w:lineRule="auto"/>
        <w:tabs>
          <w:tab w:leader="none" w:pos="255"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1035), the Health Care Fraud Law (18 U.S.C. § 1347) and any regulations promulgated pursuant to such statutes, (b) Medicare (Title XVIII of the Social Security Act) and the regulations promulgated thereunder, (c) TRICARE (10 U.S.C. § 1071 et seq.) and the regulations promulgated thereunder,</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HIPAA and state health privacy, medical records, and medical information Laws, (e) the Patient Protection and Affordable Care Act (Pub. L.</w:t>
      </w:r>
    </w:p>
    <w:p>
      <w:pPr>
        <w:spacing w:after="0" w:line="9" w:lineRule="exact"/>
        <w:rPr>
          <w:rFonts w:ascii="Times New Roman" w:cs="Times New Roman" w:eastAsia="Times New Roman" w:hAnsi="Times New Roman"/>
          <w:sz w:val="17"/>
          <w:szCs w:val="17"/>
          <w:color w:val="auto"/>
        </w:rPr>
      </w:pPr>
    </w:p>
    <w:p>
      <w:pPr>
        <w:ind w:left="120" w:right="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111-148), as amended by the Health Care Education and Reconciliation Act (Pub. L. 111-152), and the regulations promulgated thereunder, (f) quality and safety Laws relating to the regulation, provision or administration of, or payment for, healthcare items or services, (g) licensure Laws relating to the regulation, provision or administration of, or payment for, healthcare items or services, (h) any Laws and regulations of a Third-Party Payor Program,</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all applicable Laws relating to the coding or provision of, or billing or payment for, healthcare items or services or relating to healthcare information,</w:t>
      </w:r>
    </w:p>
    <w:p>
      <w:pPr>
        <w:spacing w:after="0" w:line="9" w:lineRule="exact"/>
        <w:rPr>
          <w:rFonts w:ascii="Times New Roman" w:cs="Times New Roman" w:eastAsia="Times New Roman" w:hAnsi="Times New Roman"/>
          <w:sz w:val="17"/>
          <w:szCs w:val="17"/>
          <w:color w:val="auto"/>
        </w:rPr>
      </w:pPr>
    </w:p>
    <w:p>
      <w:pPr>
        <w:ind w:left="120" w:right="3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 all applicable state and local Laws regulating fee splitting, licensing, reimbursement, kickbacks, claim processing, corporate practice of medicine, psychology, therapy, telehealth services and medical record documentation requirements and (k) any analogous Laws imposed by any state or local jurisdiction, including any similar state or local fraud and abuse Laws governing the offer, payment, solicitation or receipt of any remuneration in exchange for a referral, furnishing, arranging for the furnishing, lease, purchase, order, or recommendation of any healthcare product or service.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(HITECH) Act, together with all implementing regulations thereof.</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promulgated thereunder.</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following, in each case in any jurisdiction throughout the world: (a) any patent, patent application or patent disclosure, together with all extensions, adjustments, renewals, divisions, continuations, continuations-in-part, reissues and re-examinations thereof; (b) any trademark, service mark, trade dress, logo, trade name or any other indicia of source or origin, together with the goodwill associated with any of the foregoing, and any application, registration or renewal thereof (collectively, the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any works of authorship whether or not copyrightable and other copyrightable works (including copyrights in Software, databases, website content, and promotional materials) whether or not registered or sought to be registered and whether or not published, and any application, registration or renewal thereof, together with all translations, adaptations, derivations, and combinations thereof, and all moral rights and all other rights associated therewith; (d) any internet domain name; (e) any trade secrets, confidential know-how or other confidential and proprietary information (including ideas, research and development, know-how, invention (whether patentable or unpatentable and whether or not reduced to practice) or invention disclosure, processes and techniques, technical data and information, customer and supplier lists, pricing and cost information, and business and marketing plans and proposals), and all other information that derives economic value from not being generally known (collectively, the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(f) any social media accounts, identifiers and designations; (g) any Software; (h) any other material proprietary rights; and (i) any claims or causes of action arising out of or related to any infringement, misappropriation or other violation of any of the foregoing.</w:t>
      </w:r>
    </w:p>
    <w:p>
      <w:pPr>
        <w:spacing w:after="0" w:line="187" w:lineRule="exact"/>
        <w:rPr>
          <w:sz w:val="20"/>
          <w:szCs w:val="20"/>
          <w:color w:val="auto"/>
        </w:rPr>
      </w:pPr>
    </w:p>
    <w:p>
      <w:pPr>
        <w:ind w:left="12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xml:space="preserve">” means any state of facts, event, change, development, condition, occurrence or circumstances not known (or if known, the magnitude or material consequences of which were unknown and not reasonably foreseeable) by the Board of Directors of the Company as of the date of this Agreement, but which state of facts, event, change, development, condition, occurrence or circumstances (or consequences thereof) becomes known to the Board of Directors of the Company after the date of this Agreement and prior to receipt of the Company Stockholder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any of the following constitute an Intervening Event: (a) a Takeover Proposal or the receipt, existence or terms thereof;</w:t>
      </w:r>
    </w:p>
    <w:p>
      <w:pPr>
        <w:spacing w:after="0" w:line="3" w:lineRule="exact"/>
        <w:rPr>
          <w:sz w:val="20"/>
          <w:szCs w:val="20"/>
          <w:color w:val="auto"/>
        </w:rPr>
      </w:pPr>
    </w:p>
    <w:p>
      <w:pPr>
        <w:ind w:left="120" w:hanging="4"/>
        <w:spacing w:after="0" w:line="251" w:lineRule="auto"/>
        <w:tabs>
          <w:tab w:leader="none" w:pos="37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the Company Common Stock, in and of itself (it being understood that the underlying causes, facts or occurrences giving rise or contributing to such changes may be taken into account whether an Intervening Event has occurred); (c) the Company or any of its Subsidiaries meeting or exceeding any published analyst estimates or expectations of the Company’s and its Subsidiaries’ revenue, earnings or other financial performance or results of operations for any period, in and of itself, or exceeding the Company’s and its Subsidiaries’ internal or external budgets, plans or forecasts of revenues, earnings or other financial performance or results of operations, in and of itself (it being understood that the underlying causes, facts or occurrences giving rise or contributing to the Company and its Subsidiaries meeting or exceeding such estimates, projections, budgets, plans or forecasts may be taken into account whether an Intervening Event has occurred); (d) any effect attributable to the negotiation, execution or announcement of this Agreement, the Merger and the Transactions; or (e) any effect resulting from or arising out of a breach of this Agreement by the Company.</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the Company, the actual knowledge of the individuals listed on Section 8.12(a) of the Company Disclosure Letter after due inquiry and (b) with respect to Parent or Merger Sub, the actual knowledge of any of the appointed officers or directors of Parent or Merger Sub after due inquiry.</w:t>
      </w:r>
    </w:p>
    <w:p>
      <w:pPr>
        <w:spacing w:after="0" w:line="176"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any real property that is leased, subleased, licensed or otherwise occupied by the Company or any of its Subsidiaries or any of the Affiliated Professional Entities (in each case whether as tenant, subtenant, licensee or occupant).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state of facts, condition, development, effect, change, event, circumstance or occurrence that, individually or in the aggregate, (a) has, or would be reasonably expected to have, a material adverse effect on the business, results of operations or financial condition of the Company, its Subsidiaries and the Affiliated Professional Entities taken as a whole or (b) prevents, materially impairs or materially delays the consummation by the Company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with respect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none of the following, and no state of facts, condition, development, effect, change, event, circumstance or occurrence arising out of or resulting from the following, shall constitute or be taken into account in determining whether a Material Adverse Effect has occurred, is continuing or would reasonably be expected to occur: any state of facts, condition, development, effect, change, event, circumstance or occurrence (A) generally affecting the industry in which the Company and its Subsidiaries operate or the economy, credit or financial or capital markets, in the U.S. or elsewhere in the world, including changes in interest or exchange rates, monetary policy or inflation, or (B) to the extent arising out of, resulting from or attributable to (1) changes or prospective changes in applicable Law or in GAAP or in accounting standards, or any changes or prospective changes in the interpretation or enforcement of any of the foregoing, or any changes or prospective changes in the general legal, regulatory, political or social conditions, in each case arising after the date of this Agreement, (2) the negotiation, execution, announcement or performance of this Agreement or the consummation of the Transactions (other than for purposes of any representation or warranty contained in </w:t>
      </w:r>
      <w:r>
        <w:rPr>
          <w:rFonts w:ascii="Times New Roman" w:cs="Times New Roman" w:eastAsia="Times New Roman" w:hAnsi="Times New Roman"/>
          <w:sz w:val="18"/>
          <w:szCs w:val="18"/>
          <w:u w:val="single" w:color="auto"/>
          <w:color w:val="auto"/>
        </w:rPr>
        <w:t>Sections 3.03(d)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including the impact thereof on relationships, contractual or otherwise, with customers, payors, suppliers, distributors, partners, employees or regulators, or any litigation arising from allegations of breach of fiduciary duty or violation of Law relating to this Agreement or the Transactions, (3) acts of war (whether or not declared), military activity, sabotage, cyberattacks (other than those directly targeted at the Company, any of its Subsidiaries or any of the Affiliated Professional Entities), civil disobedience, government shutdown, government slowdown or terrorism, or any escalation or worsening of any such acts of war (whether or not declared), military activity, sabotage, cyberattacks (other than those directly targeted at the Company, any of its Subsidiaries or any of the Affiliated Professional Entities), civil disobedience, government shutdown, government slowdown or terrorism, (4) earthquakes, fires, floods, hurricanes, tornados or other natural disasters, weather-related events, casualty events, force majeure events or other comparable events, (5) any action taken by the Company or its Subsidiaries that is required by this Agreement or that is taken with Parent’s written consent or at Parent’s written request, or the failure to take any action by the Company or its Subsidiaries if that action is prohibited by this Agreement (provided that this clause (5) shall not apply to any action omitted to be taken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unless the Company has requested to take an action that is prohibited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Parent has unreasonably withheld, delayed or conditioned its written consent to such action), (6) any change or prospective change in reimbursement rates or any change or prospective change to eligibility requirements, in each case, imposed by any Governmental Authority or Third-Party Payor Program, (7) any change in the Company’s credit ratings, (8) any decline in the market price, or change in trading volume, of the shares of the Company, (9) any failure to meet any internal or public projections, forecasts, guidance, estimates, milestones, budgets or internal or published financial or operating predictions of revenue, earnings, cash flow or cash position (it being understood that the exceptions in </w:t>
      </w:r>
      <w:r>
        <w:rPr>
          <w:rFonts w:ascii="Times New Roman" w:cs="Times New Roman" w:eastAsia="Times New Roman" w:hAnsi="Times New Roman"/>
          <w:sz w:val="18"/>
          <w:szCs w:val="18"/>
          <w:u w:val="single" w:color="auto"/>
          <w:color w:val="auto"/>
        </w:rPr>
        <w:t>clauses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shall not prevent or otherwise affect a determination that the underlying cause of any such change, decline or failure referred to therein (if not otherwise falling within any of the exceptions provided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clauses (B)(1)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is a Material Adverse Effect) or (10) changes in funding policies of or spending by any Governmental Authority; </w:t>
      </w:r>
      <w:r>
        <w:rPr>
          <w:rFonts w:ascii="Times New Roman" w:cs="Times New Roman" w:eastAsia="Times New Roman" w:hAnsi="Times New Roman"/>
          <w:sz w:val="18"/>
          <w:szCs w:val="18"/>
          <w:u w:val="single" w:color="auto"/>
          <w:color w:val="auto"/>
        </w:rPr>
        <w:t>provided, further, however</w:t>
      </w:r>
      <w:r>
        <w:rPr>
          <w:rFonts w:ascii="Times New Roman" w:cs="Times New Roman" w:eastAsia="Times New Roman" w:hAnsi="Times New Roman"/>
          <w:sz w:val="18"/>
          <w:szCs w:val="18"/>
          <w:color w:val="auto"/>
        </w:rPr>
        <w:t xml:space="preserve">, that any state of facts, condition, development, effect, change, event, circumstance or occurrence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may be taken into account in determining whether there has been, or would reasonably be expected to be, a Material Adverse Effect to the extent such state of facts, condition, development, effect, change, event, circumstance or occurrence has a disproportionate adverse effect on the Company, its Subsidiaries and the Affiliated Professional Entities, taken as a whole, as compared to other participants in the industry in which the Company, its Subsidiaries and the Affiliated Professional Entities operate (in which case only the incremental disproportionate impact or impacts (to the extent not otherwise excluded by this definition) may be taken into account in determining whether there has been, or would reasonably be expected to be, a Material Adverse Effect).</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computer Software program whose source code is published and made available under a license meeting the Open Source Definition (as promulgated by the Open Source Initiative) or the Free Software Definition (as promulgated by the Free Software Foundation).</w:t>
      </w:r>
    </w:p>
    <w:p>
      <w:pPr>
        <w:spacing w:after="0" w:line="176"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Company Intellectual Property</w:t>
      </w:r>
      <w:r>
        <w:rPr>
          <w:rFonts w:ascii="Times New Roman" w:cs="Times New Roman" w:eastAsia="Times New Roman" w:hAnsi="Times New Roman"/>
          <w:sz w:val="18"/>
          <w:szCs w:val="18"/>
          <w:color w:val="auto"/>
        </w:rPr>
        <w:t>” means all Intellectual Property owned or purported to be owned by the Company or any of its Subsidiaries or any of the Affiliated Professional Entities.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Class B Common Stock, par value $0.01 per share, of Parent.</w:t>
      </w:r>
    </w:p>
    <w:p>
      <w:pPr>
        <w:spacing w:after="0" w:line="225" w:lineRule="exact"/>
        <w:rPr>
          <w:sz w:val="20"/>
          <w:szCs w:val="20"/>
          <w:color w:val="auto"/>
        </w:rPr>
      </w:pPr>
    </w:p>
    <w:p>
      <w:pPr>
        <w:ind w:left="120"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change, event or occurrence that would prevent or materially delay, interfere with, hinder or impair (i) the consummation by Parent or Merger Sub of any of the Transactions or (ii) the compliance by Parent or Merger Sub with its obligations under this Agreement.</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PCI DSS</w:t>
      </w:r>
      <w:r>
        <w:rPr>
          <w:rFonts w:ascii="Times New Roman" w:cs="Times New Roman" w:eastAsia="Times New Roman" w:hAnsi="Times New Roman"/>
          <w:sz w:val="18"/>
          <w:szCs w:val="18"/>
          <w:color w:val="auto"/>
        </w:rPr>
        <w:t>” means the Payment Card Industry Data Security Standard and any PCI DSS or card brand rules or regulations.</w:t>
      </w:r>
    </w:p>
    <w:p>
      <w:pPr>
        <w:spacing w:after="0" w:line="225" w:lineRule="exact"/>
        <w:rPr>
          <w:sz w:val="20"/>
          <w:szCs w:val="20"/>
          <w:color w:val="auto"/>
        </w:rPr>
      </w:pPr>
    </w:p>
    <w:p>
      <w:pPr>
        <w:ind w:left="120" w:right="6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easements, rights-of-way, encroachments, restrictions, conditions and other similar non-monetary Encumbrances incurred or suffered in the ordinary course of business and which, individually or in the aggregate, do not and would not reasonably be expected to materially impair the use or value of the applicable real property or otherwise materially impair the present or reasonably contemplated business operations at such location, (ii) zoning, entitlement, building and other land use regulations imposed by Governmental Authorities having jurisdiction over such real property, (iii) statutory Encumbrances for Taxes not yet due and payable or the amount or validity of which are being contested in good faith and by appropriate proceedings for which adequate reserves have been established in accordance with GAAP, (iv) mechanics’, materialmen’s, carriers’, workmen’s, warehouseman’s, repairmen’s, and landlords’ liens granted or which arise in the ordinary course of business which are not due and payable or the amount or validity of which are contested in good faith by appropriate proceedings, (v) pledges or deposits under workmen’s compensation Laws, unemployment insurance Laws or similar legislation, or good-faith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(vi) non-exclusive licenses of Intellectual Property granted to third parties in the ordinary course of business,</w:t>
      </w:r>
    </w:p>
    <w:p>
      <w:pPr>
        <w:spacing w:after="0" w:line="2" w:lineRule="exact"/>
        <w:rPr>
          <w:sz w:val="20"/>
          <w:szCs w:val="20"/>
          <w:color w:val="auto"/>
        </w:rPr>
      </w:pPr>
    </w:p>
    <w:p>
      <w:pPr>
        <w:ind w:left="120" w:right="120" w:hanging="4"/>
        <w:spacing w:after="0" w:line="260" w:lineRule="auto"/>
        <w:tabs>
          <w:tab w:leader="none" w:pos="47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discharged at or prior to the Effective Time, and (viii) other non-monetary Encumbrances that do not materially impair the existing use of the asset or property affected by such Encumbrance.</w:t>
      </w:r>
    </w:p>
    <w:p>
      <w:pPr>
        <w:spacing w:after="0" w:line="181" w:lineRule="exact"/>
        <w:rPr>
          <w:sz w:val="20"/>
          <w:szCs w:val="20"/>
          <w:color w:val="auto"/>
        </w:rPr>
      </w:pPr>
    </w:p>
    <w:p>
      <w:pPr>
        <w:ind w:left="120"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all data and information that identifies, relates to, describes, is reasonably capable of being associated with, or could reasonably be linked, directly or indirectly to a particular individual or is otherwise is subject to any applicable Data Privacy Laws related to the privacy or security of information associated with an individual.</w:t>
      </w:r>
    </w:p>
    <w:p>
      <w:pPr>
        <w:spacing w:after="0" w:line="176" w:lineRule="exact"/>
        <w:rPr>
          <w:sz w:val="20"/>
          <w:szCs w:val="20"/>
          <w:color w:val="auto"/>
        </w:rPr>
      </w:pPr>
    </w:p>
    <w:p>
      <w:pPr>
        <w:ind w:left="120"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Consents</w:t>
      </w:r>
      <w:r>
        <w:rPr>
          <w:rFonts w:ascii="Times New Roman" w:cs="Times New Roman" w:eastAsia="Times New Roman" w:hAnsi="Times New Roman"/>
          <w:sz w:val="18"/>
          <w:szCs w:val="18"/>
          <w:color w:val="auto"/>
        </w:rPr>
        <w:t>” means the terms of any consents, authorizations, waiver of authorization or other permission or third party terms pursuant to which the Company Processed or Processes Personal Information.</w:t>
      </w:r>
    </w:p>
    <w:p>
      <w:pPr>
        <w:spacing w:after="0" w:line="162" w:lineRule="exact"/>
        <w:rPr>
          <w:sz w:val="20"/>
          <w:szCs w:val="20"/>
          <w:color w:val="auto"/>
        </w:rPr>
      </w:pPr>
    </w:p>
    <w:p>
      <w:pPr>
        <w:ind w:left="120"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shall mean any operation or set of operations which is performed on Personal Information, whether or not by automatic means, such as collection, recording, organization, access, storage, distribution, adaptation or alteration, retrieval, consultation, use, disclosure by transmission, dissemination, transfer or otherwise making available, alignment or combination, blocking, erasure or destruction.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is defined in the definition of Intellectual Property.</w:t>
      </w:r>
    </w:p>
    <w:p>
      <w:pPr>
        <w:spacing w:after="0" w:line="225"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Company Intellectual Property</w:t>
      </w:r>
      <w:r>
        <w:rPr>
          <w:rFonts w:ascii="Times New Roman" w:cs="Times New Roman" w:eastAsia="Times New Roman" w:hAnsi="Times New Roman"/>
          <w:sz w:val="18"/>
          <w:szCs w:val="18"/>
          <w:color w:val="auto"/>
        </w:rPr>
        <w:t>” means all Owned Company Intellectual Property that has been registered with or issued by, or is the subject of a pending application for such, with or by any Governmental Authority or domain name registrar, by or on behalf of the Company or any of its Subsidiaries or any of the Affiliated Professional Entities.</w:t>
      </w:r>
    </w:p>
    <w:p>
      <w:pPr>
        <w:spacing w:after="0" w:line="176"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its officers, directors, employees, consultants, agents, financial advisors, investment bankers, attorneys, accountants, other advisors, Affiliates and other representatives.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w:t>
      </w:r>
    </w:p>
    <w:p>
      <w:pPr>
        <w:spacing w:after="0" w:line="225" w:lineRule="exact"/>
        <w:rPr>
          <w:sz w:val="20"/>
          <w:szCs w:val="20"/>
          <w:color w:val="auto"/>
        </w:rPr>
      </w:pPr>
    </w:p>
    <w:p>
      <w:pPr>
        <w:ind w:left="120"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Transfer Restriction Agreement</w:t>
      </w:r>
      <w:r>
        <w:rPr>
          <w:rFonts w:ascii="Times New Roman" w:cs="Times New Roman" w:eastAsia="Times New Roman" w:hAnsi="Times New Roman"/>
          <w:sz w:val="18"/>
          <w:szCs w:val="18"/>
          <w:color w:val="auto"/>
        </w:rPr>
        <w:t>” means any agreement among the Company and its Subsidiaries, an Affiliated Professional Entity, and an equityholder of an Affiliated Professional Entity which prevents or limits the equityholder of an Affiliated Professional Entity from transferring the equity interests of such Affiliated Professional Entity.</w:t>
      </w:r>
    </w:p>
    <w:p>
      <w:pPr>
        <w:spacing w:after="0" w:line="17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software and computer programs, including all software implementations of algorithms, models and methodologies, whether in source code, object code or other form, whether or not copyrightable, and all versions, updates, corrections, enhancements, and modifications thereto, and all related documentation, developer notes, comments, training materials and annotations thereto.</w:t>
      </w:r>
    </w:p>
    <w:p>
      <w:pPr>
        <w:spacing w:after="0" w:line="176"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means that certain Sponsor Support Agreement, dated as of January 12, 2021, by and among HEC Sponsor LLC, a Delaware limited liability company, the persons set forth on Schedule I thereto, Hudson Executive Investment Corp., a Delaware corporation, and Groop Internet Platform, Inc., a Delaware corporation.</w:t>
      </w:r>
    </w:p>
    <w:p>
      <w:pPr>
        <w:spacing w:after="0" w:line="176"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means (i) any corporation, limited liability company, partnership, association, trust or other entity of which securities or other ownership interests representing more than 50% of the ordinary voting power (or, in the case of a partnership, more than 50% of the general partnership interests) are, as of such date, owned by such Person or one or more Subsidiaries of such Person or by such Person and one or more Subsidiaries of such Person or (ii) of which such Person or one of its Subsidiaries is a general partner or manager. For the avoidance of doubt, a Subsidiary of the Company shall not include any of the Affiliated Professional Entities.</w:t>
      </w:r>
    </w:p>
    <w:p>
      <w:pPr>
        <w:spacing w:after="0" w:line="183" w:lineRule="exact"/>
        <w:rPr>
          <w:sz w:val="20"/>
          <w:szCs w:val="20"/>
          <w:color w:val="auto"/>
        </w:rPr>
      </w:pPr>
    </w:p>
    <w:p>
      <w:pPr>
        <w:ind w:left="120"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Returns</w:t>
      </w:r>
      <w:r>
        <w:rPr>
          <w:rFonts w:ascii="Times New Roman" w:cs="Times New Roman" w:eastAsia="Times New Roman" w:hAnsi="Times New Roman"/>
          <w:sz w:val="17"/>
          <w:szCs w:val="17"/>
          <w:color w:val="auto"/>
        </w:rPr>
        <w:t>” mean any reports, returns, information returns, filings, claims for refund or other information filed or required to be filed with a Governmental Authority in connection with Taxes, including any schedules or attachments thereto, and any amendments to any of the foregoing.</w:t>
      </w:r>
    </w:p>
    <w:p>
      <w:pPr>
        <w:spacing w:after="0" w:line="140"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imposts, levies, duties, withholdings or other like assessments or charges, in each case in the nature of a tax, imposed by a Governmental Authority, together with all interest, penalties and additions imposed with respect to such amounts.</w:t>
      </w:r>
    </w:p>
    <w:p>
      <w:pPr>
        <w:spacing w:after="0" w:line="162"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Payor Programs</w:t>
      </w:r>
      <w:r>
        <w:rPr>
          <w:rFonts w:ascii="Times New Roman" w:cs="Times New Roman" w:eastAsia="Times New Roman" w:hAnsi="Times New Roman"/>
          <w:sz w:val="18"/>
          <w:szCs w:val="18"/>
          <w:color w:val="auto"/>
        </w:rPr>
        <w:t>” means all third-party payor programs in which the Company or any of its Subsidiaries or any of the Affiliated Professional Entities participates in, including Medicare, Medicaid, TRICARE and any other federal, state, local or government agency-funded health care programs, as well as managed care plans, private, non-governmental insurance, workers compensation programs, and administered self-funded employer or union plans.</w:t>
      </w:r>
    </w:p>
    <w:p>
      <w:pPr>
        <w:spacing w:after="0" w:line="180"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is defined in the definition of Intellectual Property.</w:t>
      </w:r>
    </w:p>
    <w:p>
      <w:pPr>
        <w:spacing w:after="0" w:line="15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this Agreement, including the Merger.</w:t>
      </w:r>
    </w:p>
    <w:p>
      <w:pPr>
        <w:spacing w:after="0" w:line="225"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or a material failure to perform, any representation, warranty or covenant set forth in this Agreement, in each case that is the consequence of an intentional act or intentional omission by the breaching party with the actual knowledge that the taking of such act or failure to take such act would result in such material breach or material failure to perform.</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the Warrant Agreement between Hudson Executive Investment Corp. and Continental Stock Transfer &amp; Trust Company, dated June 8, 2020.</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terms are defined on the page of this Agreement set forth after such term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Terms Not Defined in this Section 8.12</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5.02(f)</w:t>
            </w:r>
          </w:p>
        </w:tc>
        <w:tc>
          <w:tcPr>
            <w:tcW w:w="0" w:type="dxa"/>
            <w:vAlign w:val="bottom"/>
          </w:tcPr>
          <w:p>
            <w:pPr>
              <w:spacing w:after="0" w:line="20" w:lineRule="exact"/>
              <w:rPr>
                <w:sz w:val="1"/>
                <w:szCs w:val="1"/>
                <w:color w:val="auto"/>
              </w:rPr>
            </w:pPr>
          </w:p>
        </w:tc>
      </w:tr>
      <w:tr>
        <w:trPr>
          <w:trHeight w:val="191"/>
        </w:trPr>
        <w:tc>
          <w:tcPr>
            <w:tcW w:w="40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Acceptable Confidentiality Agreement</w:t>
            </w:r>
          </w:p>
        </w:tc>
        <w:tc>
          <w:tcPr>
            <w:tcW w:w="3100" w:type="dxa"/>
            <w:vAlign w:val="bottom"/>
            <w:vMerge w:val="continue"/>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1"/>
              </w:rPr>
              <w:t>Section</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3.07</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5.02(d)</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3.22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5.04</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Appraisal Shares</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2.08(a)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Option</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2.03(d)</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RSU</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2.03(b)</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3.05(c)</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3.03(a)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2.01(c)</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3.02(a)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1.03</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5.06(c)</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1.02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1.02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Acquisition Agreement</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5.02(d)</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Article III</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ESPP</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2.05</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3.13(b)</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3.02(a)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7.03(c)</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3.05(a)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3.02(b)</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Software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3.13(i)</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3.03(c)</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5.12(b)</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w w:val="98"/>
              </w:rPr>
              <w:t>Section 7.03(a)(ii)</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Comparability Period</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5.07(a)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5.05</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5.07(a)</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DOJ</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5.03(d)</w:t>
            </w: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w:t>
            </w:r>
          </w:p>
        </w:tc>
        <w:tc>
          <w:tcPr>
            <w:tcW w:w="442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Section 8.16(a)</w:t>
            </w:r>
          </w:p>
        </w:tc>
        <w:tc>
          <w:tcPr>
            <w:tcW w:w="0" w:type="dxa"/>
            <w:vAlign w:val="bottom"/>
          </w:tcPr>
          <w:p>
            <w:pPr>
              <w:spacing w:after="0"/>
              <w:rPr>
                <w:sz w:val="1"/>
                <w:szCs w:val="1"/>
                <w:color w:val="auto"/>
              </w:rPr>
            </w:pPr>
          </w:p>
        </w:tc>
      </w:tr>
      <w:tr>
        <w:trPr>
          <w:trHeight w:val="364"/>
        </w:trPr>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A-63</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Terms Not Defined in this Section 8.12</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2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DTC</w:t>
            </w:r>
          </w:p>
        </w:tc>
        <w:tc>
          <w:tcPr>
            <w:tcW w:w="482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1"/>
              </w:rPr>
              <w:t>Section</w:t>
            </w:r>
          </w:p>
        </w:tc>
        <w:tc>
          <w:tcPr>
            <w:tcW w:w="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2.02(b)(i)</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ESPP Purchase Date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Existing Purchase Period</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Filed SEC Documents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Article III</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FTC</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5.03(d)</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Healthcare Professional</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3.18(g)</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w w:val="98"/>
              </w:rPr>
              <w:t>Section 5.01(b)(v)</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Indemnitee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5.06(a)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Indemnitees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5.06(a)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Judgment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3.07</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Laws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3.08(a)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Match Right Notice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5.02(d)</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3.16(a)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2.01(c)</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Non-U.S. Company Plan</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3.10(j)</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OIG</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3.18(b)</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7.01(b)(i)</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7.03(c)</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3.08(b)</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Proprietary Information</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8.12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Referral Recipient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3.18(e)</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Referral Source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3.18(e)</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Restraints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6.01(a)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Restriction</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5.03(d)</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 Clearance Date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5.12(a)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Secretary of State of Delaware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Section 409A</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3.05(a)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Share Certificate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2.01(c)</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5.02(h)</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Takeover Law</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3.19(b)</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Takeover Proposal</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5.02(g)</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8.12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Vested Company RSU</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2.03(a)</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Vested Company Stock Option</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2.03(c)</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Agreements</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Warrant Price</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2.06</w:t>
            </w: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Wells Fargo</w:t>
            </w:r>
          </w:p>
        </w:tc>
        <w:tc>
          <w:tcPr>
            <w:tcW w:w="614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Section 3.20</w:t>
            </w:r>
          </w:p>
        </w:tc>
      </w:tr>
      <w:tr>
        <w:trPr>
          <w:trHeight w:val="364"/>
        </w:trPr>
        <w:tc>
          <w:tcPr>
            <w:tcW w:w="2340" w:type="dxa"/>
            <w:vAlign w:val="bottom"/>
          </w:tcPr>
          <w:p>
            <w:pPr>
              <w:spacing w:after="0"/>
              <w:rPr>
                <w:sz w:val="24"/>
                <w:szCs w:val="24"/>
                <w:color w:val="auto"/>
              </w:rPr>
            </w:pPr>
          </w:p>
        </w:tc>
        <w:tc>
          <w:tcPr>
            <w:tcW w:w="614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rPr>
              <w:t>A-64</w:t>
            </w:r>
          </w:p>
        </w:tc>
      </w:tr>
    </w:tbl>
    <w:p>
      <w:pPr>
        <w:sectPr>
          <w:pgSz w:w="11900" w:h="16838" w:orient="portrait"/>
          <w:cols w:equalWidth="0" w:num="1">
            <w:col w:w="10139"/>
          </w:cols>
          <w:pgMar w:left="320" w:top="455"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Whether or not the Transactions are consummated, all fees and expenses incurred in connection with this Agreement and the Transactions shall be paid by the party incurring or required to incur such fees or expenses, except as otherwise expressly set forth in this Agreement.</w:t>
      </w:r>
    </w:p>
    <w:p>
      <w:pPr>
        <w:spacing w:after="0" w:line="176" w:lineRule="exact"/>
        <w:rPr>
          <w:sz w:val="20"/>
          <w:szCs w:val="20"/>
          <w:color w:val="auto"/>
        </w:rPr>
      </w:pPr>
    </w:p>
    <w:p>
      <w:pPr>
        <w:ind w:left="120"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value-added and other similar Taxes and fees incurred in connection with the Transactions shall be paid by Parent or Merger Sub when due and shall not be a liability of any holder of Company Common Stock or the Company.</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Performance Guaranty</w:t>
      </w:r>
      <w:r>
        <w:rPr>
          <w:rFonts w:ascii="Times New Roman" w:cs="Times New Roman" w:eastAsia="Times New Roman" w:hAnsi="Times New Roman"/>
          <w:sz w:val="18"/>
          <w:szCs w:val="18"/>
          <w:color w:val="auto"/>
        </w:rPr>
        <w:t>. Parent hereby guarantees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 by the Surviving Corporation.</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20" w:right="80" w:firstLine="987"/>
        <w:spacing w:after="0" w:line="252" w:lineRule="auto"/>
        <w:tabs>
          <w:tab w:leader="none" w:pos="135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 reference is made in this Agreement to an Article, a Section, an Exhibit or a Schedule, such reference shall be to an Article of, a Section of, an Exhibit to or a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and words of similar import refer to documents (A) posted to the “Project Toto” electronic datasite hosted by Datasite on behalf of the Company or (B) delivered in person or electronically to Parent or Merger Sub or their respective Representatives, in the case of each of </w:t>
      </w:r>
      <w:r>
        <w:rPr>
          <w:rFonts w:ascii="Times New Roman" w:cs="Times New Roman" w:eastAsia="Times New Roman" w:hAnsi="Times New Roman"/>
          <w:sz w:val="18"/>
          <w:szCs w:val="18"/>
          <w:u w:val="single" w:color="auto"/>
          <w:color w:val="auto"/>
        </w:rPr>
        <w:t>clauses</w:t>
      </w:r>
    </w:p>
    <w:p>
      <w:pPr>
        <w:spacing w:after="0" w:line="5" w:lineRule="exact"/>
        <w:rPr>
          <w:rFonts w:ascii="Times New Roman" w:cs="Times New Roman" w:eastAsia="Times New Roman" w:hAnsi="Times New Roman"/>
          <w:sz w:val="18"/>
          <w:szCs w:val="18"/>
          <w:color w:val="auto"/>
        </w:rPr>
      </w:pPr>
    </w:p>
    <w:p>
      <w:pPr>
        <w:ind w:left="120" w:hanging="4"/>
        <w:spacing w:after="0" w:line="251" w:lineRule="auto"/>
        <w:tabs>
          <w:tab w:leader="none" w:pos="415" w:val="left"/>
        </w:tabs>
        <w:numPr>
          <w:ilvl w:val="0"/>
          <w:numId w:val="26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or (B), prior to the execution and delivery of this Agreement.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including all attachments thereto and instruments incorporated therein. References herein to any statute include all rules and regulations promulgated thereunder. Unless otherwise specifically indicated, all references to “dollars” or “$” shall refer to the lawful money of the U.S. References to a Person are also to its permitted assigns and successors.</w:t>
      </w:r>
    </w:p>
    <w:p>
      <w:pPr>
        <w:spacing w:after="0" w:line="193" w:lineRule="exact"/>
        <w:rPr>
          <w:rFonts w:ascii="Times New Roman" w:cs="Times New Roman" w:eastAsia="Times New Roman" w:hAnsi="Times New Roman"/>
          <w:sz w:val="18"/>
          <w:szCs w:val="18"/>
          <w:u w:val="single" w:color="auto"/>
          <w:color w:val="auto"/>
        </w:rPr>
      </w:pPr>
    </w:p>
    <w:p>
      <w:pPr>
        <w:ind w:left="120" w:right="20" w:firstLine="987"/>
        <w:spacing w:after="0" w:line="266" w:lineRule="auto"/>
        <w:tabs>
          <w:tab w:leader="none" w:pos="136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u w:val="single" w:color="auto"/>
          <w:color w:val="auto"/>
        </w:rPr>
        <w:t>PARENT: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5971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UHS MERGER SUBSIDIARY,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5971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ectPr>
          <w:pgSz w:w="11900" w:h="16838" w:orient="portrait"/>
          <w:cols w:equalWidth="0" w:num="1">
            <w:col w:w="10700"/>
          </w:cols>
          <w:pgMar w:left="320" w:top="455" w:right="8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TALKSPACE,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Jon R. Cohen</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 Jon R.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-127635</wp:posOffset>
            </wp:positionV>
            <wp:extent cx="26574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ectPr>
          <w:pgSz w:w="11900" w:h="16838" w:orient="portrait"/>
          <w:cols w:equalWidth="0" w:num="1">
            <w:col w:w="10700"/>
          </w:cols>
          <w:pgMar w:left="320" w:top="455" w:right="8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Certificate of Incorporation of the Surviving Corporation</w:t>
      </w:r>
    </w:p>
    <w:p>
      <w:pPr>
        <w:spacing w:after="0" w:line="1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0139"/>
          </w:cols>
          <w:pgMar w:left="320" w:top="455"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VOTING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9, 2026, is entered into by and among Universal Health Services,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executing this Agreement as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on the signature pages hereto (each, a “Holder”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this Agreement, Parent, UHS Merger Subsidiary,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Talkspace,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an Agreement and Plan of Merger (as the same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with the Company surviving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Holder is the record or “beneficial owner” (within the meaning of Rule 13d-3 under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and is entitled to dispose and vote, the number of shares of (a) Company Common Stock and (b) other securities (including Company Warrants) convertible into, or exercisable or exchangeable for, shares of Company Common Stock (such shares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set forth next to such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material inducement to Parent to enter into the Merger Agreement, Parent has requested each Holder to agree, and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such Holder’s capacity as a record or beneficial owner of the Subject Shares) has agreed, to enter into this Agreement and abide by the covenants and obligations set forth herein with respect to the Subject Shares.</w:t>
      </w:r>
    </w:p>
    <w:p>
      <w:pPr>
        <w:spacing w:after="0" w:line="17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and agreements herein contained, the parties hereto, intending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legally bound hereby, agree as follows:</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Definitions; Interpretation</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as used in this Agreement, shall have the meanings set forth below. Capitalized terms used but not defined herein shall have the meanings given to such terms in the Merger Agreement.</w:t>
      </w:r>
    </w:p>
    <w:p>
      <w:pPr>
        <w:spacing w:after="0" w:line="162"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xml:space="preserve">” means any shares of Company Common Stock that a Holder or its Affiliates purchases or with respect to which a Holder or its Affiliates otherwise acquires record or beneficial ownership of, on or after the date of this Agreement and prior to the valid termination of this Agreement in accordance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including any shares issued or issuable upon the conversion, vesting, exercise or exchange, as the case may be, of all securities (including Company Warrants) held by a Holder that are convertible into, or exercisable or exchangeable for, shares of Company Common Stock.</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means, collectively, the Existing Shares and the New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987"/>
        <w:spacing w:after="0" w:line="266" w:lineRule="auto"/>
        <w:tabs>
          <w:tab w:leader="none" w:pos="135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 Schedule, such reference shall be to a Schedule to this Agreement unless otherwise indicated. When a reference is made in this Agreement to a Section or Article, such reference shall be to the corresponding Section or Article of this Agreement unless otherwise indicated.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descriptive headings contained in this Agreement are included for convenience of reference only and will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90" w:lineRule="exact"/>
        <w:rPr>
          <w:sz w:val="20"/>
          <w:szCs w:val="20"/>
          <w:color w:val="auto"/>
        </w:rPr>
      </w:pPr>
    </w:p>
    <w:p>
      <w:pPr>
        <w:ind w:left="120" w:firstLine="987"/>
        <w:spacing w:after="0" w:line="266" w:lineRule="auto"/>
        <w:tabs>
          <w:tab w:leader="none" w:pos="136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Each 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Holder hereby represents and warrants, severally and not jointly, to Parent that:</w:t>
      </w:r>
    </w:p>
    <w:p>
      <w:pPr>
        <w:spacing w:after="0" w:line="117"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If such Holder is not an individual, such Holder is duly formed, organized or incorporated, validly existing and in good standing (where such concept is recognized under applicable Law) under the Laws of the jurisdiction of its formation, organization or incorporation.</w:t>
      </w:r>
    </w:p>
    <w:p>
      <w:pPr>
        <w:spacing w:after="0" w:line="14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Ownership of Subject Shares</w:t>
      </w:r>
      <w:r>
        <w:rPr>
          <w:rFonts w:ascii="Times New Roman" w:cs="Times New Roman" w:eastAsia="Times New Roman" w:hAnsi="Times New Roman"/>
          <w:sz w:val="18"/>
          <w:szCs w:val="18"/>
          <w:color w:val="auto"/>
        </w:rPr>
        <w:t xml:space="preserve">. Except to the extent any Existing Shares or New Shares are Transferred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the Existing Shares are currently and during the term of this Agreement will be, and the New Shares will be, beneficially owned (as defined in Rule 13d-3 promulgated under the Exchange Act) or owned of record by such Holder. Such Holder is the record or beneficial owner of, and has, with respect to such Holder’s Existing Shares, and will have with respect to such Holder’s New Shares, good and marketable title to, such Holder’s Subject Shares, free and clear of all Encumbrances, except for any Encumbrances as (a) may be created or imposed pursuant to this Agreement, the organizational documents of the Company, or the Securities Act or other applicable securities Laws or (b) expressly contemplated by the Merger Agreement. Such Holder does not, and will not, legally or beneficially own (within the meaning of Section 13 of the Exchange Act) any Shares or other securities in the Company (or any of the Company’s Subsidiaries) other than the Subject Shares. Except as contemplated by this Agreement, such Holder has and will have during the term of this Agreement the sole right to vote (including the right to control such vote as contemplated herein) such Holder’s Subject Shares, and no Subject Share of such Holder is subject to any voting trust or other agreement with respect to the voting thereof. Such Holder has and will have during the term of this Agreement the sole right to dispose of such Holder’s Subject Shares and the sole power to issue instructions with respect to the matters set forth herein, and the sole power to agree to all of the matters set forth in this Agreement, with no restrictions, subject to the Securities Act and other applicable securities Laws, on such Holder’s rights of disposition of such Holder’s Subject Shares. Except as contemplated by this Agreement, (i) there are no agreements or arrangements of any kind, contingent or otherwise, obligating such Holder to sell, transfer, pledge,</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assign, exchange, lend, encumber or otherwise dispose of, whether voluntarily, involuntarily, by operation of law or otherwise (collectively,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or cause to be Transferred any such Holder’s Subject Shares or otherwise relating to the Transfer of any such Holder’s Subject Shares and (ii) no Person has any contractual or other right or obligation to purchase or otherwise acquire beneficial ownership of any of such Subject Shares of such Holder.</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If such Holder is not an individual, such Holder has all necessary power and authority to execute and deliver this Agreement and to perform such Holder’s obligations hereunder and the execution and delivery by such Holder of this Agreement and the performance by such Holder of such Holder’s obligations hereunder have been duly authorized and approved by all requisite action, and no other action on the part of such Holder is necessary to authorize the execution and delivery of this Agreement or the performance by such Holder of such Holder’s obligations hereunder. If such Holder is an individual, such Holder has the requisite legal capacity, right and authority to execute and deliver this Agreement and to perform such Holder’s obligations under this Agreement. If such Stockholder is a trust, no consent of any beneficiary is required for the execution and delivery of this Agreement or the consummation of the transactions contemplated hereby. This Agreement has been duly executed and delivered by such Holder and, assuming due authorization, execution and delivery hereof by Parent, constitutes a legal, valid and binding obligation of such Holder, enforceable against such Holder in accordance with its terms, except as enforcement may be limited by the Bankruptcy and Equity Exception. If such Holder is married and any of such Holder’s Subject Shares constitute community property or spousal approval is otherwise necessary for this Agreement to be legal, valid, binding and enforceable, this Agreement has been duly executed and delivered by, and, assuming the due authorization, execution and delivery by Parent, constitutes the legal, valid and binding obligation of, such Holder’s spouse, enforceable in accordance with its terms except, in each case, as enforcement may be limited by the Bankruptcy and Equity Exception.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 Conflicts; Governmental Approvals.</w:t>
      </w:r>
    </w:p>
    <w:p>
      <w:pPr>
        <w:spacing w:after="0" w:line="225" w:lineRule="exact"/>
        <w:rPr>
          <w:sz w:val="20"/>
          <w:szCs w:val="20"/>
          <w:color w:val="auto"/>
        </w:rPr>
      </w:pPr>
    </w:p>
    <w:p>
      <w:pPr>
        <w:ind w:left="120" w:firstLine="987"/>
        <w:spacing w:after="0" w:line="270" w:lineRule="auto"/>
        <w:tabs>
          <w:tab w:leader="none" w:pos="1356"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execution and delivery of this Agreement by such Holder, nor the performance or compliance by such Holder with any of the terms or provisions hereof, will (i) if such Holder is not an individual, conflict with or violate any provision of the organizational documents of such Holder or (ii)(A) assuming that the actions described in </w:t>
      </w:r>
      <w:r>
        <w:rPr>
          <w:rFonts w:ascii="Times New Roman" w:cs="Times New Roman" w:eastAsia="Times New Roman" w:hAnsi="Times New Roman"/>
          <w:sz w:val="17"/>
          <w:szCs w:val="17"/>
          <w:u w:val="single" w:color="auto"/>
          <w:color w:val="auto"/>
        </w:rPr>
        <w:t>Section 2.04(b)</w:t>
      </w:r>
      <w:r>
        <w:rPr>
          <w:rFonts w:ascii="Times New Roman" w:cs="Times New Roman" w:eastAsia="Times New Roman" w:hAnsi="Times New Roman"/>
          <w:sz w:val="17"/>
          <w:szCs w:val="17"/>
          <w:color w:val="auto"/>
        </w:rPr>
        <w:t xml:space="preserve"> have been completed prior to or promptly after the Effective Time, violate any Law applicable to such Holder or by which such Holder’s assets or properties are bound or (B)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Holder (including such Holder’s Subject Shares) pursuant to, any note, bond, mortgage, indenture, contract (whether written or oral), agreement, lease, license, permit, franchise or other instrument or obligation to which such Holder is a party or by which such Holder or any of such Holder’s assets or properties is bound, except for any of the foregoing as would not individually or in the aggregate, reasonably be expected to prevent or materially impair or interfere with the ability of such Holder to perform such Holder’s obligations hereunder in any material respect or consummate the transactions contemplated hereby on a timely basis.</w:t>
      </w:r>
    </w:p>
    <w:p>
      <w:pPr>
        <w:spacing w:after="0" w:line="176" w:lineRule="exact"/>
        <w:rPr>
          <w:rFonts w:ascii="Times New Roman" w:cs="Times New Roman" w:eastAsia="Times New Roman" w:hAnsi="Times New Roman"/>
          <w:sz w:val="17"/>
          <w:szCs w:val="17"/>
          <w:color w:val="auto"/>
        </w:rPr>
      </w:pPr>
    </w:p>
    <w:p>
      <w:pPr>
        <w:jc w:val="both"/>
        <w:ind w:left="120" w:right="280" w:firstLine="987"/>
        <w:spacing w:after="0" w:line="261" w:lineRule="auto"/>
        <w:tabs>
          <w:tab w:leader="none" w:pos="136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filing, declaration or registration with, any Governmental Authority is necessary for the execution and delivery of this Agreement by such Holder or the performance by such Holder of such Holder’s obligations hereunder, other than filings with the SEC under the Exchange Act and such reports under, and such other compliance with, the Exchange Act and other applicable securities Laws as may be required in connection with this Agreement and the transactions contemplated by this Agreement and the Merger Agreement.</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is no pending or, to the knowledge of such Holder, threatened in writing, legal, civil, criminal or administrative Action against such Holder except as would not, individually or in the aggregate, be reasonably expected to prevent or materially impair or interfere with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ability of such Holder to perform such Holder’s obligations hereunder in any material respect or consummate the transactions contemplated hereby on a timely basis. There is no outstanding Judgment imposed upon such Holder or any of such Holder’s Affiliates except as would not, individually or in the aggregate, be reasonably expected to prevent or materially impair or interfere with the ability of such Holder to perform such Holder’s obligations hereunder in any material respect on a timely basis.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No broker, investment banker, financial advisor or other Person is entitled to any broker’s, finder’s, financial advisor’s or other similar fee or commission in connection with the transactions contemplated by this Agreement based upon arrangements made by or, to the knowledge of such Holder, on behalf of such Holder.</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Parent Reliance; Merger Agreement Governs</w:t>
      </w:r>
      <w:r>
        <w:rPr>
          <w:rFonts w:ascii="Times New Roman" w:cs="Times New Roman" w:eastAsia="Times New Roman" w:hAnsi="Times New Roman"/>
          <w:sz w:val="18"/>
          <w:szCs w:val="18"/>
          <w:color w:val="auto"/>
        </w:rPr>
        <w:t>. Such Holder understands and acknowledges that Parent is entering into the Merger Agreement in reliance upon the execution and delivery of this Agreement by such Holder and the representations, warranties and covenants of such Holder contained herein. The Merger Agreement governs the terms of the Merger and the other transactions contemplated thereby.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Parent hereby represents and warrants to the Holders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Parent is a corporation duly organized, validly existing and in good standing under the Laws of Delaware.</w:t>
      </w:r>
    </w:p>
    <w:p>
      <w:pPr>
        <w:spacing w:after="0" w:line="225"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Parent has all necessary power and authority to execute and deliver this Agreement and to perform Parent’s obligations hereunder. The execution and delivery by Parent of this Agreement and the performance by Parent of Parent’s obligations hereunder have been duly authorized and approved by all requisite action, and no other action on the part of Parent is necessary to authorize the execution and delivery of this Agreement or the performance by Parent of Parent’s obligations hereunder. This Agreement has been duly executed and delivered by Parent and, assuming due authorization, execution and delivery hereof by the Holders, constitutes a legal, valid and binding obligation of Parent, enforceable against Parent in accordance with its terms, except as enforcement may be limited by the Bankruptcy and Equity Exception.</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Covenants of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each Holder irrevocably and unconditionally agrees that at the Company Stockholders’ Meeting or at any other meeting of the Company’s stockholders (whether annual or special and whether or not an adjourned or postponed meeting, however called, and including any adjournment or postponement thereof) and, with respect to the matters described below in </w:t>
      </w:r>
      <w:r>
        <w:rPr>
          <w:rFonts w:ascii="Times New Roman" w:cs="Times New Roman" w:eastAsia="Times New Roman" w:hAnsi="Times New Roman"/>
          <w:sz w:val="18"/>
          <w:szCs w:val="18"/>
          <w:u w:val="single" w:color="auto"/>
          <w:color w:val="auto"/>
        </w:rPr>
        <w:t>clauses (ii)(A)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in connection with any action proposed to be taken by written consent of the Company’s stockholders: (i) when such a meeting of the Company’s stockholders is held, such Holder shall appear at such meeting or otherwise cause the Subject Shares to be counted as present thereat for the purpose of establishing a quorum and, if applicable, vote in favor of any proposal to adjourn, recess or postpone any meeting of the Company’s stockholders at which the Merger Agreement or any other actions contemplated by the Merger Agreement is submitted for the consideration and vote of the Company’s stockholders to a later date if there are not proxies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7"/>
          <w:szCs w:val="17"/>
          <w:color w:val="auto"/>
        </w:rPr>
        <w:t xml:space="preserve">representing a sufficient number of shares of Company Common Stock to approve such matters on the date on which the meeting is held, and (ii) such Holder shall vote or cause to be voted at any such meeting (and at every postponement, recess or adjournment thereof), or execute and deliver or cause to be executed and delivered a written consent with respect to, all of such Holder’s Subject Shares (A) in favor of adopting the Merger Agreement and any other actions contemplated by the Merger Agreement in respect of which the approval of the Company’s stockholders is requested; (B) in favor of adoption of any proposal in respect of which the Board of Directors of the Company has (1) determined is reasonably necessary to facilitate any of the transactions contemplated by the Merger Agreement, (2) disclosed the determination described in the foregoing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in the Proxy Statement or other written materials disseminated to the Company’s stockholders and (3) recommended to be adopted or approved by the Company’s stockholders;</w:t>
      </w:r>
    </w:p>
    <w:p>
      <w:pPr>
        <w:spacing w:after="0" w:line="2" w:lineRule="exact"/>
        <w:rPr>
          <w:sz w:val="20"/>
          <w:szCs w:val="20"/>
          <w:color w:val="auto"/>
        </w:rPr>
      </w:pPr>
    </w:p>
    <w:p>
      <w:pPr>
        <w:ind w:left="400" w:hanging="284"/>
        <w:spacing w:after="0"/>
        <w:tabs>
          <w:tab w:leader="none" w:pos="4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the extent permitted by the Merger Agreement) to adjourn, recess or postpone the applicable meeting; and (D) against</w:t>
      </w:r>
    </w:p>
    <w:p>
      <w:pPr>
        <w:spacing w:after="0" w:line="9" w:lineRule="exact"/>
        <w:rPr>
          <w:rFonts w:ascii="Times New Roman" w:cs="Times New Roman" w:eastAsia="Times New Roman" w:hAnsi="Times New Roman"/>
          <w:sz w:val="18"/>
          <w:szCs w:val="18"/>
          <w:color w:val="auto"/>
        </w:rPr>
      </w:pPr>
    </w:p>
    <w:p>
      <w:pPr>
        <w:ind w:left="120" w:right="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Takeover Proposal, whether or not constituting a Superior Proposal and (2)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covenants and agrees that such Holder shall not (i) enter into any agreement or undertaking (including any agreement or undertaking with a Person to vote or give instructions in a manner inconsistent with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or (ii) take any action or commit or agree to take any action, that would reasonably be expected to materially prevent, impair or interfere with such Holder’s ability to perform any of such Holder’s obligations pursuant to this Agreement.</w:t>
      </w:r>
    </w:p>
    <w:p>
      <w:pPr>
        <w:spacing w:after="0" w:line="179"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5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hereby revokes (and agrees to cause to be revoked) any and all proxies, if any, that such Holder has heretofore granted with respect to such Holder’s Subject Shares.</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deemed to vest in Parent any direct or indirect ownership or incidence of ownership of or with respect to any Subject Shares. All rights, ownership and economic benefits of and relating to the Subject Shares shall remain vested in and belong to the Holders. Furthermore, nothing contained in this Agreement shall require the Holders to: (i) convert, exercise or exchange any option or convertible securities in order to obtain any underlying Shares or (ii) vote, or execute any consent with respect to, any Shares underlying such options or convertible securities that have not yet been issued as of the applicable record date for that vote or consent.</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Proxy Card</w:t>
      </w:r>
      <w:r>
        <w:rPr>
          <w:rFonts w:ascii="Times New Roman" w:cs="Times New Roman" w:eastAsia="Times New Roman" w:hAnsi="Times New Roman"/>
          <w:sz w:val="18"/>
          <w:szCs w:val="18"/>
          <w:color w:val="auto"/>
        </w:rPr>
        <w:t xml:space="preserve">. Each Holder shall promptly (but in any event no later than five (5) Business Days prior to the Company Stockholders’ Meeting) execute and deliver to the Company or the Company’s proxy solicitor (or cause the holders of record of such Holder’s Subject Shares to execute and deliver to the Company or the Company’s proxy solicitor) any proxy card or voting instructions such Holder receives that is sent by the Company to its stockholders soliciting proxies with respect to any matter described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which shall be voted in the manner described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and such proxy card or voting instructions shall not be amended, withdrawn or rescinded.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Transfer and Other Restrictions</w:t>
      </w:r>
      <w:r>
        <w:rPr>
          <w:rFonts w:ascii="Times New Roman" w:cs="Times New Roman" w:eastAsia="Times New Roman" w:hAnsi="Times New Roman"/>
          <w:sz w:val="18"/>
          <w:szCs w:val="18"/>
          <w:color w:val="auto"/>
        </w:rPr>
        <w:t xml:space="preserve">. Prior to the Termination Date, each Holder shall not, directly or indirectly, (a) Transfer, or enter into any Contract, option or other arrangement or understanding with respect to the Transfer of, any Subject Shares to any Person, (b) tender into any tender or exchange offer any Subject Shares, whether voluntarily, involuntarily, by operation or otherwise or (c) enter into any voting arrangement, whether by proxy, voting agreement or otherwise, or grant a proxy or power of attorney or any other Contract, option or other arrangement or understanding with respect to the tendering, voting of or sale, transfer, assignment, pledge, encumbrance, hypothecation or similar disposition of (including by merger, by tendering into any tender or exchange offer, by testamentary disposition, by operation of law or otherwise) with respect to any Subject Shares, or deposit any Subject Shares into a voting trust. Notwithstanding the immediately preceding sentence,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shall not prohibit (i) a Transfer of any Subject Shares by a Holder (A) if such Holder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is an individual, to any immediate family member, including any spouse, brother or sister, adopted child or grandchild, or the spouse of any child, adopted child, grandchild, or adopted grandchild, or lineal descendant or antecedent of such Holder or a trust for the benefit of any such family member or lineal descendant or antecedent, (B) to any corporation, limited liability company, or partnership, the stockholders, members, and general and limited partners of which include only the persons named in the preceding </w:t>
      </w:r>
      <w:r>
        <w:rPr>
          <w:rFonts w:ascii="Times New Roman" w:cs="Times New Roman" w:eastAsia="Times New Roman" w:hAnsi="Times New Roman"/>
          <w:sz w:val="18"/>
          <w:szCs w:val="18"/>
          <w:u w:val="single" w:color="auto"/>
          <w:color w:val="auto"/>
        </w:rPr>
        <w:t>clause (i)(A)</w:t>
      </w:r>
      <w:r>
        <w:rPr>
          <w:rFonts w:ascii="Times New Roman" w:cs="Times New Roman" w:eastAsia="Times New Roman" w:hAnsi="Times New Roman"/>
          <w:sz w:val="18"/>
          <w:szCs w:val="18"/>
          <w:color w:val="auto"/>
        </w:rPr>
        <w:t xml:space="preserve"> or (C) to any person or entity if and solely to the extent required by any non-consensual, final and non-appealable Judgment, by divorce decree or by will or intestacy, or (D) as Parent may agree (prior to such Transfer) in writing in Parent’s sole and absolute discretion, so long as and only if, in the case of each of the foregoing </w:t>
      </w:r>
      <w:r>
        <w:rPr>
          <w:rFonts w:ascii="Times New Roman" w:cs="Times New Roman" w:eastAsia="Times New Roman" w:hAnsi="Times New Roman"/>
          <w:sz w:val="18"/>
          <w:szCs w:val="18"/>
          <w:u w:val="single" w:color="auto"/>
          <w:color w:val="auto"/>
        </w:rPr>
        <w:t>clauses (i)(A)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(i)(D)</w:t>
      </w:r>
      <w:r>
        <w:rPr>
          <w:rFonts w:ascii="Times New Roman" w:cs="Times New Roman" w:eastAsia="Times New Roman" w:hAnsi="Times New Roman"/>
          <w:sz w:val="18"/>
          <w:szCs w:val="18"/>
          <w:color w:val="auto"/>
        </w:rPr>
        <w:t xml:space="preserve">, the assignee or transferee of such Subject Shares agrees to be bound by the terms of this Agreement to the same effect as such Holder and executes and delivers to Parent a written consent and joinder memorializing such agreement in form reasonably acceptable to Parent, (ii) (A) the net settlement of such Holder’s options to purchase shares of Company Common Stock (to pay the exercise price thereof and any tax withholding obligations), (B) the net settlement of such Holder’s Company RSU settled in shares of Company Common Stock (to pay any tax withholding obligations), (C) the exercise of such Holder’s Company Stock Options, to the extent such Company Stock Options would expire prior to the Effective Time, or (D) the sale of a sufficient number of shares of Company Common Stock acquired upon exercise of such Holder’s Company Stock Options pursuant to the foregoing </w:t>
      </w:r>
      <w:r>
        <w:rPr>
          <w:rFonts w:ascii="Times New Roman" w:cs="Times New Roman" w:eastAsia="Times New Roman" w:hAnsi="Times New Roman"/>
          <w:sz w:val="18"/>
          <w:szCs w:val="18"/>
          <w:u w:val="single" w:color="auto"/>
          <w:color w:val="auto"/>
        </w:rPr>
        <w:t>clause (ii)(C)</w:t>
      </w:r>
      <w:r>
        <w:rPr>
          <w:rFonts w:ascii="Times New Roman" w:cs="Times New Roman" w:eastAsia="Times New Roman" w:hAnsi="Times New Roman"/>
          <w:sz w:val="18"/>
          <w:szCs w:val="18"/>
          <w:color w:val="auto"/>
        </w:rPr>
        <w:t xml:space="preserve"> or upon the settlement of such Holder’s Company RSU, in each case as would generate sales proceeds sufficient to pay the aggregate applicable exercise price of shares then exercised under such Company Stock Options and the taxes payable by such Holder as a result of such exercise or settlement, or (iii) in the case of Douglas Braunstein individually, the transfer of up to [*] Subject Shares to one or more charitable trusts (which charitable trusts shall not be required to be bound by the terms of this Agreement). Any attempted Transfer of, or other action with respect to, Subject Shares or any interest therein in violation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Stock Dividends, etc</w:t>
      </w:r>
      <w:r>
        <w:rPr>
          <w:rFonts w:ascii="Times New Roman" w:cs="Times New Roman" w:eastAsia="Times New Roman" w:hAnsi="Times New Roman"/>
          <w:sz w:val="18"/>
          <w:szCs w:val="18"/>
          <w:color w:val="auto"/>
        </w:rPr>
        <w:t>. If, between the date of this Agreement and the Effective Time, the issued and outstanding Shares shall have been changed into a different number of shares or a different class by reason of the occurrence or record date of any stock dividend, subdivision, reclassification, recapitalization, split, combination, exchange of shares or similar transaction, the terms “Existing Shares,” “New Shares” and “Subject Shares” shall be appropriately adjusted to reflect such stock dividend, subdivision, reclassification, recapitalization, split, combination, exchange of shares or similar transaction.</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hereby irrevocably and unconditionally waives, and shall cause to be waived, any and all rights of appraisal or rights to dissent from the Merger or the other transactions contemplated by the Merger Agreement that such Holder may have under applicable Law. In addition, each Holder agrees not to demand or commence any appraisal proceeding under Section 262 of the DGCL with respect to such Holder’s Subject Shares.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hereby authorizes the Company, Parent and Merger Sub to publish and disclose in any announcement or disclosure required by the SEC and in the Proxy Statement and the filings required under applicable Law in connection with the Merger and any transactions contemplated by the Merger Agreement, each Holder’s identity and ownership of the Subject Shares and the nature of each Holder’s obligations under this Agreement after providing each Holder with a reasonable opportunity to review and approve (such approval not to be unreasonably withheld, conditioned or delayed) such publication or disclosure prior to any such publication or disclosure. Parent hereby authorizes each Holder to disclose in any disclosure required by any Governmental Authority Parent’s identity and the nature of Parent’s obligations under this Agreement. Parent will not make any other disclosures regarding any Holder in any press release or otherwise without the prior written consent of such Holder (such approval not to be unreasonably withheld, conditioned or delayed).</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Fiduciary Responsibilities</w:t>
      </w:r>
      <w:r>
        <w:rPr>
          <w:rFonts w:ascii="Times New Roman" w:cs="Times New Roman" w:eastAsia="Times New Roman" w:hAnsi="Times New Roman"/>
          <w:sz w:val="18"/>
          <w:szCs w:val="18"/>
          <w:color w:val="auto"/>
        </w:rPr>
        <w:t>. Notwithstanding any provision of this Agreement to the contrary, this Agreement shall apply to each Holder solely in its capacity as a holder of Shares and not in any other capacity, and nothing in this Agreement shall limit, restrict or affect the rights, obligations and actions of (a)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Holder in such Holder’s capacity as an officer, director or employee of the Company and (b) any officer or director or designee of the Holders or their Affiliates serving on the Board of Directors of the Company from taking any action in his or her capacity as a director or officer of the Company or voting or providing written consent as a director of the Company in his or her sole discretion on any matter, whether in connection with the Merger Agreement or otherwise, and no action or omissions by any such Persons in his or her capacity as a director or officer of the Company shall be deemed to constitute a breach of any provision of this Agreement. However, for the avoidance of doubt, except as expressly provided otherwise in this Agreement, an Adverse Recommendation Change shall not relieve any such Holder of any obligation hereunder with respect to the Shares beneficially owned by such Holder or any New Shares.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Additional Existing Shares</w:t>
      </w:r>
      <w:r>
        <w:rPr>
          <w:rFonts w:ascii="Times New Roman" w:cs="Times New Roman" w:eastAsia="Times New Roman" w:hAnsi="Times New Roman"/>
          <w:sz w:val="18"/>
          <w:szCs w:val="18"/>
          <w:color w:val="auto"/>
        </w:rPr>
        <w:t>. Each Holder shall provide as promptly as reasonably practicable written notice to Parent of any additional Shares of which such Holder becomes the “beneficial owner” after the date hereof and during the term of this Agreement. Each Holder agrees that New Shares shall be subject to the terms and conditions of this Agreement to the same extent as if such New Shares constituted Existing Shares on the date hereof.</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No Participation in Litigation</w:t>
      </w:r>
      <w:r>
        <w:rPr>
          <w:rFonts w:ascii="Times New Roman" w:cs="Times New Roman" w:eastAsia="Times New Roman" w:hAnsi="Times New Roman"/>
          <w:sz w:val="18"/>
          <w:szCs w:val="18"/>
          <w:color w:val="auto"/>
        </w:rPr>
        <w:t xml:space="preserve">. Each Holder hereby agrees not to commence or participate in, and agrees to use reasonable best efforts to, if requested by Parent, take all actions necessary to opt out of any class in any class action with respect to, any claim, action, litigation or proceeding, derivative or otherwise, against Parent, Merger Sub, the Company or any of their respective Affiliates or any of the Affiliated Professional Entities relating to the negotiation, execution or delivery of this Agreement or the Merger Agreement or the consummation of the Merger, including any claim, action, litigation or proceeding (a) challenging the validity, or seeking to enjoin the operation, of any provision of this Agreement or the Merger Agreement or (b) alleging a breach of any fiduciary duty of any members of the Board of Directors of the Company in connection with the Merger Agreement or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restrict such Holder from enforcing any of his, her or its rights under the Merger Agreement or this Agreement.</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(unless an automated message indicating non-delivery is received with respect thereto) or sent by nationally recognized overnight courier (providing proof of delivery) to the parties at the following addresses: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Universal Health Services,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367 South Gulph Road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King of Prussia, PA 19406</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Matthew D. Klein, Senior Vice President and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444 West Lake Street, Suite 4000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Eric Orsic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eorsic@mcdermottlaw.com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any Holder,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The address set forth next to such Holder on </w:t>
      </w:r>
      <w:r>
        <w:rPr>
          <w:rFonts w:ascii="Times New Roman" w:cs="Times New Roman" w:eastAsia="Times New Roman" w:hAnsi="Times New Roman"/>
          <w:sz w:val="18"/>
          <w:szCs w:val="18"/>
          <w:u w:val="single" w:color="auto"/>
          <w:color w:val="auto"/>
        </w:rPr>
        <w:t>Schedule A</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100" w:right="8140" w:firstLine="7"/>
        <w:spacing w:after="0" w:line="265" w:lineRule="auto"/>
        <w:tabs>
          <w:tab w:leader="none" w:pos="1415"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Ninth Avenue New York, NY 10001 Attention: Minh Van Ngo</w:t>
      </w:r>
    </w:p>
    <w:p>
      <w:pPr>
        <w:ind w:left="1100" w:right="7980" w:firstLine="551"/>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M. Wark Email:  </w:t>
      </w:r>
      <w:r>
        <w:rPr>
          <w:rFonts w:ascii="Times New Roman" w:cs="Times New Roman" w:eastAsia="Times New Roman" w:hAnsi="Times New Roman"/>
          <w:sz w:val="17"/>
          <w:szCs w:val="17"/>
          <w:u w:val="single" w:color="auto"/>
          <w:color w:val="auto"/>
        </w:rPr>
        <w:t>mngo@cravath.com</w:t>
      </w:r>
    </w:p>
    <w:p>
      <w:pPr>
        <w:ind w:left="1740" w:hanging="82"/>
        <w:spacing w:after="0"/>
        <w:tabs>
          <w:tab w:leader="none" w:pos="1740"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awark@cravath.com</w:t>
      </w:r>
    </w:p>
    <w:p>
      <w:pPr>
        <w:spacing w:after="0" w:line="23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or such other address or email address as such party may hereafter specify by like notice to the other parties hereto. All such notices, requests and other communications shall be in writing and shall be deemed to have been received on the earliest of (i) the date when personally delivered, (ii) the date when transmitted via electronic e-mail address (unless an automated message indicating non-delivery is received with respect thereto) or (iii) the next succeeding Business Day following the day on which the same has been delivered prepaid to a reputable national overnight air courier service.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(as determined by a final judgement),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in whole or in part, by operation of law or otherwise, except (a) by any Holder (i) with the prior written consent of Parent or (ii) to a transferee of such Holder’s Shares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(b) by Parent (i) to any of Parent’s Affiliates or (ii) with the prior written consent of a majority (in terms of aggregate voting power) of the Subject Shares of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such assignment will not relieve the assigning party of its obligations under this Agreement. Any assignment in contravention of the preceding sentence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other documents delivered pursuant hereto) constitutes the entire agreement and supersedes all prior representations, conditions, agreements and understandings, both written and oral, among the parties hereto and their Affiliates, or any of them, with respect to the subject matter hereof. This Agreement is not intended to confer upon any Person, other than the parties hereto, any rights or remedies hereunder, including the right to rely upon the representations and warranties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a third-party beneficiary of, and entitled to enforce the provisions of,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all claims or causes of action (whether in contract or tort) that may be based upon, arise out of or relate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5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electronic signature, PDF or electronic mail with .pdf attachments), each of which shall be deemed to be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original but all of which taken together shall constitute one and the same agreement, and shall become effective when one or more counterparts have been signed by each of the parties hereto and delivered to the other parties hereto.</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Jurisdiction; Service of Process</w:t>
      </w:r>
      <w:r>
        <w:rPr>
          <w:rFonts w:ascii="Times New Roman" w:cs="Times New Roman" w:eastAsia="Times New Roman" w:hAnsi="Times New Roman"/>
          <w:sz w:val="18"/>
          <w:szCs w:val="18"/>
          <w:color w:val="auto"/>
        </w:rPr>
        <w:t xml:space="preserve">. The parties hereto agree that any action or proceeding seeking to enforce any provision of, or based on any matter arising out of or in connection with, this Agreement or the transactions contemplated by this Agreement shall be brought exclusively in the Court of Chancery of the State of Delaware (or, if the Court of Chancery of the State of Delaware declines to accept jurisdiction over any action or proceeding, any state or federal court within the State of Delaware). Each party hereto hereby irrevocably submits to the exclusive jurisdiction of each such court in respect of any legal or equitable action, suit or proceeding arising out of or relating to this Agreement or the transactions contemplated by this Agreement, or relating to enforcement of any of the terms of this Agreement, and hereby irrevocably waives, and agrees not to assert, as a defense in any such action, suit or proceeding, any claim that it is not subject personally to the jurisdiction of such court, that the action, suit or proceeding is brought in an inconvenient forum, that the venue of the action, suit or proceeding is improper or that this Agreement or the transactions contemplated by this Agreement may not be enforced in or by such courts. Each party hereto agrees that notice or the service of process upon such party in any action, suit or proceeding arising out of or relating to this Agreement or the transactions contemplated by this Agreement shall be properly served or delivered if delivered in the manner contemplated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in any other manner permitted by law.</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ACKNOWLEDGES AND AGREES THAT ANY CONTROVERSY WHICH MAY ARISE UNDER THIS AGREEMENT IS LIKELY TO INVOLVE COMPLICATED AND DIFFICULT ISSUES, AND THEREFORE SUCH PARTY HEREBY IRREVOCABLY AND UNCONDITIONALLY WAIVES, TO THE FULLEST EXTENT PERMITTED BY APPLICABLE LAW, ANY RIGHT SUCH PARTY MAY HAVE TO A TRIAL BY JURY IN RESPECT OF ANY LITIGATION DIRECTLY OR INDIRECTLY ARISING OUT OF OR RELATING TO THIS AGREEMENT AND ANY OF THE AGREEMENTS DELIVERED IN CONNECTION HEREWITH OR THE TRANSACTIONS CONTEMPLATED HEREBY. EACH PARTY CERTIFIES AND ACKNOWLEDGES THAT (A) NO REPRESENTATIVE, AGENT OR ATTORNEY OF ANY OTHER PARTY HAS REPRESENTED, EXPRESSLY OR OTHERWISE, THAT SUCH OTHER PARTY WOULD NOT, IN THE EVENT OF LITIGATION, SEEK TO ENFORCE THE FOREGOING WAIVER, (B) SUCH PARTY UNDERSTANDS AND HAS CONSIDERED THE IMPLICATIONS OF SUCH WAIVER, (C) SUCH PARTY MAKES SUCH WAIVER VOLUNTARILY AND (D)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6" w:lineRule="auto"/>
        <w:tabs>
          <w:tab w:leader="none" w:pos="135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in the event of any breach of this Agreement, irreparable harm would occur that monetary damages could not make whole. It is accordingly agreed that (i) each party hereto shall be entitled, in addition to any other remedy to which it may be entitled at law or in equity, to compel specific performance to prevent or restrain breaches or threatened breaches of this Agreement and to enforce specifically the terms and provisions hereof in any action without the posting of a bond or undertaking, and (ii) the parties hereto shall, and hereby do, waive, in any action for specific performance, the defense of adequacy of a remedy at law and any other objections to specific performance of this Agreement, including any requirement for the securing or posting of any bond in connection with such remedy.</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6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parties’ rights to specific performance pursuant to </w:t>
      </w:r>
      <w:r>
        <w:rPr>
          <w:rFonts w:ascii="Times New Roman" w:cs="Times New Roman" w:eastAsia="Times New Roman" w:hAnsi="Times New Roman"/>
          <w:sz w:val="18"/>
          <w:szCs w:val="18"/>
          <w:u w:val="single" w:color="auto"/>
          <w:color w:val="auto"/>
        </w:rPr>
        <w:t>Section 5.09(a)</w:t>
      </w:r>
      <w:r>
        <w:rPr>
          <w:rFonts w:ascii="Times New Roman" w:cs="Times New Roman" w:eastAsia="Times New Roman" w:hAnsi="Times New Roman"/>
          <w:sz w:val="18"/>
          <w:szCs w:val="18"/>
          <w:color w:val="auto"/>
        </w:rPr>
        <w:t>, each party may pursue any other remedy available to it at law or in equity, including monetary damages. Any and all remedies herein expressly conferred upon a party hereto will be deemed cumulative with and not exclusive of any other remedy conferred hereby, or by law or equity upon such party, and the exercise by a party hereto of any one remedy will not preclude the exercise of any other remedy.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not be amended except by an instrument in writing signed by the parties hereto prior to the Effective Time. The failure of any party to assert any rights or remedies under this Agreement will not constitute a waiver of such rights or remedies. Any extension or waiver with respect to this Agreement will be valid only if set forth in an instrument in writing signed by the party or parties to be bound thereby.</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set forth herein or the Merger Agreement, each of the parties shall be responsible for its own fees and expenses (including the fees and expenses of investment bankers and accountants) in connection with the entering into and performance under this Agreement and the consummation of the transactions contemplated hereby.</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Holder hereby covenants and agrees to execute and deliver any additional documents reasonably necessary or desirable to carry out the purpose and intent of this Agreement and the Merger Agreement.</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and all obligations of the parties hereto hereunder shall automatically terminate, without further action by any party hereto, upon the earliest of (a) the Effective Time, (b) the valid termination of the Merger Agreement in accordance with its terms, (c) with respect to any Holder, the mutual written agreement of such Holder and Parent and (d) the entry, without the prior written consent of the Holders, into any material modification or amendment to the Merger Agreement that reduces the amount, changes the form or otherwise adversely affects the consideration payable to the Holders pursuant to the Merger Agreement as in effect on the date hereof (the date on which termination would occur pursuant to any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In the event of any such termination of this Agreement, this Agreement shall forthwith become null and void and have no effect, without any liability or obligation on the part of Parent or the applicable Holders, other than liability for any knowing intentional and material breach of this Agreement prior to such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the termination of this Agreement.</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written.</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35"/>
          <w:szCs w:val="35"/>
          <w:color w:val="auto"/>
          <w:vertAlign w:val="subscript"/>
        </w:rPr>
        <w:t>By:</w:t>
      </w:r>
      <w:r>
        <w:rPr>
          <w:rFonts w:ascii="Times New Roman" w:cs="Times New Roman" w:eastAsia="Times New Roman" w:hAnsi="Times New Roman"/>
          <w:sz w:val="18"/>
          <w:szCs w:val="18"/>
          <w:color w:val="auto"/>
        </w:rPr>
        <w:t xml:space="preserve"> /s/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45720</wp:posOffset>
            </wp:positionV>
            <wp:extent cx="25971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Name:Steve Filton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[Signature Page to Voting Agreement]</w:t>
      </w:r>
    </w:p>
    <w:p>
      <w:pPr>
        <w:sectPr>
          <w:pgSz w:w="11900" w:h="16838" w:orient="portrait"/>
          <w:cols w:equalWidth="0" w:num="1">
            <w:col w:w="10700"/>
          </w:cols>
          <w:pgMar w:left="320" w:top="455" w:right="8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HEC MASTER FUND LP</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 HEC PERFORMANCE GP LLC, ITS GENERAL</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BY: HEC MANAGEMENT GP LLC, ITS MANAGING</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 DOUGLAS L. BRAUNSTEIN, ITS MANAGING</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DOUGLAS L. BRAUNSTEIN</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Douglas L. Braunstein</w:t>
      </w:r>
    </w:p>
    <w:p>
      <w:pPr>
        <w:spacing w:after="0" w:line="7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BRAUNSTEIN 2015 TRUST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Voting Agreement]</w:t>
      </w:r>
    </w:p>
    <w:p>
      <w:pPr>
        <w:sectPr>
          <w:pgSz w:w="11900" w:h="16838" w:orient="portrait"/>
          <w:cols w:equalWidth="0" w:num="1">
            <w:col w:w="11040"/>
          </w:cols>
          <w:pgMar w:left="320" w:top="455" w:right="5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1920" w:type="dxa"/>
            <w:vAlign w:val="bottom"/>
          </w:tcPr>
          <w:p>
            <w:pPr>
              <w:spacing w:after="0"/>
              <w:rPr>
                <w:sz w:val="13"/>
                <w:szCs w:val="13"/>
                <w:color w:val="auto"/>
              </w:rPr>
            </w:pPr>
          </w:p>
        </w:tc>
        <w:tc>
          <w:tcPr>
            <w:tcW w:w="16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620" w:type="dxa"/>
            <w:vAlign w:val="bottom"/>
            <w:vMerge w:val="restart"/>
          </w:tcPr>
          <w:p>
            <w:pPr>
              <w:spacing w:after="0"/>
              <w:rPr>
                <w:sz w:val="13"/>
                <w:szCs w:val="13"/>
                <w:color w:val="auto"/>
              </w:rPr>
            </w:pPr>
          </w:p>
        </w:tc>
        <w:tc>
          <w:tcPr>
            <w:tcW w:w="18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Warrants</w:t>
            </w: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Company Stock</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RSUs</w:t>
            </w:r>
          </w:p>
        </w:tc>
        <w:tc>
          <w:tcPr>
            <w:tcW w:w="0" w:type="dxa"/>
            <w:vAlign w:val="bottom"/>
          </w:tcPr>
          <w:p>
            <w:pPr>
              <w:spacing w:after="0"/>
              <w:rPr>
                <w:sz w:val="1"/>
                <w:szCs w:val="1"/>
                <w:color w:val="auto"/>
              </w:rPr>
            </w:pPr>
          </w:p>
        </w:tc>
      </w:tr>
      <w:tr>
        <w:trPr>
          <w:trHeight w:val="160"/>
        </w:trPr>
        <w:tc>
          <w:tcPr>
            <w:tcW w:w="50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62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C</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VOTING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9, 2026, is entered into by and among Universal Health Services,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executing this Agreement as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on the signature pages hereto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this Agreement, Parent, UHS Merger Subsidiary,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Talkspace,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an Agreement and Plan of Merger (as the same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with the Company surviving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Holder is the record or “beneficial owner” (within the meaning of Rule 13d-3 under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and is entitled to dispose and vote, the number of shares of (a) Company Common Stock and (b) other securities (including Company Warrants) convertible into, or exercisable or exchangeable for, shares of Company Common Stock (such shares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set forth next to such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material inducement to Parent to enter into the Merger Agreement, Parent has requested each Holder to agree, and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such Holder’s capacity as a record or beneficial owner of the Subject Shares) has agreed, to enter into this Agreement and abide by the covenants and obligations set forth herein with respect to the Subject Shares.</w:t>
      </w:r>
    </w:p>
    <w:p>
      <w:pPr>
        <w:spacing w:after="0" w:line="17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and agreements herein contained, the parties hereto, intending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legally bound hereby, agree as follows:</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Definitions; Interpretation</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as used in this Agreement, shall have the meanings set forth below. Capitalized terms used but not defined herein shall have the meanings given to such terms in the Merger Agreement.</w:t>
      </w:r>
    </w:p>
    <w:p>
      <w:pPr>
        <w:spacing w:after="0" w:line="54"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xml:space="preserve">” means any shares of Company Common Stock that a Holder or its Affiliates purchases or with respect to which a Holder or its Affiliates otherwise acquires record or beneficial ownership of, on or after the date of this Agreement and prior to the valid termination of this Agreement in accordance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including any shares issued or issuable upon the conversion, vesting, exercise or exchange, as the case may be, of all securities (including Company Warrants) held by a Holder that are convertible into, or exercisable or exchangeable for, shares of Company Common Stock.</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means, collectively, the Existing Shares and the New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987"/>
        <w:spacing w:after="0" w:line="261" w:lineRule="auto"/>
        <w:tabs>
          <w:tab w:leader="none" w:pos="13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 Schedule, such reference shall be to a Schedule to this Agreement unless otherwise indicated. When a reference is made in this Agreement to a Section or Article, such reference shall be to the corresponding Section or Article of this Agreement unless otherwise indicated. The descriptive headings contained in this Agreement are included for convenience of reference only and will not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92" w:lineRule="exact"/>
        <w:rPr>
          <w:sz w:val="20"/>
          <w:szCs w:val="20"/>
          <w:color w:val="auto"/>
        </w:rPr>
      </w:pPr>
    </w:p>
    <w:p>
      <w:pPr>
        <w:ind w:left="120" w:right="40" w:firstLine="987"/>
        <w:spacing w:after="0" w:line="266" w:lineRule="auto"/>
        <w:tabs>
          <w:tab w:leader="none" w:pos="136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Each 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Holder hereby represents and warrants, severally and not jointly, to Parent that:</w:t>
      </w:r>
    </w:p>
    <w:p>
      <w:pPr>
        <w:spacing w:after="0" w:line="117"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If such Holder is not an individual, such Holder is duly formed, organized or incorporated, validly existing and in good standing (where such concept is recognized under applicable Law) under the Laws of the jurisdiction of its formation, organization or incorporation.</w:t>
      </w:r>
    </w:p>
    <w:p>
      <w:pPr>
        <w:spacing w:after="0" w:line="140"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Ownership of Subject Shares</w:t>
      </w:r>
      <w:r>
        <w:rPr>
          <w:rFonts w:ascii="Times New Roman" w:cs="Times New Roman" w:eastAsia="Times New Roman" w:hAnsi="Times New Roman"/>
          <w:sz w:val="18"/>
          <w:szCs w:val="18"/>
          <w:color w:val="auto"/>
        </w:rPr>
        <w:t xml:space="preserve">. Except to the extent any Existing Shares or New Shares are Transferred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the Existing Shares are currently and during the term of this Agreement will be, and the New Shares will be, beneficially owned (as defined in Rule 13d-3 promulgated under the Exchange Act) or owned of record by such Holder. Such Holder is the record or beneficial owner of, and has, with respect to such Holder’s Existing Shares, and will have with respect to such Holder’s New Shares, good and marketable title to, such Holder’s Subject Shares, free and clear of all Encumbrances, except for any Encumbrances as (a) may be created or imposed pursuant to this Agreement, the organizational documents of the Company, or the Securities Act or other applicable securities Laws or (b) expressly contemplated by the Merger Agreement. Such Holder does not, and will not, legally or beneficially own (within the meaning of Section 13 of the Exchange Act) any Shares or other securities in the Company (or any of the Company’s Subsidiaries) other than the Subject Shares. Except as contemplated by this Agreement, such Holder has and will have during the term of this Agreement the sole right to vote (including the right to control such vote as contemplated herein) such Holder’s Subject Shares, and no Subject Share of such Holder is subject to any voting trust or other agreement with respect to the voting thereof. Such Holder has and will have during the term of this Agreement the sole right to dispose of such Holder’s Subject Shares and the sole power to issue instructions with respect to the matters set forth herein, and the sole power to agree to all of the matters set forth in this Agreement, with no restrictions, subject to the Securities Act and other applicable securities Laws, on such Holder’s rights of disposition of such Holder’s Subject Shares. Except as contemplated by this Agreement, (i) there are no agreements or arrangements of any kind, contingent or otherwise, obligating such Holder to sell, transfer, pledge, assign, exchange, lend, encumber or otherwise dispose of, whether voluntarily, involuntarily, by operation of law or otherwise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cause to be Transferred any such Holder’s Subject Shares or otherwise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relating to the Transfer of any such Holder’s Subject Shares and (ii) no Person has any contractual or other right or obligation to purchase or otherwise acquire beneficial ownership of any of such Subject Shares of such Holder.</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If such Holder is not an individual, such Holder has all necessary power and authority to execute and deliver this Agreement and to perform such Holder’s obligations hereunder and the execution and delivery by such Holder of this Agreement and the performance by such Holder of such Holder’s obligations hereunder have been duly authorized and approved by all requisite action, and no other action on the part of such Holder is necessary to authorize the execution and delivery of this Agreement or the performance by such Holder of such Holder’s obligations hereunder. If such Holder is an individual, such Holder has the requisite legal capacity, right and authority to execute and deliver this Agreement and to perform such Holder’s obligations under this Agreement. This Agreement has been duly executed and delivered by such Holder and, assuming due authorization, execution and delivery hereof by Parent, constitutes a legal, valid and binding obligation of such Holder, enforceable against such Holder in accordance with its terms, except as enforcement may be limited by the Bankruptcy and Equity Exception. If such Holder is married and any of such Holder’s Subject Shares constitute community property or spousal approval is otherwise necessary for this Agreement to be legal, valid, binding and enforceable, this Agreement has been duly executed and delivered by, and, assuming the due authorization, execution and delivery by Parent, constitutes the legal, valid and binding obligation of, such Holder’s spouse, enforceable in accordance with its terms except, in each case, as enforcement may be limited by the Bankruptcy and Equity Exception.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 Conflicts; Governmental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70" w:lineRule="auto"/>
        <w:tabs>
          <w:tab w:leader="none" w:pos="1356"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execution and delivery of this Agreement by such Holder, nor the performance or compliance by such Holder with any of the terms or provisions hereof, will (i) 3 if such Holder is not an individual, conflict with or violate any provision of the organizational documents of such Holder or (ii)(A) assuming that the actions described in </w:t>
      </w:r>
      <w:r>
        <w:rPr>
          <w:rFonts w:ascii="Times New Roman" w:cs="Times New Roman" w:eastAsia="Times New Roman" w:hAnsi="Times New Roman"/>
          <w:sz w:val="17"/>
          <w:szCs w:val="17"/>
          <w:u w:val="single" w:color="auto"/>
          <w:color w:val="auto"/>
        </w:rPr>
        <w:t>Section 2.04(b)</w:t>
      </w:r>
      <w:r>
        <w:rPr>
          <w:rFonts w:ascii="Times New Roman" w:cs="Times New Roman" w:eastAsia="Times New Roman" w:hAnsi="Times New Roman"/>
          <w:sz w:val="17"/>
          <w:szCs w:val="17"/>
          <w:color w:val="auto"/>
        </w:rPr>
        <w:t xml:space="preserve"> have been completed prior to or promptly after the Effective Time, violate any Law applicable to such Holder or by which such Holder’s assets or properties are bound or (B)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Holder (including such Holder’s Subject Shares) pursuant to, any note, bond, mortgage, indenture, contract (whether written or oral), agreement, lease, license, permit, franchise or other instrument or obligation to which such Holder is a party or by which such Holder or any of such Holder’s assets or properties is bound, except for any of the foregoing as would not individually or in the aggregate, reasonably be expected to prevent or materially impair or interfere with the ability of such Holder to perform such Holder’s obligations hereunder in any material respect or consummate the transactions contemplated hereby on a timely basis.</w:t>
      </w:r>
    </w:p>
    <w:p>
      <w:pPr>
        <w:spacing w:after="0" w:line="176" w:lineRule="exact"/>
        <w:rPr>
          <w:rFonts w:ascii="Times New Roman" w:cs="Times New Roman" w:eastAsia="Times New Roman" w:hAnsi="Times New Roman"/>
          <w:sz w:val="17"/>
          <w:szCs w:val="17"/>
          <w:color w:val="auto"/>
        </w:rPr>
      </w:pPr>
    </w:p>
    <w:p>
      <w:pPr>
        <w:jc w:val="both"/>
        <w:ind w:left="120" w:right="280" w:firstLine="987"/>
        <w:spacing w:after="0" w:line="261" w:lineRule="auto"/>
        <w:tabs>
          <w:tab w:leader="none" w:pos="13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filing, declaration or registration with, any Governmental Authority is necessary for the execution and delivery of this Agreement by such Holder or the performance by such Holder of such Holder’s obligations hereunder, other than filings with the SEC under the Exchange Act and such reports under, and such other compliance with, the Exchange Act and other applicable securities Laws as may be required in connection with this Agreement and the transactions contemplated by this Agreement and the Merger Agreement.</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is no pending or, to the knowledge of such Holder, threatened in writing, legal, civil, criminal or administrative Action against such Holder except as would not, individually or in the aggregate, be reasonably expected to prevent or materially impair or interfere with the ability of such Holder to perform such Holder’s obligations hereunder in any material respect or consummate the transactions contemplated hereby on a timely basis. There is no outstanding Judgment imposed upon such Holder or any of such Holder’s Affiliates except as would not, individually or in the aggregate, be reasonably expected to prevent or materially impair or interfere with the ability of such Holder to perform such Holder’s obligations hereunder in any material respect on a timely basis.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in connection with the transactions contemplated by this Agreement based upon arrangements made by or, to the knowledge of such Holder, on behalf of such Holder.</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Parent Reliance; Merger Agreement Governs</w:t>
      </w:r>
      <w:r>
        <w:rPr>
          <w:rFonts w:ascii="Times New Roman" w:cs="Times New Roman" w:eastAsia="Times New Roman" w:hAnsi="Times New Roman"/>
          <w:sz w:val="18"/>
          <w:szCs w:val="18"/>
          <w:color w:val="auto"/>
        </w:rPr>
        <w:t>. Such Holder understands and acknowledges that Parent is entering into the Merger Agreement in reliance upon the execution and delivery of this Agreement by such Holder and the representations, warranties and covenants of such Holder contained herein. The Merger Agreement governs the terms of the Merger and the other transactions contemplated thereby.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Parent hereby represents and warrants to the Holders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Parent is a corporation duly organized, validly existing and in good standing under the Laws of Delaware.</w:t>
      </w:r>
    </w:p>
    <w:p>
      <w:pPr>
        <w:spacing w:after="0" w:line="225"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Parent has all necessary power and authority to execute and deliver this Agreement and to perform Parent’s obligations hereunder. The execution and delivery by Parent of this Agreement and the performance by Parent of Parent’s obligations hereunder have been duly authorized and approved by all requisite action, and no other action on the part of Parent is necessary to authorize the execution and delivery of this Agreement or the performance by Parent of Parent’s obligations hereunder. This Agreement has been duly executed and delivered by Parent and, assuming due authorization, execution and delivery hereof by the Holders, constitutes a legal, valid and binding obligation of Parent, enforceable against Parent in accordance with its terms, except as enforcement may be limited by the Bankruptcy and Equity Exception.</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Covenants of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of this Agreement, each Holder irrevocably and unconditionally agrees that at the Company Stockholders’ Meeting or at any other meeting of the Company’s stockholders (whether annual or special and whether or not an adjourned or postponed meeting, however called, and including any adjournment or postponement thereof) and, with respect to the matters described below in </w:t>
      </w:r>
      <w:r>
        <w:rPr>
          <w:rFonts w:ascii="Times New Roman" w:cs="Times New Roman" w:eastAsia="Times New Roman" w:hAnsi="Times New Roman"/>
          <w:sz w:val="17"/>
          <w:szCs w:val="17"/>
          <w:u w:val="single" w:color="auto"/>
          <w:color w:val="auto"/>
        </w:rPr>
        <w:t>clauses (ii)(A)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(ii)(D)</w:t>
      </w:r>
      <w:r>
        <w:rPr>
          <w:rFonts w:ascii="Times New Roman" w:cs="Times New Roman" w:eastAsia="Times New Roman" w:hAnsi="Times New Roman"/>
          <w:sz w:val="17"/>
          <w:szCs w:val="17"/>
          <w:color w:val="auto"/>
        </w:rPr>
        <w:t>, in connection with any action proposed to be taken by written consent of the Company’s stockholders: (i) when such a meeting of the Company’s stockholders is held, such Holder shall appear at such meeting or otherwise cause the Subject Shares to be counted as present thereat for the purpose of establishing a quorum and, if applicable, vote in favor of any proposal to adjourn, recess or postpone any meeting of the Company’s stockholders at which the Merger Agreement or any other actions contemplated by the Merger Agreement is submitted for the consideration and vote of the Company’s stockholders to a later date if there are not proxies representing a sufficient number of shares of Company Common Stock to approve such matters on the date on which the meeting is held, and (ii) such Holder shall vote or cause to be voted at any such meeting (and at every postponement, recess or adjournment thereof), or execute and deliver or cause to be executed and delivered a written consent with respect to, all of such Holder’s Subject Shares</w:t>
      </w:r>
    </w:p>
    <w:p>
      <w:pPr>
        <w:spacing w:after="0" w:line="3" w:lineRule="exact"/>
        <w:rPr>
          <w:rFonts w:ascii="Times New Roman" w:cs="Times New Roman" w:eastAsia="Times New Roman" w:hAnsi="Times New Roman"/>
          <w:sz w:val="17"/>
          <w:szCs w:val="17"/>
          <w:color w:val="auto"/>
        </w:rPr>
      </w:pPr>
    </w:p>
    <w:p>
      <w:pPr>
        <w:ind w:left="120" w:right="300" w:hanging="4"/>
        <w:spacing w:after="0" w:line="260" w:lineRule="auto"/>
        <w:tabs>
          <w:tab w:leader="none" w:pos="41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adopting the Merger Agreement and any other actions contemplated by the Merger Agreement in respect of which the approval of the Company’s stockholders is requested; (B) in favor of adoption of any proposal in respect of which the Board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Directors of the Company has (1) determined is reasonably necessary to facilitate any of the transactions contemplated by the Merger Agreement, (2) disclosed the determination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in the Proxy Statement or other written materials disseminated to the Company’s stockholders and (3) recommended to be adopted or approved by the Company’s stockholders; (C) in favor of any proposal (to the extent permitted by the Merger Agreement) to adjourn, recess or postpone the applicable meeting; and (D) against (1) any Takeover Proposal, whether or not constituting a Superior Proposal and (2) any action, proposal, transaction or agreement involving the Company or any of its Subsidiaries or any of the Affiliated Professional Entities that would reasonably likely be intended, or would reasonably be expected, to materially impede, interfere with, delay, postpone, affect in an adverse manner or prevent the consummation of the Merger or the other transactions contemplated by the Merger Agreement.</w:t>
      </w:r>
    </w:p>
    <w:p>
      <w:pPr>
        <w:spacing w:after="0" w:line="189" w:lineRule="exact"/>
        <w:rPr>
          <w:sz w:val="20"/>
          <w:szCs w:val="20"/>
          <w:color w:val="auto"/>
        </w:rPr>
      </w:pPr>
    </w:p>
    <w:p>
      <w:pPr>
        <w:ind w:left="120" w:right="80" w:firstLine="987"/>
        <w:spacing w:after="0" w:line="261" w:lineRule="auto"/>
        <w:tabs>
          <w:tab w:leader="none" w:pos="136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covenants and agrees that such Holder shall not (i) enter into any agreement or undertaking (including any agreement or undertaking with a Person to vote or give instructions in a manner inconsistent with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or (ii) take any action or commit or agree to take any action, that would reasonably be expected to materially prevent, impair or interfere with such Holder’s ability to perform any of such Holder’s obligations pursuant to this Agreement.</w:t>
      </w:r>
    </w:p>
    <w:p>
      <w:pPr>
        <w:spacing w:after="0" w:line="179"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5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hereby revokes (and agrees to cause to be revoked) any and all proxies, if any, that such Holder has heretofore granted with respect to such Holder’s Subject Shares.</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deemed to vest in Parent any direct or indirect ownership or incidence of ownership of or with respect to any Subject Shares. All rights, ownership and economic benefits of and relating to the Subject Shares shall remain vested in and belong to the Holders. Furthermore, nothing contained in this Agreement shall require the Holders to: (i) convert, exercise or exchange any option or convertible securities in order to obtain any underlying Shares or (ii) vote, or execute any consent with respect to, any Shares underlying such options or convertible securities that have not yet been issued as of the applicable record date for that vote or consent.</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Proxy Card</w:t>
      </w:r>
      <w:r>
        <w:rPr>
          <w:rFonts w:ascii="Times New Roman" w:cs="Times New Roman" w:eastAsia="Times New Roman" w:hAnsi="Times New Roman"/>
          <w:sz w:val="18"/>
          <w:szCs w:val="18"/>
          <w:color w:val="auto"/>
        </w:rPr>
        <w:t xml:space="preserve">. Each Holder shall promptly (but in any event no later than five (5) Business Days prior to the Company Stockholders’ Meeting) execute and deliver to the Company or the Company’s proxy solicitor (or cause the holders of record of such Holder’s Subject Shares to execute and deliver to the Company or the Company’s proxy solicitor) any proxy card or voting instructions such Holder receives that is sent by the Company to its stockholders soliciting proxies with respect to any matter described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which shall be voted in the manner described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and such proxy card or voting instructions shall not be amended, withdrawn or rescinded.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Transfer and Other Restrictions</w:t>
      </w:r>
      <w:r>
        <w:rPr>
          <w:rFonts w:ascii="Times New Roman" w:cs="Times New Roman" w:eastAsia="Times New Roman" w:hAnsi="Times New Roman"/>
          <w:sz w:val="18"/>
          <w:szCs w:val="18"/>
          <w:color w:val="auto"/>
        </w:rPr>
        <w:t xml:space="preserve">. Prior to the Termination Date, each Holder shall not, directly or indirectly, (a) Transfer, or enter into any Contract, option or other arrangement or understanding with respect to the Transfer of, any Subject Shares to any Person, (b) tender into any tender or exchange offer any Subject Shares, whether voluntarily, involuntarily, by operation or otherwise or (c) enter into any voting arrangement, whether by proxy, voting agreement or otherwise, or grant a proxy or power of attorney or any other Contract, option or other arrangement or understanding with respect to the tendering, voting of or sale, transfer, assignment, pledge, encumbrance, hypothecation or similar disposition of (including by merger, by tendering into any tender or exchange offer, by testamentary disposition, by operation of law or otherwise) with respect to any Subject Shares, or deposit any Subject Shares into a voting trust. Notwithstanding the immediately preceding sentence,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shall not prohibit (i) a Transfer of any Subject Shares by a Holder (A) if such Holder is an individual, to any immediate family member, including any spouse, brother or sister, adopted child or grandchild, or the spouse of any child, adopted child, grandchild, or adopted grandchild, or lineal descendant or antecedent of such Holder or a trust for the benefit of any such family member or lineal descendant or antecedent, (B) to any corporation, limited liability company, or partnership, the stockholders, members, and general and limited partners of which include only the persons named in the preceding </w:t>
      </w:r>
      <w:r>
        <w:rPr>
          <w:rFonts w:ascii="Times New Roman" w:cs="Times New Roman" w:eastAsia="Times New Roman" w:hAnsi="Times New Roman"/>
          <w:sz w:val="18"/>
          <w:szCs w:val="18"/>
          <w:u w:val="single" w:color="auto"/>
          <w:color w:val="auto"/>
        </w:rPr>
        <w:t>clause (i)(A)</w:t>
      </w:r>
      <w:r>
        <w:rPr>
          <w:rFonts w:ascii="Times New Roman" w:cs="Times New Roman" w:eastAsia="Times New Roman" w:hAnsi="Times New Roman"/>
          <w:sz w:val="18"/>
          <w:szCs w:val="18"/>
          <w:color w:val="auto"/>
        </w:rPr>
        <w:t xml:space="preserve"> or (C) to any person or entity if and solely to the extent required by any non-consensual, final and non-appealable Judgment,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by divorce decree or by will or intestacy, or (D) as Parent may agree (prior to such Transfer) in writing in Parent’s sole and absolute discretion, so long as and only if, in the case of each of the foregoing </w:t>
      </w:r>
      <w:r>
        <w:rPr>
          <w:rFonts w:ascii="Times New Roman" w:cs="Times New Roman" w:eastAsia="Times New Roman" w:hAnsi="Times New Roman"/>
          <w:sz w:val="18"/>
          <w:szCs w:val="18"/>
          <w:u w:val="single" w:color="auto"/>
          <w:color w:val="auto"/>
        </w:rPr>
        <w:t>clauses (i)(A)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(i)(D)</w:t>
      </w:r>
      <w:r>
        <w:rPr>
          <w:rFonts w:ascii="Times New Roman" w:cs="Times New Roman" w:eastAsia="Times New Roman" w:hAnsi="Times New Roman"/>
          <w:sz w:val="18"/>
          <w:szCs w:val="18"/>
          <w:color w:val="auto"/>
        </w:rPr>
        <w:t xml:space="preserve">, the assignee or transferee of such Subject Shares agrees to be bound by the terms of this Agreement to the same effect as such Holder and executes and delivers to Parent a written consent and joinder memorializing such agreement in form reasonably acceptable to Parent, or (ii) (A) the net settlement of such Holder’s options to purchase shares of Company Common Stock (to pay the exercise price thereof and any tax withholding obligations), (B) the net settlement of such Holder’s Company RSU settled in shares of Company Common Stock (to pay any tax withholding obligations), (C) the exercise of such Holder’s Company Stock Options, to the extent such Company Stock Options would expire prior to the Effective Time, or (D) the sale of a sufficient number of shares of Company Common Stock acquired upon exercise of such Holder’s Company Stock Options pursuant to the foregoing </w:t>
      </w:r>
      <w:r>
        <w:rPr>
          <w:rFonts w:ascii="Times New Roman" w:cs="Times New Roman" w:eastAsia="Times New Roman" w:hAnsi="Times New Roman"/>
          <w:sz w:val="18"/>
          <w:szCs w:val="18"/>
          <w:u w:val="single" w:color="auto"/>
          <w:color w:val="auto"/>
        </w:rPr>
        <w:t>clause (ii)(C)</w:t>
      </w:r>
      <w:r>
        <w:rPr>
          <w:rFonts w:ascii="Times New Roman" w:cs="Times New Roman" w:eastAsia="Times New Roman" w:hAnsi="Times New Roman"/>
          <w:sz w:val="18"/>
          <w:szCs w:val="18"/>
          <w:color w:val="auto"/>
        </w:rPr>
        <w:t xml:space="preserve"> or upon the settlement of such Holder’s Company RSU, in each case as would generate sales proceeds sufficient to pay the aggregate applicable exercise price of shares then exercised under such Company Stock Options and the taxes payable by such Holder as a result of such exercise or settlement. Any attempted Transfer of, or other action with respect to, Subject Shares or any interest therein in violation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Stock Dividends, etc</w:t>
      </w:r>
      <w:r>
        <w:rPr>
          <w:rFonts w:ascii="Times New Roman" w:cs="Times New Roman" w:eastAsia="Times New Roman" w:hAnsi="Times New Roman"/>
          <w:sz w:val="18"/>
          <w:szCs w:val="18"/>
          <w:color w:val="auto"/>
        </w:rPr>
        <w:t>. If, between the date of this Agreement and the Effective Time, the issued and outstanding Shares shall have been changed into a different number of shares or a different class by reason of the occurrence or record date of any stock dividend, subdivision, reclassification, recapitalization, split, combination, exchange of shares or similar transaction, the terms “Existing Shares,” “New Shares” and “Subject Shares” shall be appropriately adjusted to reflect such stock dividend, subdivision, reclassification, recapitalization, split, combination, exchange of shares or similar transaction.</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hereby irrevocably and unconditionally waives, and shall cause to be waived, any and all rights of appraisal or rights to dissent from the Merger or the other transactions contemplated by the Merger Agreement that such Holder may have under applicable Law. In addition, each Holder agrees not to demand or commence any appraisal proceeding under Section 262 of the DGCL with respect to such Holder’s Subject Shares.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hereby authorizes the Company, Parent and Merger Sub to publish and disclose in any announcement or disclosure required by the SEC and in the Proxy Statement and the filings required under applicable Law in connection with the Merger and any transactions contemplated by the Merger Agreement, each Holder’s identity and ownership of the Subject Shares and the nature of each Holder’s obligations under this Agreement after providing each Holder with a reasonable opportunity to review and approve (such approval not to be unreasonably withheld, conditioned or delayed) such publication or disclosure prior to any such publication or disclosure. Parent hereby authorizes each Holder to disclose in any disclosure required by any Governmental Authority Parent’s identity and the nature of Parent’s obligations under this Agreement. Parent will not make any other disclosures regarding any Holder in any press release or otherwise without the prior written consent of such Holder (such approval not to be unreasonably withheld, conditioned or delayed).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Fiduciary Responsibilities</w:t>
      </w:r>
      <w:r>
        <w:rPr>
          <w:rFonts w:ascii="Times New Roman" w:cs="Times New Roman" w:eastAsia="Times New Roman" w:hAnsi="Times New Roman"/>
          <w:sz w:val="18"/>
          <w:szCs w:val="18"/>
          <w:color w:val="auto"/>
        </w:rPr>
        <w:t>. Notwithstanding any provision of this Agreement to the contrary, this Agreement shall apply to each Holder solely in its capacity as a holder of Shares and not in any other capacity, and nothing in this Agreement shall limit, restrict or affect the rights, obligations and actions of (a) such Holder in such Holder’s capacity as an officer, director or employee of the Company and (b) any officer or director or designee of the Holders or their Affiliates serving on the Board of Directors of the Company from taking any action in his or her capacity as a director or officer of the Company or voting or providing written consent as a director of the Company in his or her sole discretion on any matter, whether in connection with the Merger Agreement or otherwise, and no action or omissions by any such Persons in his or her capacity as a director or officer of the Company shall be deemed to constitute a breach of any provision of this Agreement. However, for the avoidance of doubt, except as expressly provided otherwise in this Agreement, an Adverse Recommendation Change shall not relieve any such Holder of any obligation hereunder with respect to the Shares beneficially owned by such Holder or any New Shares.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Additional Existing Shares</w:t>
      </w:r>
      <w:r>
        <w:rPr>
          <w:rFonts w:ascii="Times New Roman" w:cs="Times New Roman" w:eastAsia="Times New Roman" w:hAnsi="Times New Roman"/>
          <w:sz w:val="18"/>
          <w:szCs w:val="18"/>
          <w:color w:val="auto"/>
        </w:rPr>
        <w:t>. Each Holder shall provide as promptly as reasonably practicable written notice to Parent of any additional Shares of which such Holder becomes the “beneficial owner” after the date hereof and during the term of this Agreement. Each Holder agrees that New Shares shall be subject to the terms and conditions of this Agreement to the same extent as if such New Shares constituted Existing Shares on the date hereof.</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No Participation in Litigation</w:t>
      </w:r>
      <w:r>
        <w:rPr>
          <w:rFonts w:ascii="Times New Roman" w:cs="Times New Roman" w:eastAsia="Times New Roman" w:hAnsi="Times New Roman"/>
          <w:sz w:val="18"/>
          <w:szCs w:val="18"/>
          <w:color w:val="auto"/>
        </w:rPr>
        <w:t xml:space="preserve">. Each Holder hereby agrees not to commence or participate in, and agrees to use reasonable best efforts to, if requested by Parent, take all actions necessary to opt out of any class in any class action with respect to, any claim, action, litigation or proceeding, derivative or otherwise, against Parent, Merger Sub, the Company or any of their respective Affiliates or any of the Affiliated Professional Entities relating to the negotiation, execution or delivery of this Agreement or the Merger Agreement or the consummation of the Merger, including any claim, action, litigation or proceeding (a) challenging the validity, or seeking to enjoin the operation, of any provision of this Agreement or the Merger Agreement or (b) alleging a breach of any fiduciary duty of any members of the Board of Directors of the Company in connection with the Merger Agreement or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restrict such Holder from enforcing any of his, her or its rights under the Merger Agreement or this Agreement.</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(unless an automated message indicating non-delivery is received with respect thereto) or sent by nationally recognized overnight courier (providing proof of delivery) to the parties at the following addresses: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Universal Health Services,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367 South Gulph Road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King of Prussia, PA 19406</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Matthew D. Klein, Senior Vice President and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444 West Lake Street, Suite 4000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Eric Orsic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eorsic@mcdermottlaw.com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any Holder,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The address set forth next to such Holder on </w:t>
      </w:r>
      <w:r>
        <w:rPr>
          <w:rFonts w:ascii="Times New Roman" w:cs="Times New Roman" w:eastAsia="Times New Roman" w:hAnsi="Times New Roman"/>
          <w:sz w:val="18"/>
          <w:szCs w:val="18"/>
          <w:u w:val="single" w:color="auto"/>
          <w:color w:val="auto"/>
        </w:rPr>
        <w:t>Schedule A</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100" w:right="8160" w:firstLine="7"/>
        <w:spacing w:after="0" w:line="265" w:lineRule="auto"/>
        <w:tabs>
          <w:tab w:leader="none" w:pos="1415"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Ninth Avenue New York, NY 10001 Attention: Minh Van Ngo</w:t>
      </w:r>
    </w:p>
    <w:p>
      <w:pPr>
        <w:ind w:left="1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Andrew M. Wark</w:t>
      </w:r>
    </w:p>
    <w:p>
      <w:pPr>
        <w:spacing w:after="0" w:line="9"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mngo@cravath.com</w:t>
      </w:r>
    </w:p>
    <w:p>
      <w:pPr>
        <w:spacing w:after="0" w:line="9" w:lineRule="exact"/>
        <w:rPr>
          <w:rFonts w:ascii="Times New Roman" w:cs="Times New Roman" w:eastAsia="Times New Roman" w:hAnsi="Times New Roman"/>
          <w:sz w:val="17"/>
          <w:szCs w:val="17"/>
          <w:color w:val="auto"/>
        </w:rPr>
      </w:pPr>
    </w:p>
    <w:p>
      <w:pPr>
        <w:ind w:left="1640" w:hanging="92"/>
        <w:spacing w:after="0"/>
        <w:tabs>
          <w:tab w:leader="none" w:pos="164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awark@cravath.com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or such other address or email address as such party may hereafter specify by like notice to the other parties hereto. All such notices, requests and other communications shall be in writing and shall be deemed to have been received on the earliest of (i) the date when personally delivered, (ii) the date when transmitted via electronic e-mail address (unless an automated message indicating non-delivery is received with respect thereto) or (iii) the next succeeding Business Day following the day on which the same has been delivered prepaid to a reputable national overnight air courier service.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(as determined by a final judgement),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in whole or in part, by operation of law or otherwise, except (a) by any Holder (i) with the prior written consent of Parent or (ii) to a transferee of such Holder’s Shares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(b) by Parent (i) to any of Parent’s Affiliates or (ii) with the prior written consent of a majority (in terms of aggregate voting power) of the Subject Shares of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such assignment will not relieve the assigning party of its obligations under this Agreement. Any assignment in contravention of the preceding sentence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other documents delivered pursuant hereto) constitutes the entire agreement and supersedes all prior representations, conditions, agreements and understandings, both written and oral, among the parties hereto and their Affiliates, or any of them, with respect to the subject matter hereof. This Agreement is not intended to confer upon any Person, other than the parties hereto, any rights or remedies hereunder, including the right to rely upon the representations and warranties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a third-party beneficiary of, and entitled to enforce the provisions of,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all claims or causes of action (whether in contract or tort) that may be based upon, arise out of or relate to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58"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5.06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one or more counterparts (including by electronic signature, PDF or electronic mail with .pdf attachments),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5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Jurisdiction; Service of Process</w:t>
      </w:r>
      <w:r>
        <w:rPr>
          <w:rFonts w:ascii="Times New Roman" w:cs="Times New Roman" w:eastAsia="Times New Roman" w:hAnsi="Times New Roman"/>
          <w:sz w:val="18"/>
          <w:szCs w:val="18"/>
          <w:color w:val="auto"/>
        </w:rPr>
        <w:t>. The parties hereto agree that any action or proceeding seeking to enforce any provision of, or based on any matter arising out of or in connection with, this Agreement or the transactions contemplated by this Agreement shall be brought exclusively in the Court of Chancery of the State of Delaware (or, if the Court of Chancery of the State of Delaware declines to accept jurisdiction over any action or proceeding, any state or federal court within the State of Delaware). Each party hereto hereby irrevocably submits to the exclusive jurisdiction of each such court in respect of any legal or equitable action, suit or proceeding arising out of or relating to this Agreement or the transactions contemplated by this Agreement, or relating to enforcement of any of the terms of this Agreement, and hereby irrevocably waives, and agrees not to assert, as a defense in any such action, suit or proceeding, any claim that it is not subject personally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jurisdiction of such court, that the action, suit or proceeding is brought in an inconvenient forum, that the venue of the action, suit or proceeding is improper or that this Agreement or the transactions contemplated by this Agreement may not be enforced in or by such courts. Each party hereto agrees that notice or the service of process upon such party in any action, suit or proceeding arising out of or relating to this Agreement or the transactions contemplated by this Agreement shall be properly served or delivered if delivered in the manner contemplated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in any other manner permitted by law.</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ACKNOWLEDGES AND AGREES THAT ANY CONTROVERSY WHICH MAY ARISE UNDER THIS AGREEMENT IS LIKELY TO INVOLVE COMPLICATED AND DIFFICULT ISSUES, AND THEREFORE SUCH PARTY HEREBY IRREVOCABLY AND UNCONDITIONALLY WAIVES, TO THE FULLEST EXTENT PERMITTED BY APPLICABLE LAW, ANY RIGHT SUCH PARTY MAY HAVE TO A TRIAL BY JURY IN RESPECT OF ANY LITIGATION DIRECTLY OR INDIRECTLY ARISING OUT OF OR RELATING TO THIS AGREEMENT AND ANY OF THE AGREEMENTS DELIVERED IN CONNECTION HEREWITH OR THE TRANSACTIONS CONTEMPLATED HEREBY. EACH PARTY CERTIFIES AND ACKNOWLEDGES THAT (A) NO REPRESENTATIVE, AGENT OR ATTORNEY OF ANY OTHER PARTY HAS REPRESENTED, EXPRESSLY OR OTHERWISE, THAT SUCH OTHER PARTY WOULD NOT, IN THE EVENT OF LITIGATION, SEEK TO ENFORCE THE FOREGOING WAIVER, (B) SUCH PARTY UNDERSTANDS AND HAS CONSIDERED THE IMPLICATIONS OF SUCH WAIVER, (C) SUCH PARTY MAKES SUCH WAIVER VOLUNTARILY AND (D)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6" w:lineRule="auto"/>
        <w:tabs>
          <w:tab w:leader="none" w:pos="135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in the event of any breach of this Agreement, irreparable harm would occur that monetary damages could not make whole. It is accordingly agreed that (i) each party hereto shall be entitled, in addition to any other remedy to which it may be entitled at law or in equity, to compel specific performance to prevent or restrain breaches or threatened breaches of this Agreement and to enforce specifically the terms and provisions hereof in any action without the posting of a bond or undertaking, and (ii) the parties hereto shall, and hereby do, waive, in any action for specific performance, the defense of adequacy of a remedy at law and any other objections to specific performance of this Agreement, including any requirement for the securing or posting of any bond in connection with such remedy.</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6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parties’ rights to specific performance pursuant to </w:t>
      </w:r>
      <w:r>
        <w:rPr>
          <w:rFonts w:ascii="Times New Roman" w:cs="Times New Roman" w:eastAsia="Times New Roman" w:hAnsi="Times New Roman"/>
          <w:sz w:val="18"/>
          <w:szCs w:val="18"/>
          <w:u w:val="single" w:color="auto"/>
          <w:color w:val="auto"/>
        </w:rPr>
        <w:t>Section 5.09(a)</w:t>
      </w:r>
      <w:r>
        <w:rPr>
          <w:rFonts w:ascii="Times New Roman" w:cs="Times New Roman" w:eastAsia="Times New Roman" w:hAnsi="Times New Roman"/>
          <w:sz w:val="18"/>
          <w:szCs w:val="18"/>
          <w:color w:val="auto"/>
        </w:rPr>
        <w:t>, each party may pursue any other remedy available to it at law or in equity, including monetary damages. Any and all remedies herein expressly conferred upon a party hereto will be deemed cumulative with and not exclusive of any other remedy conferred hereby, or by law or equity upon such party, and the exercise by a party hereto of any one remedy will not preclude the exercise of any other remedy.</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not be amended except by an instrument in writing signed by the parties hereto prior to the Effective Time. The failure of any party to assert any rights or remedies under this Agreement will not constitute a waiver of such rights or remedies. Any extension or waiver with respect to this Agreement will be valid only if set forth in an instrument in writing signed by the party or parties to be bound thereby.</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set forth herein or the Merger Agreement, each of the parties shall be responsible for its own fees and expenses (including the fees and expenses of investment bankers and accountants) in connection with the entering into and performance under this Agreement and the consummation of the transactions contemplated hereby.</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Holder hereby covenants and agrees to execute and deliver any additional documents reasonably necessary or desirable to carry out the purpose and intent of this Agreement and the Merger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and all obligations of the parties hereto hereunder shall automatically terminate, without further action by any party hereto, upon the earliest of (a) the Effective Time, (b) the valid termination of the Merger Agreement in accordance with its terms, (c) with respect to any Holder, the mutual written agreement of such Holder and Parent and (d) the entry, without the prior written consent of the Holders, into any material modification or amendment to the Merger Agreement that reduces the amount, changes the form or otherwise adversely affects the consideration payable to the Holders pursuant to the Merger Agreement as in effect on the date hereof (the date on which termination would occur pursuant to any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In the event of any such termination of this Agreement, this Agreement shall forthwith become null and void and have no effect, without any liability or obligation on the part of Parent or the applicable Holders, other than liability for any knowing intentional and material breach of this Agreement prior to such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the termination of this Agreement.</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040"/>
          </w:cols>
          <w:pgMar w:left="320" w:top="455" w:right="5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written.</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UNIVERSAL HEALTH SERVICES, INC .</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[Signature Page to Voting Agreement]</w:t>
      </w:r>
    </w:p>
    <w:p>
      <w:pPr>
        <w:sectPr>
          <w:pgSz w:w="11900" w:h="16838" w:orient="portrait"/>
          <w:cols w:equalWidth="0" w:num="1">
            <w:col w:w="10700"/>
          </w:cols>
          <w:pgMar w:left="320" w:top="455" w:right="8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QUMRA CAPITAL II, L.P.</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 QUMRA CAPITAL GP II, L.P., ITS GENERAL</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 QUMRA CAPITAL ISRAEL I LTD., ITS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BY: EREZ SHACHAR, ITS MANAGING PARTNER</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1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EREZ SHACHAR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1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[Signature Page to Voting Agreement]</w:t>
      </w:r>
    </w:p>
    <w:p>
      <w:pPr>
        <w:sectPr>
          <w:pgSz w:w="11900" w:h="16838" w:orient="portrait"/>
          <w:cols w:equalWidth="0" w:num="1">
            <w:col w:w="10860"/>
          </w:cols>
          <w:pgMar w:left="320" w:top="455" w:right="7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1920" w:type="dxa"/>
            <w:vAlign w:val="bottom"/>
          </w:tcPr>
          <w:p>
            <w:pPr>
              <w:spacing w:after="0"/>
              <w:rPr>
                <w:sz w:val="13"/>
                <w:szCs w:val="13"/>
                <w:color w:val="auto"/>
              </w:rPr>
            </w:pPr>
          </w:p>
        </w:tc>
        <w:tc>
          <w:tcPr>
            <w:tcW w:w="16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620" w:type="dxa"/>
            <w:vAlign w:val="bottom"/>
            <w:vMerge w:val="restart"/>
          </w:tcPr>
          <w:p>
            <w:pPr>
              <w:spacing w:after="0"/>
              <w:rPr>
                <w:sz w:val="13"/>
                <w:szCs w:val="13"/>
                <w:color w:val="auto"/>
              </w:rPr>
            </w:pPr>
          </w:p>
        </w:tc>
        <w:tc>
          <w:tcPr>
            <w:tcW w:w="18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Warrants</w:t>
            </w: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Company Stock</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RSUs</w:t>
            </w:r>
          </w:p>
        </w:tc>
        <w:tc>
          <w:tcPr>
            <w:tcW w:w="0" w:type="dxa"/>
            <w:vAlign w:val="bottom"/>
          </w:tcPr>
          <w:p>
            <w:pPr>
              <w:spacing w:after="0"/>
              <w:rPr>
                <w:sz w:val="1"/>
                <w:szCs w:val="1"/>
                <w:color w:val="auto"/>
              </w:rPr>
            </w:pPr>
          </w:p>
        </w:tc>
      </w:tr>
      <w:tr>
        <w:trPr>
          <w:trHeight w:val="160"/>
        </w:trPr>
        <w:tc>
          <w:tcPr>
            <w:tcW w:w="50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62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D</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522605" cy="514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2605" cy="51435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6,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Talkspace,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622 Third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You have requested, in your capacity as the Board of Directors (the “Board”) of Talkspace, Inc. (the “Company”), our opinion with respect to the fairness, from a financial point of view, to the holders of common stock, par value $0.0001 per share (“Company Common Stock”), of the Company, of the Merger Consideration (as defined below) to be paid to such holders in the proposed merger (the “Transaction”) of the Company with a wholly-owned subsidiary of Universal Health Services, Inc. (the “Parent”). We understand that, among other things, pursuant to an Agreement and Plan of Merger (the “Agreement”) to be entered into among the Parent, UHS Merger Subsidiary, Inc., a wholly-owned subsidiary of the Parent (“Merger Sub”), and the Company, Merger Sub will merge with and into the Company, the Company will become a wholly owned subsidiary of the Parent and each outstanding share of Company Common Stock, other than (x) shares of Company Common Stock (i) owned by the Company, (ii) held by Parent or Merger Sub or (iii) bearing a legend that such shares are subject to forfeiture that are, or have been, forfeited pursuant to Section 1.9(c) of the Sponsor Support Agreement (as defined in the Agreement) (the shares set forth in the foregoing clauses (i), (ii) and (iii), “Cancelled Shares”) and (y) Appraisal Shares (as defined in the Agreement), will be converted into the right to receive $5.25 in cash (the “Merger Consideration”).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preparing our opinion, we have:</w:t>
      </w:r>
    </w:p>
    <w:p>
      <w:pPr>
        <w:spacing w:after="0" w:line="131" w:lineRule="exact"/>
        <w:rPr>
          <w:sz w:val="20"/>
          <w:szCs w:val="20"/>
          <w:color w:val="auto"/>
        </w:rPr>
      </w:pPr>
    </w:p>
    <w:p>
      <w:pPr>
        <w:ind w:left="1540" w:hanging="331"/>
        <w:spacing w:after="0"/>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March 6, 2026, of the Agreement;</w:t>
      </w:r>
    </w:p>
    <w:p>
      <w:pPr>
        <w:spacing w:after="0" w:line="130"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and the industries in which it operates;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publicly available information concerning certain other companies we deemed relevant, and compared current and historic market prices of the Company Common Stock with similar data for such other companies;</w:t>
      </w:r>
    </w:p>
    <w:p>
      <w:pPr>
        <w:spacing w:after="0" w:line="81" w:lineRule="exact"/>
        <w:rPr>
          <w:rFonts w:ascii="Times New Roman" w:cs="Times New Roman" w:eastAsia="Times New Roman" w:hAnsi="Times New Roman"/>
          <w:sz w:val="18"/>
          <w:szCs w:val="18"/>
          <w:color w:val="auto"/>
        </w:rPr>
      </w:pPr>
    </w:p>
    <w:p>
      <w:pPr>
        <w:ind w:left="1540" w:right="580" w:hanging="331"/>
        <w:spacing w:after="0" w:line="282" w:lineRule="auto"/>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the publicly available financial terms of certain other business combinations that we deemed relevant;</w:t>
      </w:r>
    </w:p>
    <w:p>
      <w:pPr>
        <w:spacing w:after="0" w:line="67"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for the Company, including perpetuity growth rates for the Company applicable beyond the projected period (the “Company Projections”), prepared by and approved for our use by the management of the Company;</w:t>
      </w:r>
    </w:p>
    <w:p>
      <w:pPr>
        <w:spacing w:after="0" w:line="81" w:lineRule="exact"/>
        <w:rPr>
          <w:rFonts w:ascii="Times New Roman" w:cs="Times New Roman" w:eastAsia="Times New Roman" w:hAnsi="Times New Roman"/>
          <w:sz w:val="18"/>
          <w:szCs w:val="18"/>
          <w:color w:val="auto"/>
        </w:rPr>
      </w:pPr>
    </w:p>
    <w:p>
      <w:pPr>
        <w:ind w:left="1540" w:right="280" w:hanging="331"/>
        <w:spacing w:after="0" w:line="266" w:lineRule="auto"/>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estimates prepared by and approved for our use by the management of the Company as to the Company’s net operating loss tax carryforwards (the “ Estimated Tax Assets”) and the Company’s ability to utilize those Estimated Tax Assets to achieve future tax savings on a standalone basis (the “Estimated Tax Savings”);</w:t>
      </w:r>
    </w:p>
    <w:p>
      <w:pPr>
        <w:spacing w:after="0" w:line="81"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management of the Company regarding certain aspects of the Transaction, the business, financial condition and prospects of the Company, the effect of the Transaction on the business, financial condition and prospects of the Company, and certain other matters that we deemed relevant;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6,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32918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8" w:lineRule="exact"/>
        <w:rPr>
          <w:sz w:val="20"/>
          <w:szCs w:val="20"/>
          <w:color w:val="auto"/>
        </w:rPr>
      </w:pPr>
    </w:p>
    <w:p>
      <w:pPr>
        <w:ind w:left="1540" w:hanging="331"/>
        <w:spacing w:after="0"/>
        <w:tabs>
          <w:tab w:leader="none" w:pos="15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such other financial analyses and investigations and such other information that we deemed relevant.</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giving our opinion, we have assumed and relied upon the accuracy and completeness of all information that was publicly available or was furnished to or discussed with us by the Company or otherwise reviewed by us. We have not independently verified any such information, and pursuant to the terms of our engagement by the Company, we did not assume any obligation to undertake any such independent verification. In relying on the Company Projections, the Estimated Tax Assets and the Estimated Tax Savings, we have assumed that the Company Projections have been reasonably prepared on bases reflecting the best currently available estimates and judgments of management as to the future performance and financial condition of the Company and that the Estimated Tax Assets and Estimated Tax Savings have been reasonably prepared on bases reflecting the best currently available estimates and judgments of the management of the Company as to the Company’s net operating loss tax carryforwards and the Company’s ability to utilize those Estimated Tax Assets to achieve future tax savings on a standalone basis. We express no view or opinion with respect to the Company Projections, the Estimated Tax Assets or the Estimated Tax Savings or the assumptions upon which they are based. We have assumed that any representations and warranties made by the Company and the Parent in the Agreement or in other agreements relating to the Transaction will be true and accurate in all respects that are material to our analysis.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also assumed that the Transaction will have the tax consequences described in discussions with, and materials provided to us by, the Company and its representatives. We also have assumed that, in the course of obtaining any regulatory or third party consents, approvals or agreements in connection with the Transaction, no delay, limitation, restriction or condition will be imposed that would have an adverse effect on the Company or the contemplated benefits of the Transaction. We have also assumed that the Transaction will be consummated in compliance with all applicable laws and regulations and in accordance with the terms of the Agreement without waiver, modification or amendment of any term, condition or agreement thereof that is material to our analyses or this opinion and that the final form of the Agreement will not differ from the draft reviewed by us in any respect material to our analyses or opinion. In addition, we have not made any independent evaluation, inspection or appraisal of the assets or liabilities (contingent or otherwise) of the Company, nor have we been furnished with any such evaluations or appraisals. We have not evaluated the solvency of the Company under any state or federal laws relating to bankruptcy, insolvency or similar matters.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opinion only addresses the fairness, from a financial point of view, of the Merger Consideration to be paid to the holders of Company Common Stock (other than Cancelled Shares and Appraisal Shares) in the proposed Transaction, and we express no opinion as to the fairness of any consideration paid in connection with the Transaction to the holders of any other class of securities, creditors or other constituencies of the Company, including holders of the Company Warrants (as defined in the Agreement). Furthermore, we express no opinion as to any other aspect or implication (financial or otherwise) of the Transaction, or any other agreement, arrangement or understanding entered into in connection with the Transaction or otherwise, including, without limitation, the fairness of the amount or nature of, or any other aspect relating to, any compensation or consideration to be received by or otherwise payable to any officers, directors or employees of any party to the Transaction, or class of such persons, relative to the Merger Consideration or otherwise. Furthermore, we are not expressing any advice or opinion regarding matters that require legal, regulatory, accounting, insurance, tax, environmental, executive compensation or other similar professional advice and have relied upon the assessments of the Company and its advisors with respect to such advice.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6,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32918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0"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opinion is necessarily based upon information made available to us as of the date hereof and financial, economic, market and other conditions as they exist and can be evaluated on the date hereof. We have not undertaken, and are under no obligation, to update, revise, reaffirm or withdraw this opinion, or otherwise comment on or consider events occurring or coming to our attention after the date hereof, notwithstanding that any such subsequent developments may affect this opinion. Our opinion does not address the relative merits of the Transaction as compared to any alternative transactions or strategies that might be available to the Company, nor does it address the underlying business decision of the Board or the Company to proceed with or effect the Transaction. We are not expressing any opinion as to the price at which Company Common Stock may be traded at any time.</w:t>
      </w:r>
    </w:p>
    <w:p>
      <w:pPr>
        <w:spacing w:after="0" w:line="17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from the Company for such services, a substantial portion of which is contingent upon the consummation of the Transaction. We also became entitled to receive a fee upon the rendering of our opinion. In addition, the Company has agreed to reimburse us for certain expenses and to indemnify us and certain related parties for certain liabilities and other items arising out of our engagement.</w:t>
      </w:r>
    </w:p>
    <w:p>
      <w:pPr>
        <w:spacing w:after="0" w:line="18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During the two years preceding the date of this opinion, neither we nor our affiliates have had any other material investment, commercial banking or financial advisory relationships with the Company or Hudson Executive Capital LP (“HEP”), a significant shareholder of the Company, and/or its affiliates or portfolio companies. During the two years preceding the date of this opinion, we and our affiliates have had investment or commercial banking relationships with the Parent, for which we and such affiliates have received customary compensation. Such relationships have included acting as joint bookrunner on an offering of debt securities by the Parent in September 2024. We and our affiliates hold, on a proprietary basis, approximately 5% of the outstanding Company Common Stock and less than 1% of the outstanding common stock of the Parent. In the ordinary course of business, we and our affiliates will trade or otherwise effect transactions in the securities or other financial instruments (including bank loans or other obligations) of the Company, the Parent, HEP and certain of their respective affiliates and, as applicable, portfolio companies for our own account and for the accounts of our customers and, accordingly, will at any time hold a long or short position in such securities or financial instruments. In addition, Douglas L. Braunstein, a Vice Chairman of Wells Fargo &amp; Company (an affiliate of Wells Fargo Securities, LLC), is Chairman of the Board, the former interim Chief Executive Officer of the Company and the Founder and Managing Partner of HEP. Mr. Braunstein beneficially owns approximately 15% of the outstanding Company Common Stock. HEP beneficially owns approximately 11% of the outstanding Company Common Stock.</w:t>
      </w:r>
    </w:p>
    <w:p>
      <w:pPr>
        <w:spacing w:after="0" w:line="1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letter is for the information and use of the Board (in its capacity as such) in connection with its evaluation of the Transaction. This opinion does not constitute advice or a recommendation to any stockholder of the Company or any other person as to how to vote or act on any matter relating to the proposed Transaction or any other matter. This opinion may not be used or relied upon for any other purpose without our prior written consent, nor shall this opinion be disclosed to any person or quoted or referred to, in whole or in part, without our prior written consent. This opinion may be reproduced in full in any proxy or information statement mailed to stockholders of the Company but may not otherwise be disclosed publicly in any manner without our prior written consent. The issuance of this opinion has been approved by a fairness committee of Wells Fargo Securities, LLC.</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6,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32918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Merger Consideration to be paid to the holders of Company Common Stock (other than Cancelled Shares and Appraisal Shares) in the proposed Transaction is fair, from a financial point of view, to such holders.</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060"/>
          </w:cols>
          <w:pgMar w:left="320" w:top="455" w:right="5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FF9D09"/>
    <w:multiLevelType w:val="hybridMultilevel"/>
    <w:lvl w:ilvl="0">
      <w:lvlJc w:val="left"/>
      <w:lvlText w:val="☐"/>
      <w:numFmt w:val="bullet"/>
      <w:start w:val="1"/>
    </w:lvl>
  </w:abstractNum>
  <w:abstractNum w:abstractNumId="1">
    <w:nsid w:val="754342"/>
    <w:multiLevelType w:val="hybridMultilevel"/>
    <w:lvl w:ilvl="0">
      <w:lvlJc w:val="left"/>
      <w:lvlText w:val="☒"/>
      <w:numFmt w:val="bullet"/>
      <w:start w:val="1"/>
    </w:lvl>
  </w:abstractNum>
  <w:abstractNum w:abstractNumId="2">
    <w:nsid w:val="69E7F3E5"/>
    <w:multiLevelType w:val="hybridMultilevel"/>
    <w:lvl w:ilvl="0">
      <w:lvlJc w:val="left"/>
      <w:lvlText w:val="☐"/>
      <w:numFmt w:val="bullet"/>
      <w:start w:val="1"/>
    </w:lvl>
  </w:abstractNum>
  <w:abstractNum w:abstractNumId="3">
    <w:nsid w:val="2A6DE806"/>
    <w:multiLevelType w:val="hybridMultilevel"/>
    <w:lvl w:ilvl="0">
      <w:lvlJc w:val="left"/>
      <w:lvlText w:val="☐"/>
      <w:numFmt w:val="bullet"/>
      <w:start w:val="1"/>
    </w:lvl>
  </w:abstractNum>
  <w:abstractNum w:abstractNumId="4">
    <w:nsid w:val="1816F8C4"/>
    <w:multiLevelType w:val="hybridMultilevel"/>
    <w:lvl w:ilvl="0">
      <w:lvlJc w:val="left"/>
      <w:lvlText w:val="☒"/>
      <w:numFmt w:val="bullet"/>
      <w:start w:val="1"/>
    </w:lvl>
  </w:abstractNum>
  <w:abstractNum w:abstractNumId="5">
    <w:nsid w:val="37DF2233"/>
    <w:multiLevelType w:val="hybridMultilevel"/>
    <w:lvl w:ilvl="0">
      <w:lvlJc w:val="left"/>
      <w:lvlText w:val="☐"/>
      <w:numFmt w:val="bullet"/>
      <w:start w:val="1"/>
    </w:lvl>
  </w:abstractNum>
  <w:abstractNum w:abstractNumId="6">
    <w:nsid w:val="7AB49DAF"/>
    <w:multiLevelType w:val="hybridMultilevel"/>
    <w:lvl w:ilvl="0">
      <w:lvlJc w:val="left"/>
      <w:lvlText w:val="(%1)"/>
      <w:numFmt w:val="lowerRoman"/>
      <w:start w:val="3"/>
    </w:lvl>
  </w:abstractNum>
  <w:abstractNum w:abstractNumId="7">
    <w:nsid w:val="759F82CD"/>
    <w:multiLevelType w:val="hybridMultilevel"/>
    <w:lvl w:ilvl="0">
      <w:lvlJc w:val="left"/>
      <w:lvlText w:val="(%1)"/>
      <w:numFmt w:val="lowerRoman"/>
      <w:start w:val="3"/>
    </w:lvl>
  </w:abstractNum>
  <w:abstractNum w:abstractNumId="8">
    <w:nsid w:val="61E74EA3"/>
    <w:multiLevelType w:val="hybridMultilevel"/>
    <w:lvl w:ilvl="0">
      <w:lvlJc w:val="left"/>
      <w:lvlText w:val=" "/>
      <w:numFmt w:val="bullet"/>
      <w:start w:val="1"/>
    </w:lvl>
  </w:abstractNum>
  <w:abstractNum w:abstractNumId="9">
    <w:nsid w:val="597B4D84"/>
    <w:multiLevelType w:val="hybridMultilevel"/>
    <w:lvl w:ilvl="0">
      <w:lvlJc w:val="left"/>
      <w:lvlText w:val="(%1)"/>
      <w:numFmt w:val="lowerRoman"/>
      <w:start w:val="3"/>
    </w:lvl>
  </w:abstractNum>
  <w:abstractNum w:abstractNumId="10">
    <w:nsid w:val="F819E7F"/>
    <w:multiLevelType w:val="hybridMultilevel"/>
    <w:lvl w:ilvl="0">
      <w:lvlJc w:val="left"/>
      <w:lvlText w:val="(%1)"/>
      <w:numFmt w:val="lowerLetter"/>
      <w:start w:val="26"/>
    </w:lvl>
  </w:abstractNum>
  <w:abstractNum w:abstractNumId="11">
    <w:nsid w:val="57C7D42D"/>
    <w:multiLevelType w:val="hybridMultilevel"/>
    <w:lvl w:ilvl="0">
      <w:lvlJc w:val="left"/>
      <w:lvlText w:val="•"/>
      <w:numFmt w:val="bullet"/>
      <w:start w:val="1"/>
    </w:lvl>
  </w:abstractNum>
  <w:abstractNum w:abstractNumId="12">
    <w:nsid w:val="312167AD"/>
    <w:multiLevelType w:val="hybridMultilevel"/>
    <w:lvl w:ilvl="0">
      <w:lvlJc w:val="left"/>
      <w:lvlText w:val="(%1)"/>
      <w:numFmt w:val="lowerRoman"/>
      <w:start w:val="2"/>
    </w:lvl>
  </w:abstractNum>
  <w:abstractNum w:abstractNumId="13">
    <w:nsid w:val="631B64D4"/>
    <w:multiLevelType w:val="hybridMultilevel"/>
    <w:lvl w:ilvl="0">
      <w:lvlJc w:val="left"/>
      <w:lvlText w:val="(%1)"/>
      <w:numFmt w:val="lowerRoman"/>
      <w:start w:val="4"/>
    </w:lvl>
  </w:abstractNum>
  <w:abstractNum w:abstractNumId="14">
    <w:nsid w:val="78B5E776"/>
    <w:multiLevelType w:val="hybridMultilevel"/>
    <w:lvl w:ilvl="0">
      <w:lvlJc w:val="left"/>
      <w:lvlText w:val="•"/>
      <w:numFmt w:val="bullet"/>
      <w:start w:val="1"/>
    </w:lvl>
  </w:abstractNum>
  <w:abstractNum w:abstractNumId="15">
    <w:nsid w:val="75486E47"/>
    <w:multiLevelType w:val="hybridMultilevel"/>
    <w:lvl w:ilvl="0">
      <w:lvlJc w:val="left"/>
      <w:lvlText w:val="•"/>
      <w:numFmt w:val="bullet"/>
      <w:start w:val="1"/>
    </w:lvl>
  </w:abstractNum>
  <w:abstractNum w:abstractNumId="16">
    <w:nsid w:val="6E534CDE"/>
    <w:multiLevelType w:val="hybridMultilevel"/>
    <w:lvl w:ilvl="0">
      <w:lvlJc w:val="left"/>
      <w:lvlText w:val="•"/>
      <w:numFmt w:val="bullet"/>
      <w:start w:val="1"/>
    </w:lvl>
  </w:abstractNum>
  <w:abstractNum w:abstractNumId="17">
    <w:nsid w:val="1A0DDE32"/>
    <w:multiLevelType w:val="hybridMultilevel"/>
    <w:lvl w:ilvl="0">
      <w:lvlJc w:val="left"/>
      <w:lvlText w:val="•"/>
      <w:numFmt w:val="bullet"/>
      <w:start w:val="1"/>
    </w:lvl>
  </w:abstractNum>
  <w:abstractNum w:abstractNumId="18">
    <w:nsid w:val="65968C1C"/>
    <w:multiLevelType w:val="hybridMultilevel"/>
    <w:lvl w:ilvl="0">
      <w:lvlJc w:val="left"/>
      <w:lvlText w:val="•"/>
      <w:numFmt w:val="bullet"/>
      <w:start w:val="1"/>
    </w:lvl>
  </w:abstractNum>
  <w:abstractNum w:abstractNumId="19">
    <w:nsid w:val="46263DEC"/>
    <w:multiLevelType w:val="hybridMultilevel"/>
    <w:lvl w:ilvl="0">
      <w:lvlJc w:val="left"/>
      <w:lvlText w:val="•"/>
      <w:numFmt w:val="bullet"/>
      <w:start w:val="1"/>
    </w:lvl>
  </w:abstractNum>
  <w:abstractNum w:abstractNumId="20">
    <w:nsid w:val="260D8C4A"/>
    <w:multiLevelType w:val="hybridMultilevel"/>
    <w:lvl w:ilvl="0">
      <w:lvlJc w:val="left"/>
      <w:lvlText w:val="•"/>
      <w:numFmt w:val="bullet"/>
      <w:start w:val="1"/>
    </w:lvl>
  </w:abstractNum>
  <w:abstractNum w:abstractNumId="21">
    <w:nsid w:val="73D4D3C4"/>
    <w:multiLevelType w:val="hybridMultilevel"/>
    <w:lvl w:ilvl="0">
      <w:lvlJc w:val="left"/>
      <w:lvlText w:val="•"/>
      <w:numFmt w:val="bullet"/>
      <w:start w:val="1"/>
    </w:lvl>
  </w:abstractNum>
  <w:abstractNum w:abstractNumId="22">
    <w:nsid w:val="746F2E30"/>
    <w:multiLevelType w:val="hybridMultilevel"/>
    <w:lvl w:ilvl="0">
      <w:lvlJc w:val="left"/>
      <w:lvlText w:val="%1:"/>
      <w:numFmt w:val="upperLetter"/>
      <w:start w:val="17"/>
    </w:lvl>
  </w:abstractNum>
  <w:abstractNum w:abstractNumId="23">
    <w:nsid w:val="6FDE8AF6"/>
    <w:multiLevelType w:val="hybridMultilevel"/>
    <w:lvl w:ilvl="0">
      <w:lvlJc w:val="left"/>
      <w:lvlText w:val="%1:"/>
      <w:numFmt w:val="upperLetter"/>
      <w:start w:val="1"/>
    </w:lvl>
  </w:abstractNum>
  <w:abstractNum w:abstractNumId="24">
    <w:nsid w:val="3FC32E20"/>
    <w:multiLevelType w:val="hybridMultilevel"/>
    <w:lvl w:ilvl="0">
      <w:lvlJc w:val="left"/>
      <w:lvlText w:val="%1:"/>
      <w:numFmt w:val="upperLetter"/>
      <w:start w:val="17"/>
    </w:lvl>
  </w:abstractNum>
  <w:abstractNum w:abstractNumId="25">
    <w:nsid w:val="49C0E823"/>
    <w:multiLevelType w:val="hybridMultilevel"/>
    <w:lvl w:ilvl="0">
      <w:lvlJc w:val="left"/>
      <w:lvlText w:val="%1:"/>
      <w:numFmt w:val="upperLetter"/>
      <w:start w:val="1"/>
    </w:lvl>
  </w:abstractNum>
  <w:abstractNum w:abstractNumId="26">
    <w:nsid w:val="14D53685"/>
    <w:multiLevelType w:val="hybridMultilevel"/>
    <w:lvl w:ilvl="0">
      <w:lvlJc w:val="left"/>
      <w:lvlText w:val="%1:"/>
      <w:numFmt w:val="upperLetter"/>
      <w:start w:val="17"/>
    </w:lvl>
  </w:abstractNum>
  <w:abstractNum w:abstractNumId="27">
    <w:nsid w:val="230F856C"/>
    <w:multiLevelType w:val="hybridMultilevel"/>
    <w:lvl w:ilvl="0">
      <w:lvlJc w:val="left"/>
      <w:lvlText w:val="%1:"/>
      <w:numFmt w:val="upperLetter"/>
      <w:start w:val="1"/>
    </w:lvl>
  </w:abstractNum>
  <w:abstractNum w:abstractNumId="28">
    <w:nsid w:val="6EAA85FB"/>
    <w:multiLevelType w:val="hybridMultilevel"/>
    <w:lvl w:ilvl="0">
      <w:lvlJc w:val="left"/>
      <w:lvlText w:val="%1:"/>
      <w:numFmt w:val="upperLetter"/>
      <w:start w:val="17"/>
    </w:lvl>
  </w:abstractNum>
  <w:abstractNum w:abstractNumId="29">
    <w:nsid w:val="3F06ECB2"/>
    <w:multiLevelType w:val="hybridMultilevel"/>
    <w:lvl w:ilvl="0">
      <w:lvlJc w:val="left"/>
      <w:lvlText w:val="%1:"/>
      <w:numFmt w:val="upperLetter"/>
      <w:start w:val="1"/>
    </w:lvl>
  </w:abstractNum>
  <w:abstractNum w:abstractNumId="30">
    <w:nsid w:val="3B594807"/>
    <w:multiLevelType w:val="hybridMultilevel"/>
    <w:lvl w:ilvl="0">
      <w:lvlJc w:val="left"/>
      <w:lvlText w:val="%1:"/>
      <w:numFmt w:val="upperLetter"/>
      <w:start w:val="17"/>
    </w:lvl>
  </w:abstractNum>
  <w:abstractNum w:abstractNumId="31">
    <w:nsid w:val="6CAA2304"/>
    <w:multiLevelType w:val="hybridMultilevel"/>
    <w:lvl w:ilvl="0">
      <w:lvlJc w:val="left"/>
      <w:lvlText w:val="%1:"/>
      <w:numFmt w:val="upperLetter"/>
      <w:start w:val="1"/>
    </w:lvl>
    <w:lvl w:ilvl="1">
      <w:lvlJc w:val="left"/>
      <w:lvlText w:val="•"/>
      <w:numFmt w:val="bullet"/>
      <w:start w:val="1"/>
    </w:lvl>
  </w:abstractNum>
  <w:abstractNum w:abstractNumId="32">
    <w:nsid w:val="3F7C2FF4"/>
    <w:multiLevelType w:val="hybridMultilevel"/>
    <w:lvl w:ilvl="0">
      <w:lvlJc w:val="left"/>
      <w:lvlText w:val="%1:"/>
      <w:numFmt w:val="upperLetter"/>
      <w:start w:val="17"/>
    </w:lvl>
  </w:abstractNum>
  <w:abstractNum w:abstractNumId="33">
    <w:nsid w:val="25413BEC"/>
    <w:multiLevelType w:val="hybridMultilevel"/>
    <w:lvl w:ilvl="0">
      <w:lvlJc w:val="left"/>
      <w:lvlText w:val="%1:"/>
      <w:numFmt w:val="upperLetter"/>
      <w:start w:val="1"/>
    </w:lvl>
  </w:abstractNum>
  <w:abstractNum w:abstractNumId="34">
    <w:nsid w:val="17180B0B"/>
    <w:multiLevelType w:val="hybridMultilevel"/>
    <w:lvl w:ilvl="0">
      <w:lvlJc w:val="left"/>
      <w:lvlText w:val="%1:"/>
      <w:numFmt w:val="upperLetter"/>
      <w:start w:val="17"/>
    </w:lvl>
  </w:abstractNum>
  <w:abstractNum w:abstractNumId="35">
    <w:nsid w:val="579328B9"/>
    <w:multiLevelType w:val="hybridMultilevel"/>
    <w:lvl w:ilvl="0">
      <w:lvlJc w:val="left"/>
      <w:lvlText w:val="%1:"/>
      <w:numFmt w:val="upperLetter"/>
      <w:start w:val="1"/>
    </w:lvl>
    <w:lvl w:ilvl="1">
      <w:lvlJc w:val="left"/>
      <w:lvlText w:val="•"/>
      <w:numFmt w:val="bullet"/>
      <w:start w:val="1"/>
    </w:lvl>
  </w:abstractNum>
  <w:abstractNum w:abstractNumId="36">
    <w:nsid w:val="5D205E20"/>
    <w:multiLevelType w:val="hybridMultilevel"/>
    <w:lvl w:ilvl="0">
      <w:lvlJc w:val="left"/>
      <w:lvlText w:val="%1:"/>
      <w:numFmt w:val="upperLetter"/>
      <w:start w:val="17"/>
    </w:lvl>
  </w:abstractNum>
  <w:abstractNum w:abstractNumId="37">
    <w:nsid w:val="11CCA8BA"/>
    <w:multiLevelType w:val="hybridMultilevel"/>
    <w:lvl w:ilvl="0">
      <w:lvlJc w:val="left"/>
      <w:lvlText w:val="%1:"/>
      <w:numFmt w:val="upperLetter"/>
      <w:start w:val="1"/>
    </w:lvl>
  </w:abstractNum>
  <w:abstractNum w:abstractNumId="38">
    <w:nsid w:val="4D32AB86"/>
    <w:multiLevelType w:val="hybridMultilevel"/>
    <w:lvl w:ilvl="0">
      <w:lvlJc w:val="left"/>
      <w:lvlText w:val="%1:"/>
      <w:numFmt w:val="upperLetter"/>
      <w:start w:val="17"/>
    </w:lvl>
  </w:abstractNum>
  <w:abstractNum w:abstractNumId="39">
    <w:nsid w:val="3F07ACC3"/>
    <w:multiLevelType w:val="hybridMultilevel"/>
    <w:lvl w:ilvl="0">
      <w:lvlJc w:val="left"/>
      <w:lvlText w:val="%1:"/>
      <w:numFmt w:val="upperLetter"/>
      <w:start w:val="1"/>
    </w:lvl>
  </w:abstractNum>
  <w:abstractNum w:abstractNumId="40">
    <w:nsid w:val="6B47F63E"/>
    <w:multiLevelType w:val="hybridMultilevel"/>
    <w:lvl w:ilvl="0">
      <w:lvlJc w:val="left"/>
      <w:lvlText w:val="%1:"/>
      <w:numFmt w:val="upperLetter"/>
      <w:start w:val="17"/>
    </w:lvl>
  </w:abstractNum>
  <w:abstractNum w:abstractNumId="41">
    <w:nsid w:val="5CB44A05"/>
    <w:multiLevelType w:val="hybridMultilevel"/>
    <w:lvl w:ilvl="0">
      <w:lvlJc w:val="left"/>
      <w:lvlText w:val="%1:"/>
      <w:numFmt w:val="upperLetter"/>
      <w:start w:val="1"/>
    </w:lvl>
  </w:abstractNum>
  <w:abstractNum w:abstractNumId="42">
    <w:nsid w:val="16CF80F1"/>
    <w:multiLevelType w:val="hybridMultilevel"/>
    <w:lvl w:ilvl="0">
      <w:lvlJc w:val="left"/>
      <w:lvlText w:val="%1:"/>
      <w:numFmt w:val="upperLetter"/>
      <w:start w:val="17"/>
    </w:lvl>
  </w:abstractNum>
  <w:abstractNum w:abstractNumId="43">
    <w:nsid w:val="1C695DEC"/>
    <w:multiLevelType w:val="hybridMultilevel"/>
    <w:lvl w:ilvl="0">
      <w:lvlJc w:val="left"/>
      <w:lvlText w:val="%1:"/>
      <w:numFmt w:val="upperLetter"/>
      <w:start w:val="1"/>
    </w:lvl>
    <w:lvl w:ilvl="1">
      <w:lvlJc w:val="left"/>
      <w:lvlText w:val="•"/>
      <w:numFmt w:val="bullet"/>
      <w:start w:val="1"/>
    </w:lvl>
  </w:abstractNum>
  <w:abstractNum w:abstractNumId="44">
    <w:nsid w:val="3FCFAED9"/>
    <w:multiLevelType w:val="hybridMultilevel"/>
    <w:lvl w:ilvl="0">
      <w:lvlJc w:val="left"/>
      <w:lvlText w:val="%1:"/>
      <w:numFmt w:val="upperLetter"/>
      <w:start w:val="17"/>
    </w:lvl>
  </w:abstractNum>
  <w:abstractNum w:abstractNumId="45">
    <w:nsid w:val="F856867"/>
    <w:multiLevelType w:val="hybridMultilevel"/>
    <w:lvl w:ilvl="0">
      <w:lvlJc w:val="left"/>
      <w:lvlText w:val="%1:"/>
      <w:numFmt w:val="upperLetter"/>
      <w:start w:val="1"/>
    </w:lvl>
  </w:abstractNum>
  <w:abstractNum w:abstractNumId="46">
    <w:nsid w:val="11B1CC33"/>
    <w:multiLevelType w:val="hybridMultilevel"/>
    <w:lvl w:ilvl="0">
      <w:lvlJc w:val="left"/>
      <w:lvlText w:val="%1:"/>
      <w:numFmt w:val="upperLetter"/>
      <w:start w:val="17"/>
    </w:lvl>
  </w:abstractNum>
  <w:abstractNum w:abstractNumId="47">
    <w:nsid w:val="2E22FBB7"/>
    <w:multiLevelType w:val="hybridMultilevel"/>
    <w:lvl w:ilvl="0">
      <w:lvlJc w:val="left"/>
      <w:lvlText w:val="%1:"/>
      <w:numFmt w:val="upperLetter"/>
      <w:start w:val="1"/>
    </w:lvl>
  </w:abstractNum>
  <w:abstractNum w:abstractNumId="48">
    <w:nsid w:val="29934699"/>
    <w:multiLevelType w:val="hybridMultilevel"/>
    <w:lvl w:ilvl="0">
      <w:lvlJc w:val="left"/>
      <w:lvlText w:val="%1:"/>
      <w:numFmt w:val="upperLetter"/>
      <w:start w:val="17"/>
    </w:lvl>
  </w:abstractNum>
  <w:abstractNum w:abstractNumId="49">
    <w:nsid w:val="77485850"/>
    <w:multiLevelType w:val="hybridMultilevel"/>
    <w:lvl w:ilvl="0">
      <w:lvlJc w:val="left"/>
      <w:lvlText w:val="%1:"/>
      <w:numFmt w:val="upperLetter"/>
      <w:start w:val="1"/>
    </w:lvl>
  </w:abstractNum>
  <w:abstractNum w:abstractNumId="50">
    <w:nsid w:val="744939A3"/>
    <w:multiLevelType w:val="hybridMultilevel"/>
    <w:lvl w:ilvl="0">
      <w:lvlJc w:val="left"/>
      <w:lvlText w:val="%1:"/>
      <w:numFmt w:val="upperLetter"/>
      <w:start w:val="17"/>
    </w:lvl>
  </w:abstractNum>
  <w:abstractNum w:abstractNumId="51">
    <w:nsid w:val="4FA0D2E3"/>
    <w:multiLevelType w:val="hybridMultilevel"/>
    <w:lvl w:ilvl="0">
      <w:lvlJc w:val="left"/>
      <w:lvlText w:val="%1:"/>
      <w:numFmt w:val="upperLetter"/>
      <w:start w:val="1"/>
    </w:lvl>
  </w:abstractNum>
  <w:abstractNum w:abstractNumId="52">
    <w:nsid w:val="6B1D2C14"/>
    <w:multiLevelType w:val="hybridMultilevel"/>
    <w:lvl w:ilvl="0">
      <w:lvlJc w:val="left"/>
      <w:lvlText w:val="%1:"/>
      <w:numFmt w:val="upperLetter"/>
      <w:start w:val="17"/>
    </w:lvl>
  </w:abstractNum>
  <w:abstractNum w:abstractNumId="53">
    <w:nsid w:val="68B867D3"/>
    <w:multiLevelType w:val="hybridMultilevel"/>
    <w:lvl w:ilvl="0">
      <w:lvlJc w:val="left"/>
      <w:lvlText w:val="%1:"/>
      <w:numFmt w:val="upperLetter"/>
      <w:start w:val="1"/>
    </w:lvl>
  </w:abstractNum>
  <w:abstractNum w:abstractNumId="54">
    <w:nsid w:val="3F7F5DD9"/>
    <w:multiLevelType w:val="hybridMultilevel"/>
    <w:lvl w:ilvl="0">
      <w:lvlJc w:val="left"/>
      <w:lvlText w:val="%1:"/>
      <w:numFmt w:val="upperLetter"/>
      <w:start w:val="17"/>
    </w:lvl>
  </w:abstractNum>
  <w:abstractNum w:abstractNumId="55">
    <w:nsid w:val="2AE05A34"/>
    <w:multiLevelType w:val="hybridMultilevel"/>
    <w:lvl w:ilvl="0">
      <w:lvlJc w:val="left"/>
      <w:lvlText w:val="%1:"/>
      <w:numFmt w:val="upperLetter"/>
      <w:start w:val="1"/>
    </w:lvl>
  </w:abstractNum>
  <w:abstractNum w:abstractNumId="56">
    <w:nsid w:val="32794FF7"/>
    <w:multiLevelType w:val="hybridMultilevel"/>
    <w:lvl w:ilvl="0">
      <w:lvlJc w:val="left"/>
      <w:lvlText w:val="%1:"/>
      <w:numFmt w:val="upperLetter"/>
      <w:start w:val="17"/>
    </w:lvl>
  </w:abstractNum>
  <w:abstractNum w:abstractNumId="57">
    <w:nsid w:val="5454945E"/>
    <w:multiLevelType w:val="hybridMultilevel"/>
    <w:lvl w:ilvl="0">
      <w:lvlJc w:val="left"/>
      <w:lvlText w:val="%1:"/>
      <w:numFmt w:val="upperLetter"/>
      <w:start w:val="1"/>
    </w:lvl>
  </w:abstractNum>
  <w:abstractNum w:abstractNumId="58">
    <w:nsid w:val="4DEFDFA0"/>
    <w:multiLevelType w:val="hybridMultilevel"/>
    <w:lvl w:ilvl="0">
      <w:lvlJc w:val="left"/>
      <w:lvlText w:val="%1:"/>
      <w:numFmt w:val="upperLetter"/>
      <w:start w:val="17"/>
    </w:lvl>
  </w:abstractNum>
  <w:abstractNum w:abstractNumId="59">
    <w:nsid w:val="2123D5F2"/>
    <w:multiLevelType w:val="hybridMultilevel"/>
    <w:lvl w:ilvl="0">
      <w:lvlJc w:val="left"/>
      <w:lvlText w:val="%1:"/>
      <w:numFmt w:val="upperLetter"/>
      <w:start w:val="1"/>
    </w:lvl>
    <w:lvl w:ilvl="1">
      <w:lvlJc w:val="left"/>
      <w:lvlText w:val="•"/>
      <w:numFmt w:val="bullet"/>
      <w:start w:val="1"/>
    </w:lvl>
  </w:abstractNum>
  <w:abstractNum w:abstractNumId="60">
    <w:nsid w:val="135B8110"/>
    <w:multiLevelType w:val="hybridMultilevel"/>
    <w:lvl w:ilvl="0">
      <w:lvlJc w:val="left"/>
      <w:lvlText w:val="%1:"/>
      <w:numFmt w:val="upperLetter"/>
      <w:start w:val="17"/>
    </w:lvl>
  </w:abstractNum>
  <w:abstractNum w:abstractNumId="61">
    <w:nsid w:val="94927A8"/>
    <w:multiLevelType w:val="hybridMultilevel"/>
    <w:lvl w:ilvl="0">
      <w:lvlJc w:val="left"/>
      <w:lvlText w:val="%1:"/>
      <w:numFmt w:val="upperLetter"/>
      <w:start w:val="1"/>
    </w:lvl>
  </w:abstractNum>
  <w:abstractNum w:abstractNumId="62">
    <w:nsid w:val="DCDF8F6"/>
    <w:multiLevelType w:val="hybridMultilevel"/>
    <w:lvl w:ilvl="0">
      <w:lvlJc w:val="left"/>
      <w:lvlText w:val="%1:"/>
      <w:numFmt w:val="upperLetter"/>
      <w:start w:val="17"/>
    </w:lvl>
  </w:abstractNum>
  <w:abstractNum w:abstractNumId="63">
    <w:nsid w:val="52D7B105"/>
    <w:multiLevelType w:val="hybridMultilevel"/>
    <w:lvl w:ilvl="0">
      <w:lvlJc w:val="left"/>
      <w:lvlText w:val="%1:"/>
      <w:numFmt w:val="upperLetter"/>
      <w:start w:val="1"/>
    </w:lvl>
  </w:abstractNum>
  <w:abstractNum w:abstractNumId="64">
    <w:nsid w:val="2E8A6394"/>
    <w:multiLevelType w:val="hybridMultilevel"/>
    <w:lvl w:ilvl="0">
      <w:lvlJc w:val="left"/>
      <w:lvlText w:val="%1:"/>
      <w:numFmt w:val="upperLetter"/>
      <w:start w:val="17"/>
    </w:lvl>
  </w:abstractNum>
  <w:abstractNum w:abstractNumId="65">
    <w:nsid w:val="24E60401"/>
    <w:multiLevelType w:val="hybridMultilevel"/>
    <w:lvl w:ilvl="0">
      <w:lvlJc w:val="left"/>
      <w:lvlText w:val="%1:"/>
      <w:numFmt w:val="upperLetter"/>
      <w:start w:val="1"/>
    </w:lvl>
  </w:abstractNum>
  <w:abstractNum w:abstractNumId="66">
    <w:nsid w:val="2A6AD9BE"/>
    <w:multiLevelType w:val="hybridMultilevel"/>
    <w:lvl w:ilvl="0">
      <w:lvlJc w:val="left"/>
      <w:lvlText w:val="%1:"/>
      <w:numFmt w:val="upperLetter"/>
      <w:start w:val="17"/>
    </w:lvl>
  </w:abstractNum>
  <w:abstractNum w:abstractNumId="67">
    <w:nsid w:val="BAAC1B4"/>
    <w:multiLevelType w:val="hybridMultilevel"/>
    <w:lvl w:ilvl="0">
      <w:lvlJc w:val="left"/>
      <w:lvlText w:val="%1:"/>
      <w:numFmt w:val="upperLetter"/>
      <w:start w:val="1"/>
    </w:lvl>
  </w:abstractNum>
  <w:abstractNum w:abstractNumId="68">
    <w:nsid w:val="36B2ACBC"/>
    <w:multiLevelType w:val="hybridMultilevel"/>
    <w:lvl w:ilvl="0">
      <w:lvlJc w:val="left"/>
      <w:lvlText w:val="%1:"/>
      <w:numFmt w:val="upperLetter"/>
      <w:start w:val="17"/>
    </w:lvl>
  </w:abstractNum>
  <w:abstractNum w:abstractNumId="69">
    <w:nsid w:val="779D8544"/>
    <w:multiLevelType w:val="hybridMultilevel"/>
    <w:lvl w:ilvl="0">
      <w:lvlJc w:val="left"/>
      <w:lvlText w:val="%1:"/>
      <w:numFmt w:val="upperLetter"/>
      <w:start w:val="1"/>
    </w:lvl>
  </w:abstractNum>
  <w:abstractNum w:abstractNumId="70">
    <w:nsid w:val="4AB26E78"/>
    <w:multiLevelType w:val="hybridMultilevel"/>
    <w:lvl w:ilvl="0">
      <w:lvlJc w:val="left"/>
      <w:lvlText w:val="%1:"/>
      <w:numFmt w:val="upperLetter"/>
      <w:start w:val="17"/>
    </w:lvl>
  </w:abstractNum>
  <w:abstractNum w:abstractNumId="71">
    <w:nsid w:val="21FAA2FA"/>
    <w:multiLevelType w:val="hybridMultilevel"/>
    <w:lvl w:ilvl="0">
      <w:lvlJc w:val="left"/>
      <w:lvlText w:val="%1:"/>
      <w:numFmt w:val="upperLetter"/>
      <w:start w:val="1"/>
    </w:lvl>
  </w:abstractNum>
  <w:abstractNum w:abstractNumId="72">
    <w:nsid w:val="5451CF49"/>
    <w:multiLevelType w:val="hybridMultilevel"/>
    <w:lvl w:ilvl="0">
      <w:lvlJc w:val="left"/>
      <w:lvlText w:val="%1:"/>
      <w:numFmt w:val="upperLetter"/>
      <w:start w:val="17"/>
    </w:lvl>
  </w:abstractNum>
  <w:abstractNum w:abstractNumId="73">
    <w:nsid w:val="6181EF69"/>
    <w:multiLevelType w:val="hybridMultilevel"/>
    <w:lvl w:ilvl="0">
      <w:lvlJc w:val="left"/>
      <w:lvlText w:val="%1:"/>
      <w:numFmt w:val="upperLetter"/>
      <w:start w:val="1"/>
    </w:lvl>
  </w:abstractNum>
  <w:abstractNum w:abstractNumId="74">
    <w:nsid w:val="3E6400E6"/>
    <w:multiLevelType w:val="hybridMultilevel"/>
    <w:lvl w:ilvl="0">
      <w:lvlJc w:val="left"/>
      <w:lvlText w:val="%1:"/>
      <w:numFmt w:val="upperLetter"/>
      <w:start w:val="17"/>
    </w:lvl>
  </w:abstractNum>
  <w:abstractNum w:abstractNumId="75">
    <w:nsid w:val="14217E23"/>
    <w:multiLevelType w:val="hybridMultilevel"/>
    <w:lvl w:ilvl="0">
      <w:lvlJc w:val="left"/>
      <w:lvlText w:val="%1:"/>
      <w:numFmt w:val="upperLetter"/>
      <w:start w:val="1"/>
    </w:lvl>
    <w:lvl w:ilvl="1">
      <w:lvlJc w:val="left"/>
      <w:lvlText w:val="•"/>
      <w:numFmt w:val="bullet"/>
      <w:start w:val="1"/>
    </w:lvl>
  </w:abstractNum>
  <w:abstractNum w:abstractNumId="76">
    <w:nsid w:val="710757D0"/>
    <w:multiLevelType w:val="hybridMultilevel"/>
    <w:lvl w:ilvl="0">
      <w:lvlJc w:val="left"/>
      <w:lvlText w:val="%1:"/>
      <w:numFmt w:val="upperLetter"/>
      <w:start w:val="17"/>
    </w:lvl>
  </w:abstractNum>
  <w:abstractNum w:abstractNumId="77">
    <w:nsid w:val="5015CD1A"/>
    <w:multiLevelType w:val="hybridMultilevel"/>
    <w:lvl w:ilvl="0">
      <w:lvlJc w:val="left"/>
      <w:lvlText w:val="%1:"/>
      <w:numFmt w:val="upperLetter"/>
      <w:start w:val="1"/>
    </w:lvl>
  </w:abstractNum>
  <w:abstractNum w:abstractNumId="78">
    <w:nsid w:val="424479DA"/>
    <w:multiLevelType w:val="hybridMultilevel"/>
    <w:lvl w:ilvl="0">
      <w:lvlJc w:val="left"/>
      <w:lvlText w:val="%1:"/>
      <w:numFmt w:val="upperLetter"/>
      <w:start w:val="17"/>
    </w:lvl>
  </w:abstractNum>
  <w:abstractNum w:abstractNumId="79">
    <w:nsid w:val="1A9A9E69"/>
    <w:multiLevelType w:val="hybridMultilevel"/>
    <w:lvl w:ilvl="0">
      <w:lvlJc w:val="left"/>
      <w:lvlText w:val="%1:"/>
      <w:numFmt w:val="upperLetter"/>
      <w:start w:val="1"/>
    </w:lvl>
  </w:abstractNum>
  <w:abstractNum w:abstractNumId="80">
    <w:nsid w:val="475E256A"/>
    <w:multiLevelType w:val="hybridMultilevel"/>
    <w:lvl w:ilvl="0">
      <w:lvlJc w:val="left"/>
      <w:lvlText w:val="%1:"/>
      <w:numFmt w:val="upperLetter"/>
      <w:start w:val="17"/>
    </w:lvl>
  </w:abstractNum>
  <w:abstractNum w:abstractNumId="81">
    <w:nsid w:val="368DB37E"/>
    <w:multiLevelType w:val="hybridMultilevel"/>
    <w:lvl w:ilvl="0">
      <w:lvlJc w:val="left"/>
      <w:lvlText w:val="%1:"/>
      <w:numFmt w:val="upperLetter"/>
      <w:start w:val="1"/>
    </w:lvl>
  </w:abstractNum>
  <w:abstractNum w:abstractNumId="82">
    <w:nsid w:val="6A3B714C"/>
    <w:multiLevelType w:val="hybridMultilevel"/>
    <w:lvl w:ilvl="0">
      <w:lvlJc w:val="left"/>
      <w:lvlText w:val="%1:"/>
      <w:numFmt w:val="upperLetter"/>
      <w:start w:val="17"/>
    </w:lvl>
  </w:abstractNum>
  <w:abstractNum w:abstractNumId="83">
    <w:nsid w:val="327B517E"/>
    <w:multiLevelType w:val="hybridMultilevel"/>
    <w:lvl w:ilvl="0">
      <w:lvlJc w:val="left"/>
      <w:lvlText w:val="%1:"/>
      <w:numFmt w:val="upperLetter"/>
      <w:start w:val="1"/>
    </w:lvl>
  </w:abstractNum>
  <w:abstractNum w:abstractNumId="84">
    <w:nsid w:val="1F461B51"/>
    <w:multiLevelType w:val="hybridMultilevel"/>
    <w:lvl w:ilvl="0">
      <w:lvlJc w:val="left"/>
      <w:lvlText w:val="%1:"/>
      <w:numFmt w:val="upperLetter"/>
      <w:start w:val="17"/>
    </w:lvl>
  </w:abstractNum>
  <w:abstractNum w:abstractNumId="85">
    <w:nsid w:val="29BACF25"/>
    <w:multiLevelType w:val="hybridMultilevel"/>
    <w:lvl w:ilvl="0">
      <w:lvlJc w:val="left"/>
      <w:lvlText w:val="%1:"/>
      <w:numFmt w:val="upperLetter"/>
      <w:start w:val="1"/>
    </w:lvl>
  </w:abstractNum>
  <w:abstractNum w:abstractNumId="86">
    <w:nsid w:val="5D5BABB3"/>
    <w:multiLevelType w:val="hybridMultilevel"/>
    <w:lvl w:ilvl="0">
      <w:lvlJc w:val="left"/>
      <w:lvlText w:val="%1:"/>
      <w:numFmt w:val="upperLetter"/>
      <w:start w:val="17"/>
    </w:lvl>
  </w:abstractNum>
  <w:abstractNum w:abstractNumId="87">
    <w:nsid w:val="51BF6B48"/>
    <w:multiLevelType w:val="hybridMultilevel"/>
    <w:lvl w:ilvl="0">
      <w:lvlJc w:val="left"/>
      <w:lvlText w:val="%1:"/>
      <w:numFmt w:val="upperLetter"/>
      <w:start w:val="1"/>
    </w:lvl>
  </w:abstractNum>
  <w:abstractNum w:abstractNumId="88">
    <w:nsid w:val="7E0F6384"/>
    <w:multiLevelType w:val="hybridMultilevel"/>
    <w:lvl w:ilvl="0">
      <w:lvlJc w:val="left"/>
      <w:lvlText w:val="%1:"/>
      <w:numFmt w:val="upperLetter"/>
      <w:start w:val="17"/>
    </w:lvl>
  </w:abstractNum>
  <w:abstractNum w:abstractNumId="89">
    <w:nsid w:val="2B4B8B53"/>
    <w:multiLevelType w:val="hybridMultilevel"/>
    <w:lvl w:ilvl="0">
      <w:lvlJc w:val="left"/>
      <w:lvlText w:val="%1:"/>
      <w:numFmt w:val="upperLetter"/>
      <w:start w:val="1"/>
    </w:lvl>
  </w:abstractNum>
  <w:abstractNum w:abstractNumId="90">
    <w:nsid w:val="72E3413A"/>
    <w:multiLevelType w:val="hybridMultilevel"/>
    <w:lvl w:ilvl="0">
      <w:lvlJc w:val="left"/>
      <w:lvlText w:val="%1:"/>
      <w:numFmt w:val="upperLetter"/>
      <w:start w:val="17"/>
    </w:lvl>
  </w:abstractNum>
  <w:abstractNum w:abstractNumId="91">
    <w:nsid w:val="116AE494"/>
    <w:multiLevelType w:val="hybridMultilevel"/>
    <w:lvl w:ilvl="0">
      <w:lvlJc w:val="left"/>
      <w:lvlText w:val="%1:"/>
      <w:numFmt w:val="upperLetter"/>
      <w:start w:val="1"/>
    </w:lvl>
  </w:abstractNum>
  <w:abstractNum w:abstractNumId="92">
    <w:nsid w:val="3494B2FB"/>
    <w:multiLevelType w:val="hybridMultilevel"/>
    <w:lvl w:ilvl="0">
      <w:lvlJc w:val="left"/>
      <w:lvlText w:val=" "/>
      <w:numFmt w:val="bullet"/>
      <w:start w:val="1"/>
    </w:lvl>
  </w:abstractNum>
  <w:abstractNum w:abstractNumId="93">
    <w:nsid w:val="B13A31"/>
    <w:multiLevelType w:val="hybridMultilevel"/>
    <w:lvl w:ilvl="0">
      <w:lvlJc w:val="left"/>
      <w:lvlText w:val="•"/>
      <w:numFmt w:val="bullet"/>
      <w:start w:val="1"/>
    </w:lvl>
  </w:abstractNum>
  <w:abstractNum w:abstractNumId="94">
    <w:nsid w:val="64429599"/>
    <w:multiLevelType w:val="hybridMultilevel"/>
    <w:lvl w:ilvl="0">
      <w:lvlJc w:val="left"/>
      <w:lvlText w:val="•"/>
      <w:numFmt w:val="bullet"/>
      <w:start w:val="1"/>
    </w:lvl>
  </w:abstractNum>
  <w:abstractNum w:abstractNumId="95">
    <w:nsid w:val="631F1690"/>
    <w:multiLevelType w:val="hybridMultilevel"/>
    <w:lvl w:ilvl="0">
      <w:lvlJc w:val="left"/>
      <w:lvlText w:val="•"/>
      <w:numFmt w:val="bullet"/>
      <w:start w:val="1"/>
    </w:lvl>
  </w:abstractNum>
  <w:abstractNum w:abstractNumId="96">
    <w:nsid w:val="25973E32"/>
    <w:multiLevelType w:val="hybridMultilevel"/>
    <w:lvl w:ilvl="0">
      <w:lvlJc w:val="left"/>
      <w:lvlText w:val="(%1)"/>
      <w:numFmt w:val="upperLetter"/>
      <w:start w:val="1"/>
    </w:lvl>
  </w:abstractNum>
  <w:abstractNum w:abstractNumId="97">
    <w:nsid w:val="EAD6F57"/>
    <w:multiLevelType w:val="hybridMultilevel"/>
    <w:lvl w:ilvl="0">
      <w:lvlJc w:val="left"/>
      <w:lvlText w:val="(%1)"/>
      <w:numFmt w:val="upperLetter"/>
      <w:start w:val="3"/>
    </w:lvl>
  </w:abstractNum>
  <w:abstractNum w:abstractNumId="98">
    <w:nsid w:val="6EC9D844"/>
    <w:multiLevelType w:val="hybridMultilevel"/>
    <w:lvl w:ilvl="0">
      <w:lvlJc w:val="left"/>
      <w:lvlText w:val="•"/>
      <w:numFmt w:val="bullet"/>
      <w:start w:val="1"/>
    </w:lvl>
  </w:abstractNum>
  <w:abstractNum w:abstractNumId="99">
    <w:nsid w:val="5C49EAEE"/>
    <w:multiLevelType w:val="hybridMultilevel"/>
    <w:lvl w:ilvl="0">
      <w:lvlJc w:val="left"/>
      <w:lvlText w:val="(%1)"/>
      <w:numFmt w:val="lowerRoman"/>
      <w:start w:val="3"/>
    </w:lvl>
  </w:abstractNum>
  <w:abstractNum w:abstractNumId="100">
    <w:nsid w:val="64AF49B"/>
    <w:multiLevelType w:val="hybridMultilevel"/>
    <w:lvl w:ilvl="0">
      <w:lvlJc w:val="left"/>
      <w:lvlText w:val="•"/>
      <w:numFmt w:val="bullet"/>
      <w:start w:val="1"/>
    </w:lvl>
  </w:abstractNum>
  <w:abstractNum w:abstractNumId="101">
    <w:nsid w:val="397C46BC"/>
    <w:multiLevelType w:val="hybridMultilevel"/>
    <w:lvl w:ilvl="0">
      <w:lvlJc w:val="left"/>
      <w:lvlText w:val="•"/>
      <w:numFmt w:val="bullet"/>
      <w:start w:val="1"/>
    </w:lvl>
  </w:abstractNum>
  <w:abstractNum w:abstractNumId="102">
    <w:nsid w:val="7E448DE9"/>
    <w:multiLevelType w:val="hybridMultilevel"/>
    <w:lvl w:ilvl="0">
      <w:lvlJc w:val="left"/>
      <w:lvlText w:val="•"/>
      <w:numFmt w:val="bullet"/>
      <w:start w:val="1"/>
    </w:lvl>
    <w:lvl w:ilvl="1">
      <w:lvlJc w:val="left"/>
      <w:lvlText w:val="•"/>
      <w:numFmt w:val="bullet"/>
      <w:start w:val="1"/>
    </w:lvl>
  </w:abstractNum>
  <w:abstractNum w:abstractNumId="103">
    <w:nsid w:val="5A9CC3E5"/>
    <w:multiLevelType w:val="hybridMultilevel"/>
    <w:lvl w:ilvl="0">
      <w:lvlJc w:val="left"/>
      <w:lvlText w:val="•"/>
      <w:numFmt w:val="bullet"/>
      <w:start w:val="1"/>
    </w:lvl>
    <w:lvl w:ilvl="1">
      <w:lvlJc w:val="left"/>
      <w:lvlText w:val="•"/>
      <w:numFmt w:val="bullet"/>
      <w:start w:val="1"/>
    </w:lvl>
  </w:abstractNum>
  <w:abstractNum w:abstractNumId="104">
    <w:nsid w:val="1AFE3625"/>
    <w:multiLevelType w:val="hybridMultilevel"/>
    <w:lvl w:ilvl="0">
      <w:lvlJc w:val="left"/>
      <w:lvlText w:val="•"/>
      <w:numFmt w:val="bullet"/>
      <w:start w:val="1"/>
    </w:lvl>
  </w:abstractNum>
  <w:abstractNum w:abstractNumId="105">
    <w:nsid w:val="3CA88ECF"/>
    <w:multiLevelType w:val="hybridMultilevel"/>
    <w:lvl w:ilvl="0">
      <w:lvlJc w:val="left"/>
      <w:lvlText w:val="•"/>
      <w:numFmt w:val="bullet"/>
      <w:start w:val="1"/>
    </w:lvl>
    <w:lvl w:ilvl="1">
      <w:lvlJc w:val="left"/>
      <w:lvlText w:val="•"/>
      <w:numFmt w:val="bullet"/>
      <w:start w:val="1"/>
    </w:lvl>
  </w:abstractNum>
  <w:abstractNum w:abstractNumId="106">
    <w:nsid w:val="6EBE4208"/>
    <w:multiLevelType w:val="hybridMultilevel"/>
    <w:lvl w:ilvl="0">
      <w:lvlJc w:val="left"/>
      <w:lvlText w:val="•"/>
      <w:numFmt w:val="bullet"/>
      <w:start w:val="1"/>
    </w:lvl>
  </w:abstractNum>
  <w:abstractNum w:abstractNumId="107">
    <w:nsid w:val="C058DF5"/>
    <w:multiLevelType w:val="hybridMultilevel"/>
    <w:lvl w:ilvl="0">
      <w:lvlJc w:val="left"/>
      <w:lvlText w:val="(%1)"/>
      <w:numFmt w:val="decimal"/>
      <w:start w:val="1"/>
    </w:lvl>
  </w:abstractNum>
  <w:abstractNum w:abstractNumId="108">
    <w:nsid w:val="CBE5BE9"/>
    <w:multiLevelType w:val="hybridMultilevel"/>
    <w:lvl w:ilvl="0">
      <w:lvlJc w:val="left"/>
      <w:lvlText w:val="•"/>
      <w:numFmt w:val="bullet"/>
      <w:start w:val="1"/>
    </w:lvl>
  </w:abstractNum>
  <w:abstractNum w:abstractNumId="109">
    <w:nsid w:val="3102BBE2"/>
    <w:multiLevelType w:val="hybridMultilevel"/>
    <w:lvl w:ilvl="0">
      <w:lvlJc w:val="left"/>
      <w:lvlText w:val="(%1)"/>
      <w:numFmt w:val="lowerRoman"/>
      <w:start w:val="1"/>
    </w:lvl>
  </w:abstractNum>
  <w:abstractNum w:abstractNumId="110">
    <w:nsid w:val="26A02C5E"/>
    <w:multiLevelType w:val="hybridMultilevel"/>
    <w:lvl w:ilvl="0">
      <w:lvlJc w:val="left"/>
      <w:lvlText w:val="(%1)"/>
      <w:numFmt w:val="lowerRoman"/>
      <w:start w:val="1"/>
    </w:lvl>
  </w:abstractNum>
  <w:abstractNum w:abstractNumId="111">
    <w:nsid w:val="541C8153"/>
    <w:multiLevelType w:val="hybridMultilevel"/>
    <w:lvl w:ilvl="0">
      <w:lvlJc w:val="left"/>
      <w:lvlText w:val="(%1)"/>
      <w:numFmt w:val="decimal"/>
      <w:start w:val="1"/>
    </w:lvl>
  </w:abstractNum>
  <w:abstractNum w:abstractNumId="112">
    <w:nsid w:val="67906F60"/>
    <w:multiLevelType w:val="hybridMultilevel"/>
    <w:lvl w:ilvl="0">
      <w:lvlJc w:val="left"/>
      <w:lvlText w:val="•"/>
      <w:numFmt w:val="bullet"/>
      <w:start w:val="1"/>
    </w:lvl>
  </w:abstractNum>
  <w:abstractNum w:abstractNumId="113">
    <w:nsid w:val="10DB9DAA"/>
    <w:multiLevelType w:val="hybridMultilevel"/>
    <w:lvl w:ilvl="0">
      <w:lvlJc w:val="left"/>
      <w:lvlText w:val="(%1)"/>
      <w:numFmt w:val="lowerRoman"/>
      <w:start w:val="3"/>
    </w:lvl>
  </w:abstractNum>
  <w:abstractNum w:abstractNumId="114">
    <w:nsid w:val="697D2D2"/>
    <w:multiLevelType w:val="hybridMultilevel"/>
    <w:lvl w:ilvl="0">
      <w:lvlJc w:val="left"/>
      <w:lvlText w:val="(%1)"/>
      <w:numFmt w:val="lowerRoman"/>
      <w:start w:val="1"/>
    </w:lvl>
  </w:abstractNum>
  <w:abstractNum w:abstractNumId="115">
    <w:nsid w:val="6D68AB2"/>
    <w:multiLevelType w:val="hybridMultilevel"/>
    <w:lvl w:ilvl="0">
      <w:lvlJc w:val="left"/>
      <w:lvlText w:val="(%1)"/>
      <w:numFmt w:val="decimal"/>
      <w:start w:val="1"/>
    </w:lvl>
  </w:abstractNum>
  <w:abstractNum w:abstractNumId="116">
    <w:nsid w:val="3A966CD0"/>
    <w:multiLevelType w:val="hybridMultilevel"/>
    <w:lvl w:ilvl="0">
      <w:lvlJc w:val="left"/>
      <w:lvlText w:val="(%1)"/>
      <w:numFmt w:val="lowerLetter"/>
      <w:start w:val="1"/>
    </w:lvl>
  </w:abstractNum>
  <w:abstractNum w:abstractNumId="117">
    <w:nsid w:val="63F37E85"/>
    <w:multiLevelType w:val="hybridMultilevel"/>
    <w:lvl w:ilvl="0">
      <w:lvlJc w:val="left"/>
      <w:lvlText w:val="(%1)"/>
      <w:numFmt w:val="decimal"/>
      <w:start w:val="2"/>
    </w:lvl>
  </w:abstractNum>
  <w:abstractNum w:abstractNumId="118">
    <w:nsid w:val="5895F5FA"/>
    <w:multiLevelType w:val="hybridMultilevel"/>
    <w:lvl w:ilvl="0">
      <w:lvlJc w:val="left"/>
      <w:lvlText w:val="%1"/>
      <w:numFmt w:val="decimal"/>
      <w:start w:val="1"/>
    </w:lvl>
    <w:lvl w:ilvl="1">
      <w:lvlJc w:val="left"/>
      <w:lvlText w:val="(%2)"/>
      <w:numFmt w:val="lowerLetter"/>
      <w:start w:val="1"/>
    </w:lvl>
  </w:abstractNum>
  <w:abstractNum w:abstractNumId="119">
    <w:nsid w:val="38A5D054"/>
    <w:multiLevelType w:val="hybridMultilevel"/>
    <w:lvl w:ilvl="0">
      <w:lvlJc w:val="left"/>
      <w:lvlText w:val="(%1)"/>
      <w:numFmt w:val="decimal"/>
      <w:start w:val="3"/>
    </w:lvl>
    <w:lvl w:ilvl="1">
      <w:lvlJc w:val="left"/>
      <w:lvlText w:val="%2"/>
      <w:numFmt w:val="lowerLetter"/>
      <w:start w:val="1"/>
    </w:lvl>
  </w:abstractNum>
  <w:abstractNum w:abstractNumId="120">
    <w:nsid w:val="F3F09D8"/>
    <w:multiLevelType w:val="hybridMultilevel"/>
    <w:lvl w:ilvl="0">
      <w:lvlJc w:val="left"/>
      <w:lvlText w:val="•"/>
      <w:numFmt w:val="bullet"/>
      <w:start w:val="1"/>
    </w:lvl>
  </w:abstractNum>
  <w:abstractNum w:abstractNumId="121">
    <w:nsid w:val="4B793735"/>
    <w:multiLevelType w:val="hybridMultilevel"/>
    <w:lvl w:ilvl="0">
      <w:lvlJc w:val="left"/>
      <w:lvlText w:val="•"/>
      <w:numFmt w:val="bullet"/>
      <w:start w:val="1"/>
    </w:lvl>
  </w:abstractNum>
  <w:abstractNum w:abstractNumId="122">
    <w:nsid w:val="4A10B4E8"/>
    <w:multiLevelType w:val="hybridMultilevel"/>
    <w:lvl w:ilvl="0">
      <w:lvlJc w:val="left"/>
      <w:lvlText w:val="•"/>
      <w:numFmt w:val="bullet"/>
      <w:start w:val="1"/>
    </w:lvl>
  </w:abstractNum>
  <w:abstractNum w:abstractNumId="123">
    <w:nsid w:val="43D3BCD4"/>
    <w:multiLevelType w:val="hybridMultilevel"/>
    <w:lvl w:ilvl="0">
      <w:lvlJc w:val="left"/>
      <w:lvlText w:val="(%1)"/>
      <w:numFmt w:val="lowerRoman"/>
      <w:start w:val="2"/>
    </w:lvl>
  </w:abstractNum>
  <w:abstractNum w:abstractNumId="124">
    <w:nsid w:val="4C2A7166"/>
    <w:multiLevelType w:val="hybridMultilevel"/>
    <w:lvl w:ilvl="0">
      <w:lvlJc w:val="left"/>
      <w:lvlText w:val="(%1)"/>
      <w:numFmt w:val="lowerRoman"/>
      <w:start w:val="2"/>
    </w:lvl>
  </w:abstractNum>
  <w:abstractNum w:abstractNumId="125">
    <w:nsid w:val="2E534A82"/>
    <w:multiLevelType w:val="hybridMultilevel"/>
    <w:lvl w:ilvl="0">
      <w:lvlJc w:val="left"/>
      <w:lvlText w:val="•"/>
      <w:numFmt w:val="bullet"/>
      <w:start w:val="1"/>
    </w:lvl>
  </w:abstractNum>
  <w:abstractNum w:abstractNumId="126">
    <w:nsid w:val="26F2D364"/>
    <w:multiLevelType w:val="hybridMultilevel"/>
    <w:lvl w:ilvl="0">
      <w:lvlJc w:val="left"/>
      <w:lvlText w:val="•"/>
      <w:numFmt w:val="bullet"/>
      <w:start w:val="1"/>
    </w:lvl>
  </w:abstractNum>
  <w:abstractNum w:abstractNumId="127">
    <w:nsid w:val="71C1AF98"/>
    <w:multiLevelType w:val="hybridMultilevel"/>
    <w:lvl w:ilvl="0">
      <w:lvlJc w:val="left"/>
      <w:lvlText w:val="•"/>
      <w:numFmt w:val="bullet"/>
      <w:start w:val="1"/>
    </w:lvl>
  </w:abstractNum>
  <w:abstractNum w:abstractNumId="128">
    <w:nsid w:val="3D00B9D9"/>
    <w:multiLevelType w:val="hybridMultilevel"/>
    <w:lvl w:ilvl="0">
      <w:lvlJc w:val="left"/>
      <w:lvlText w:val="•"/>
      <w:numFmt w:val="bullet"/>
      <w:start w:val="1"/>
    </w:lvl>
  </w:abstractNum>
  <w:abstractNum w:abstractNumId="129">
    <w:nsid w:val="15BCABA8"/>
    <w:multiLevelType w:val="hybridMultilevel"/>
    <w:lvl w:ilvl="0">
      <w:lvlJc w:val="left"/>
      <w:lvlText w:val="•"/>
      <w:numFmt w:val="bullet"/>
      <w:start w:val="1"/>
    </w:lvl>
  </w:abstractNum>
  <w:abstractNum w:abstractNumId="130">
    <w:nsid w:val="4E0B9A87"/>
    <w:multiLevelType w:val="hybridMultilevel"/>
    <w:lvl w:ilvl="0">
      <w:lvlJc w:val="left"/>
      <w:lvlText w:val="•"/>
      <w:numFmt w:val="bullet"/>
      <w:start w:val="1"/>
    </w:lvl>
  </w:abstractNum>
  <w:abstractNum w:abstractNumId="131">
    <w:nsid w:val="434BAE75"/>
    <w:multiLevelType w:val="hybridMultilevel"/>
    <w:lvl w:ilvl="0">
      <w:lvlJc w:val="left"/>
      <w:lvlText w:val="•"/>
      <w:numFmt w:val="bullet"/>
      <w:start w:val="1"/>
    </w:lvl>
  </w:abstractNum>
  <w:abstractNum w:abstractNumId="132">
    <w:nsid w:val="4F38F265"/>
    <w:multiLevelType w:val="hybridMultilevel"/>
    <w:lvl w:ilvl="0">
      <w:lvlJc w:val="left"/>
      <w:lvlText w:val="•"/>
      <w:numFmt w:val="bullet"/>
      <w:start w:val="1"/>
    </w:lvl>
  </w:abstractNum>
  <w:abstractNum w:abstractNumId="133">
    <w:nsid w:val="4C502870"/>
    <w:multiLevelType w:val="hybridMultilevel"/>
    <w:lvl w:ilvl="0">
      <w:lvlJc w:val="left"/>
      <w:lvlText w:val="•"/>
      <w:numFmt w:val="bullet"/>
      <w:start w:val="1"/>
    </w:lvl>
  </w:abstractNum>
  <w:abstractNum w:abstractNumId="134">
    <w:nsid w:val="1DE8725A"/>
    <w:multiLevelType w:val="hybridMultilevel"/>
    <w:lvl w:ilvl="0">
      <w:lvlJc w:val="left"/>
      <w:lvlText w:val="(%1)"/>
      <w:numFmt w:val="decimal"/>
      <w:start w:val="1"/>
    </w:lvl>
  </w:abstractNum>
  <w:abstractNum w:abstractNumId="135">
    <w:nsid w:val="6A37288A"/>
    <w:multiLevelType w:val="hybridMultilevel"/>
    <w:lvl w:ilvl="0">
      <w:lvlJc w:val="left"/>
      <w:lvlText w:val="•"/>
      <w:numFmt w:val="bullet"/>
      <w:start w:val="1"/>
    </w:lvl>
  </w:abstractNum>
  <w:abstractNum w:abstractNumId="136">
    <w:nsid w:val="8F8B73F"/>
    <w:multiLevelType w:val="hybridMultilevel"/>
    <w:lvl w:ilvl="0">
      <w:lvlJc w:val="left"/>
      <w:lvlText w:val="•"/>
      <w:numFmt w:val="bullet"/>
      <w:start w:val="1"/>
    </w:lvl>
  </w:abstractNum>
  <w:abstractNum w:abstractNumId="137">
    <w:nsid w:val="CA6B462"/>
    <w:multiLevelType w:val="hybridMultilevel"/>
    <w:lvl w:ilvl="0">
      <w:lvlJc w:val="left"/>
      <w:lvlText w:val="•"/>
      <w:numFmt w:val="bullet"/>
      <w:start w:val="1"/>
    </w:lvl>
  </w:abstractNum>
  <w:abstractNum w:abstractNumId="138">
    <w:nsid w:val="763CB680"/>
    <w:multiLevelType w:val="hybridMultilevel"/>
    <w:lvl w:ilvl="0">
      <w:lvlJc w:val="left"/>
      <w:lvlText w:val="•"/>
      <w:numFmt w:val="bullet"/>
      <w:start w:val="1"/>
    </w:lvl>
  </w:abstractNum>
  <w:abstractNum w:abstractNumId="139">
    <w:nsid w:val="15B71329"/>
    <w:multiLevelType w:val="hybridMultilevel"/>
    <w:lvl w:ilvl="0">
      <w:lvlJc w:val="left"/>
      <w:lvlText w:val="•"/>
      <w:numFmt w:val="bullet"/>
      <w:start w:val="1"/>
    </w:lvl>
  </w:abstractNum>
  <w:abstractNum w:abstractNumId="140">
    <w:nsid w:val="3DA97044"/>
    <w:multiLevelType w:val="hybridMultilevel"/>
    <w:lvl w:ilvl="0">
      <w:lvlJc w:val="left"/>
      <w:lvlText w:val="(%1)"/>
      <w:numFmt w:val="lowerRoman"/>
      <w:start w:val="4"/>
    </w:lvl>
  </w:abstractNum>
  <w:abstractNum w:abstractNumId="141">
    <w:nsid w:val="1CDCE2DE"/>
    <w:multiLevelType w:val="hybridMultilevel"/>
    <w:lvl w:ilvl="0">
      <w:lvlJc w:val="left"/>
      <w:lvlText w:val="•"/>
      <w:numFmt w:val="bullet"/>
      <w:start w:val="1"/>
    </w:lvl>
  </w:abstractNum>
  <w:abstractNum w:abstractNumId="142">
    <w:nsid w:val="69D3947C"/>
    <w:multiLevelType w:val="hybridMultilevel"/>
    <w:lvl w:ilvl="0">
      <w:lvlJc w:val="left"/>
      <w:lvlText w:val="•"/>
      <w:numFmt w:val="bullet"/>
      <w:start w:val="1"/>
    </w:lvl>
  </w:abstractNum>
  <w:abstractNum w:abstractNumId="143">
    <w:nsid w:val="2539DFA5"/>
    <w:multiLevelType w:val="hybridMultilevel"/>
    <w:lvl w:ilvl="0">
      <w:lvlJc w:val="left"/>
      <w:lvlText w:val="•"/>
      <w:numFmt w:val="bullet"/>
      <w:start w:val="1"/>
    </w:lvl>
  </w:abstractNum>
  <w:abstractNum w:abstractNumId="144">
    <w:nsid w:val="2DB88089"/>
    <w:multiLevelType w:val="hybridMultilevel"/>
    <w:lvl w:ilvl="0">
      <w:lvlJc w:val="left"/>
      <w:lvlText w:val="•"/>
      <w:numFmt w:val="bullet"/>
      <w:start w:val="1"/>
    </w:lvl>
  </w:abstractNum>
  <w:abstractNum w:abstractNumId="145">
    <w:nsid w:val="706B674E"/>
    <w:multiLevelType w:val="hybridMultilevel"/>
    <w:lvl w:ilvl="0">
      <w:lvlJc w:val="left"/>
      <w:lvlText w:val="•"/>
      <w:numFmt w:val="bullet"/>
      <w:start w:val="1"/>
    </w:lvl>
  </w:abstractNum>
  <w:abstractNum w:abstractNumId="146">
    <w:nsid w:val="2C106A57"/>
    <w:multiLevelType w:val="hybridMultilevel"/>
    <w:lvl w:ilvl="0">
      <w:lvlJc w:val="left"/>
      <w:lvlText w:val="•"/>
      <w:numFmt w:val="bullet"/>
      <w:start w:val="1"/>
    </w:lvl>
  </w:abstractNum>
  <w:abstractNum w:abstractNumId="147">
    <w:nsid w:val="684EED59"/>
    <w:multiLevelType w:val="hybridMultilevel"/>
    <w:lvl w:ilvl="0">
      <w:lvlJc w:val="left"/>
      <w:lvlText w:val="•"/>
      <w:numFmt w:val="bullet"/>
      <w:start w:val="1"/>
    </w:lvl>
  </w:abstractNum>
  <w:abstractNum w:abstractNumId="148">
    <w:nsid w:val="545EE5D3"/>
    <w:multiLevelType w:val="hybridMultilevel"/>
    <w:lvl w:ilvl="0">
      <w:lvlJc w:val="left"/>
      <w:lvlText w:val="•"/>
      <w:numFmt w:val="bullet"/>
      <w:start w:val="1"/>
    </w:lvl>
  </w:abstractNum>
  <w:abstractNum w:abstractNumId="149">
    <w:nsid w:val="4A66051"/>
    <w:multiLevelType w:val="hybridMultilevel"/>
    <w:lvl w:ilvl="0">
      <w:lvlJc w:val="left"/>
      <w:lvlText w:val="•"/>
      <w:numFmt w:val="bullet"/>
      <w:start w:val="1"/>
    </w:lvl>
  </w:abstractNum>
  <w:abstractNum w:abstractNumId="150">
    <w:nsid w:val="20F4BDAD"/>
    <w:multiLevelType w:val="hybridMultilevel"/>
    <w:lvl w:ilvl="0">
      <w:lvlJc w:val="left"/>
      <w:lvlText w:val="•"/>
      <w:numFmt w:val="bullet"/>
      <w:start w:val="1"/>
    </w:lvl>
  </w:abstractNum>
  <w:abstractNum w:abstractNumId="151">
    <w:nsid w:val="639DEFAC"/>
    <w:multiLevelType w:val="hybridMultilevel"/>
    <w:lvl w:ilvl="0">
      <w:lvlJc w:val="left"/>
      <w:lvlText w:val="•"/>
      <w:numFmt w:val="bullet"/>
      <w:start w:val="1"/>
    </w:lvl>
  </w:abstractNum>
  <w:abstractNum w:abstractNumId="152">
    <w:nsid w:val="501F9786"/>
    <w:multiLevelType w:val="hybridMultilevel"/>
    <w:lvl w:ilvl="0">
      <w:lvlJc w:val="left"/>
      <w:lvlText w:val="•"/>
      <w:numFmt w:val="bullet"/>
      <w:start w:val="1"/>
    </w:lvl>
  </w:abstractNum>
  <w:abstractNum w:abstractNumId="153">
    <w:nsid w:val="6B057295"/>
    <w:multiLevelType w:val="hybridMultilevel"/>
    <w:lvl w:ilvl="0">
      <w:lvlJc w:val="left"/>
      <w:lvlText w:val="•"/>
      <w:numFmt w:val="bullet"/>
      <w:start w:val="1"/>
    </w:lvl>
  </w:abstractNum>
  <w:abstractNum w:abstractNumId="154">
    <w:nsid w:val="2771AC80"/>
    <w:multiLevelType w:val="hybridMultilevel"/>
    <w:lvl w:ilvl="0">
      <w:lvlJc w:val="left"/>
      <w:lvlText w:val="*"/>
      <w:numFmt w:val="bullet"/>
      <w:start w:val="1"/>
    </w:lvl>
  </w:abstractNum>
  <w:abstractNum w:abstractNumId="155">
    <w:nsid w:val="1C4A08EC"/>
    <w:multiLevelType w:val="hybridMultilevel"/>
    <w:lvl w:ilvl="0">
      <w:lvlJc w:val="left"/>
      <w:lvlText w:val="(%1)"/>
      <w:numFmt w:val="decimal"/>
      <w:start w:val="1"/>
    </w:lvl>
  </w:abstractNum>
  <w:abstractNum w:abstractNumId="156">
    <w:nsid w:val="1958BD17"/>
    <w:multiLevelType w:val="hybridMultilevel"/>
    <w:lvl w:ilvl="0">
      <w:lvlJc w:val="left"/>
      <w:lvlText w:val="(%1)"/>
      <w:numFmt w:val="decimal"/>
      <w:start w:val="2"/>
    </w:lvl>
  </w:abstractNum>
  <w:abstractNum w:abstractNumId="157">
    <w:nsid w:val="4E647FE4"/>
    <w:multiLevelType w:val="hybridMultilevel"/>
    <w:lvl w:ilvl="0">
      <w:lvlJc w:val="left"/>
      <w:lvlText w:val="(%1)"/>
      <w:numFmt w:val="decimal"/>
      <w:start w:val="12"/>
    </w:lvl>
  </w:abstractNum>
  <w:abstractNum w:abstractNumId="158">
    <w:nsid w:val="E0BB885"/>
    <w:multiLevelType w:val="hybridMultilevel"/>
    <w:lvl w:ilvl="0">
      <w:lvlJc w:val="left"/>
      <w:lvlText w:val="•"/>
      <w:numFmt w:val="bullet"/>
      <w:start w:val="1"/>
    </w:lvl>
  </w:abstractNum>
  <w:abstractNum w:abstractNumId="159">
    <w:nsid w:val="565976F1"/>
    <w:multiLevelType w:val="hybridMultilevel"/>
    <w:lvl w:ilvl="0">
      <w:lvlJc w:val="left"/>
      <w:lvlText w:val="(%1)"/>
      <w:numFmt w:val="lowerLetter"/>
      <w:start w:val="1"/>
    </w:lvl>
  </w:abstractNum>
  <w:abstractNum w:abstractNumId="160">
    <w:nsid w:val="64212B8C"/>
    <w:multiLevelType w:val="hybridMultilevel"/>
    <w:lvl w:ilvl="0">
      <w:lvlJc w:val="left"/>
      <w:lvlText w:val="(%1)"/>
      <w:numFmt w:val="lowerLetter"/>
      <w:start w:val="1"/>
    </w:lvl>
  </w:abstractNum>
  <w:abstractNum w:abstractNumId="161">
    <w:nsid w:val="5C17530C"/>
    <w:multiLevelType w:val="hybridMultilevel"/>
    <w:lvl w:ilvl="0">
      <w:lvlJc w:val="left"/>
      <w:lvlText w:val="(%1)"/>
      <w:numFmt w:val="lowerLetter"/>
      <w:start w:val="1"/>
    </w:lvl>
  </w:abstractNum>
  <w:abstractNum w:abstractNumId="162">
    <w:nsid w:val="19A52566"/>
    <w:multiLevelType w:val="hybridMultilevel"/>
    <w:lvl w:ilvl="0">
      <w:lvlJc w:val="left"/>
      <w:lvlText w:val="(%1)"/>
      <w:numFmt w:val="lowerLetter"/>
      <w:start w:val="1"/>
    </w:lvl>
  </w:abstractNum>
  <w:abstractNum w:abstractNumId="163">
    <w:nsid w:val="335A1DF1"/>
    <w:multiLevelType w:val="hybridMultilevel"/>
    <w:lvl w:ilvl="0">
      <w:lvlJc w:val="left"/>
      <w:lvlText w:val="%1"/>
      <w:numFmt w:val="lowerRoman"/>
      <w:start w:val="1"/>
    </w:lvl>
    <w:lvl w:ilvl="1">
      <w:lvlJc w:val="left"/>
      <w:lvlText w:val="(%2)"/>
      <w:numFmt w:val="lowerLetter"/>
      <w:start w:val="2"/>
    </w:lvl>
  </w:abstractNum>
  <w:abstractNum w:abstractNumId="164">
    <w:nsid w:val="28677B7C"/>
    <w:multiLevelType w:val="hybridMultilevel"/>
    <w:lvl w:ilvl="0">
      <w:lvlJc w:val="left"/>
      <w:lvlText w:val="(%1)"/>
      <w:numFmt w:val="lowerRoman"/>
      <w:start w:val="1"/>
    </w:lvl>
    <w:lvl w:ilvl="1">
      <w:lvlJc w:val="left"/>
      <w:lvlText w:val="%2"/>
      <w:numFmt w:val="lowerLetter"/>
      <w:start w:val="1"/>
    </w:lvl>
  </w:abstractNum>
  <w:abstractNum w:abstractNumId="165">
    <w:nsid w:val="378D97C0"/>
    <w:multiLevelType w:val="hybridMultilevel"/>
    <w:lvl w:ilvl="0">
      <w:lvlJc w:val="left"/>
      <w:lvlText w:val="(%1)"/>
      <w:numFmt w:val="lowerRoman"/>
      <w:start w:val="4"/>
    </w:lvl>
    <w:lvl w:ilvl="1">
      <w:lvlJc w:val="left"/>
      <w:lvlText w:val="(%2)"/>
      <w:numFmt w:val="lowerLetter"/>
      <w:start w:val="3"/>
    </w:lvl>
  </w:abstractNum>
  <w:abstractNum w:abstractNumId="166">
    <w:nsid w:val="1D91467C"/>
    <w:multiLevelType w:val="hybridMultilevel"/>
    <w:lvl w:ilvl="0">
      <w:lvlJc w:val="left"/>
      <w:lvlText w:val="(%1)"/>
      <w:numFmt w:val="lowerLetter"/>
      <w:start w:val="6"/>
    </w:lvl>
  </w:abstractNum>
  <w:abstractNum w:abstractNumId="167">
    <w:nsid w:val="316032BB"/>
    <w:multiLevelType w:val="hybridMultilevel"/>
    <w:lvl w:ilvl="0">
      <w:lvlJc w:val="left"/>
      <w:lvlText w:val="(%1)"/>
      <w:numFmt w:val="lowerLetter"/>
      <w:start w:val="1"/>
    </w:lvl>
  </w:abstractNum>
  <w:abstractNum w:abstractNumId="168">
    <w:nsid w:val="44344C22"/>
    <w:multiLevelType w:val="hybridMultilevel"/>
    <w:lvl w:ilvl="0">
      <w:lvlJc w:val="left"/>
      <w:lvlText w:val="(%1)"/>
      <w:numFmt w:val="upperLetter"/>
      <w:start w:val="2"/>
    </w:lvl>
  </w:abstractNum>
  <w:abstractNum w:abstractNumId="169">
    <w:nsid w:val="13CDFCFC"/>
    <w:multiLevelType w:val="hybridMultilevel"/>
    <w:lvl w:ilvl="0">
      <w:lvlJc w:val="left"/>
      <w:lvlText w:val="%1"/>
      <w:numFmt w:val="upperLetter"/>
      <w:start w:val="35"/>
    </w:lvl>
  </w:abstractNum>
  <w:abstractNum w:abstractNumId="170">
    <w:nsid w:val="471745E4"/>
    <w:multiLevelType w:val="hybridMultilevel"/>
    <w:lvl w:ilvl="0">
      <w:lvlJc w:val="left"/>
      <w:lvlText w:val="(%1)"/>
      <w:numFmt w:val="lowerLetter"/>
      <w:start w:val="1"/>
    </w:lvl>
  </w:abstractNum>
  <w:abstractNum w:abstractNumId="171">
    <w:nsid w:val="1DDBC66"/>
    <w:multiLevelType w:val="hybridMultilevel"/>
    <w:lvl w:ilvl="0">
      <w:lvlJc w:val="left"/>
      <w:lvlText w:val="(%1)"/>
      <w:numFmt w:val="lowerRoman"/>
      <w:start w:val="2"/>
    </w:lvl>
  </w:abstractNum>
  <w:abstractNum w:abstractNumId="172">
    <w:nsid w:val="30AADFDA"/>
    <w:multiLevelType w:val="hybridMultilevel"/>
    <w:lvl w:ilvl="0">
      <w:lvlJc w:val="left"/>
      <w:lvlText w:val="(%1)"/>
      <w:numFmt w:val="upperLetter"/>
      <w:start w:val="2"/>
    </w:lvl>
  </w:abstractNum>
  <w:abstractNum w:abstractNumId="173">
    <w:nsid w:val="30EADA61"/>
    <w:multiLevelType w:val="hybridMultilevel"/>
    <w:lvl w:ilvl="0">
      <w:lvlJc w:val="left"/>
      <w:lvlText w:val="(%1)"/>
      <w:numFmt w:val="lowerLetter"/>
      <w:start w:val="1"/>
    </w:lvl>
  </w:abstractNum>
  <w:abstractNum w:abstractNumId="174">
    <w:nsid w:val="27179C0B"/>
    <w:multiLevelType w:val="hybridMultilevel"/>
    <w:lvl w:ilvl="0">
      <w:lvlJc w:val="left"/>
      <w:lvlText w:val="(%1)"/>
      <w:numFmt w:val="lowerLetter"/>
      <w:start w:val="1"/>
    </w:lvl>
  </w:abstractNum>
  <w:abstractNum w:abstractNumId="175">
    <w:nsid w:val="5E636063"/>
    <w:multiLevelType w:val="hybridMultilevel"/>
    <w:lvl w:ilvl="0">
      <w:lvlJc w:val="left"/>
      <w:lvlText w:val="%1"/>
      <w:numFmt w:val="lowerLetter"/>
      <w:start w:val="1"/>
    </w:lvl>
    <w:lvl w:ilvl="1">
      <w:lvlJc w:val="left"/>
      <w:lvlText w:val="(%2)"/>
      <w:numFmt w:val="lowerLetter"/>
      <w:start w:val="2"/>
    </w:lvl>
  </w:abstractNum>
  <w:abstractNum w:abstractNumId="176">
    <w:nsid w:val="215641AF"/>
    <w:multiLevelType w:val="hybridMultilevel"/>
    <w:lvl w:ilvl="0">
      <w:lvlJc w:val="left"/>
      <w:lvlText w:val="(%1)"/>
      <w:numFmt w:val="lowerLetter"/>
      <w:start w:val="22"/>
    </w:lvl>
    <w:lvl w:ilvl="1">
      <w:lvlJc w:val="left"/>
      <w:lvlText w:val="(%2)"/>
      <w:numFmt w:val="lowerLetter"/>
      <w:start w:val="3"/>
    </w:lvl>
  </w:abstractNum>
  <w:abstractNum w:abstractNumId="177">
    <w:nsid w:val="53280662"/>
    <w:multiLevelType w:val="hybridMultilevel"/>
    <w:lvl w:ilvl="0">
      <w:lvlJc w:val="left"/>
      <w:lvlText w:val="(%1)"/>
      <w:numFmt w:val="lowerRoman"/>
      <w:start w:val="4"/>
    </w:lvl>
    <w:lvl w:ilvl="1">
      <w:lvlJc w:val="left"/>
      <w:lvlText w:val="(%2)"/>
      <w:numFmt w:val="lowerLetter"/>
      <w:start w:val="4"/>
    </w:lvl>
  </w:abstractNum>
  <w:abstractNum w:abstractNumId="178">
    <w:nsid w:val="46B24DBC"/>
    <w:multiLevelType w:val="hybridMultilevel"/>
    <w:lvl w:ilvl="0">
      <w:lvlJc w:val="left"/>
      <w:lvlText w:val="(%1)"/>
      <w:numFmt w:val="lowerLetter"/>
      <w:start w:val="1"/>
    </w:lvl>
  </w:abstractNum>
  <w:abstractNum w:abstractNumId="179">
    <w:nsid w:val="75B52783"/>
    <w:multiLevelType w:val="hybridMultilevel"/>
    <w:lvl w:ilvl="0">
      <w:lvlJc w:val="left"/>
      <w:lvlText w:val="(%1)"/>
      <w:numFmt w:val="lowerLetter"/>
      <w:start w:val="2"/>
    </w:lvl>
  </w:abstractNum>
  <w:abstractNum w:abstractNumId="180">
    <w:nsid w:val="57CE66B4"/>
    <w:multiLevelType w:val="hybridMultilevel"/>
    <w:lvl w:ilvl="0">
      <w:lvlJc w:val="left"/>
      <w:lvlText w:val="(%1)"/>
      <w:numFmt w:val="lowerLetter"/>
      <w:start w:val="1"/>
    </w:lvl>
  </w:abstractNum>
  <w:abstractNum w:abstractNumId="181">
    <w:nsid w:val="67A70B69"/>
    <w:multiLevelType w:val="hybridMultilevel"/>
    <w:lvl w:ilvl="0">
      <w:lvlJc w:val="left"/>
      <w:lvlText w:val="(%1)"/>
      <w:numFmt w:val="lowerLetter"/>
      <w:start w:val="5"/>
    </w:lvl>
  </w:abstractNum>
  <w:abstractNum w:abstractNumId="182">
    <w:nsid w:val="5953172F"/>
    <w:multiLevelType w:val="hybridMultilevel"/>
    <w:lvl w:ilvl="0">
      <w:lvlJc w:val="left"/>
      <w:lvlText w:val="(%1)"/>
      <w:numFmt w:val="lowerLetter"/>
      <w:start w:val="1"/>
    </w:lvl>
  </w:abstractNum>
  <w:abstractNum w:abstractNumId="183">
    <w:nsid w:val="27EDFE3A"/>
    <w:multiLevelType w:val="hybridMultilevel"/>
    <w:lvl w:ilvl="0">
      <w:lvlJc w:val="left"/>
      <w:lvlText w:val="(%1)"/>
      <w:numFmt w:val="lowerLetter"/>
      <w:start w:val="1"/>
    </w:lvl>
  </w:abstractNum>
  <w:abstractNum w:abstractNumId="184">
    <w:nsid w:val="52AC7DFF"/>
    <w:multiLevelType w:val="hybridMultilevel"/>
    <w:lvl w:ilvl="0">
      <w:lvlJc w:val="left"/>
      <w:lvlText w:val="(%1)"/>
      <w:numFmt w:val="lowerLetter"/>
      <w:start w:val="1"/>
    </w:lvl>
  </w:abstractNum>
  <w:abstractNum w:abstractNumId="185">
    <w:nsid w:val="C4C3AF"/>
    <w:multiLevelType w:val="hybridMultilevel"/>
    <w:lvl w:ilvl="0">
      <w:lvlJc w:val="left"/>
      <w:lvlText w:val="(%1)"/>
      <w:numFmt w:val="lowerLetter"/>
      <w:start w:val="4"/>
    </w:lvl>
  </w:abstractNum>
  <w:abstractNum w:abstractNumId="186">
    <w:nsid w:val="44380727"/>
    <w:multiLevelType w:val="hybridMultilevel"/>
    <w:lvl w:ilvl="0">
      <w:lvlJc w:val="left"/>
      <w:lvlText w:val="(%1)"/>
      <w:numFmt w:val="lowerLetter"/>
      <w:start w:val="12"/>
    </w:lvl>
  </w:abstractNum>
  <w:abstractNum w:abstractNumId="187">
    <w:nsid w:val="6C053B16"/>
    <w:multiLevelType w:val="hybridMultilevel"/>
    <w:lvl w:ilvl="0">
      <w:lvlJc w:val="left"/>
      <w:lvlText w:val="%1"/>
      <w:numFmt w:val="lowerLetter"/>
      <w:start w:val="1"/>
    </w:lvl>
    <w:lvl w:ilvl="1">
      <w:lvlJc w:val="left"/>
      <w:lvlText w:val="(%2)"/>
      <w:numFmt w:val="lowerLetter"/>
      <w:start w:val="1"/>
    </w:lvl>
  </w:abstractNum>
  <w:abstractNum w:abstractNumId="188">
    <w:nsid w:val="4F294393"/>
    <w:multiLevelType w:val="hybridMultilevel"/>
    <w:lvl w:ilvl="0">
      <w:lvlJc w:val="left"/>
      <w:lvlText w:val="(%1)"/>
      <w:numFmt w:val="lowerLetter"/>
      <w:start w:val="61"/>
    </w:lvl>
    <w:lvl w:ilvl="1">
      <w:lvlJc w:val="left"/>
      <w:lvlText w:val="(%2)"/>
      <w:numFmt w:val="lowerLetter"/>
      <w:start w:val="2"/>
    </w:lvl>
  </w:abstractNum>
  <w:abstractNum w:abstractNumId="189">
    <w:nsid w:val="5243BFAC"/>
    <w:multiLevelType w:val="hybridMultilevel"/>
    <w:lvl w:ilvl="0">
      <w:lvlJc w:val="left"/>
      <w:lvlText w:val="%1"/>
      <w:numFmt w:val="lowerLetter"/>
      <w:start w:val="1"/>
    </w:lvl>
    <w:lvl w:ilvl="1">
      <w:lvlJc w:val="left"/>
      <w:lvlText w:val="(%2)"/>
      <w:numFmt w:val="lowerLetter"/>
      <w:start w:val="5"/>
    </w:lvl>
  </w:abstractNum>
  <w:abstractNum w:abstractNumId="190">
    <w:nsid w:val="425EB207"/>
    <w:multiLevelType w:val="hybridMultilevel"/>
    <w:lvl w:ilvl="0">
      <w:lvlJc w:val="left"/>
      <w:lvlText w:val="(%1)"/>
      <w:numFmt w:val="lowerLetter"/>
      <w:start w:val="35"/>
    </w:lvl>
    <w:lvl w:ilvl="1">
      <w:lvlJc w:val="left"/>
      <w:lvlText w:val="(%2)"/>
      <w:numFmt w:val="lowerLetter"/>
      <w:start w:val="8"/>
    </w:lvl>
  </w:abstractNum>
  <w:abstractNum w:abstractNumId="191">
    <w:nsid w:val="334A6F1F"/>
    <w:multiLevelType w:val="hybridMultilevel"/>
    <w:lvl w:ilvl="0">
      <w:lvlJc w:val="left"/>
      <w:lvlText w:val="(%1)"/>
      <w:numFmt w:val="lowerLetter"/>
      <w:start w:val="9"/>
    </w:lvl>
    <w:lvl w:ilvl="1">
      <w:lvlJc w:val="left"/>
      <w:lvlText w:val="%2"/>
      <w:numFmt w:val="lowerLetter"/>
      <w:start w:val="1"/>
    </w:lvl>
  </w:abstractNum>
  <w:abstractNum w:abstractNumId="192">
    <w:nsid w:val="2E5B12B8"/>
    <w:multiLevelType w:val="hybridMultilevel"/>
    <w:lvl w:ilvl="0">
      <w:lvlJc w:val="left"/>
      <w:lvlText w:val="(%1)"/>
      <w:numFmt w:val="lowerLetter"/>
      <w:start w:val="10"/>
    </w:lvl>
  </w:abstractNum>
  <w:abstractNum w:abstractNumId="193">
    <w:nsid w:val="5C03D76D"/>
    <w:multiLevelType w:val="hybridMultilevel"/>
    <w:lvl w:ilvl="0">
      <w:lvlJc w:val="left"/>
      <w:lvlText w:val="%1"/>
      <w:numFmt w:val="lowerLetter"/>
      <w:start w:val="1"/>
    </w:lvl>
    <w:lvl w:ilvl="1">
      <w:lvlJc w:val="left"/>
      <w:lvlText w:val="(%2)"/>
      <w:numFmt w:val="lowerLetter"/>
      <w:start w:val="1"/>
    </w:lvl>
  </w:abstractNum>
  <w:abstractNum w:abstractNumId="194">
    <w:nsid w:val="66A48D11"/>
    <w:multiLevelType w:val="hybridMultilevel"/>
    <w:lvl w:ilvl="0">
      <w:lvlJc w:val="left"/>
      <w:lvlText w:val="(%1)"/>
      <w:numFmt w:val="lowerLetter"/>
      <w:start w:val="35"/>
    </w:lvl>
    <w:lvl w:ilvl="1">
      <w:lvlJc w:val="left"/>
      <w:lvlText w:val="%2"/>
      <w:numFmt w:val="lowerLetter"/>
      <w:start w:val="1"/>
    </w:lvl>
  </w:abstractNum>
  <w:abstractNum w:abstractNumId="195">
    <w:nsid w:val="56C28E34"/>
    <w:multiLevelType w:val="hybridMultilevel"/>
    <w:lvl w:ilvl="0">
      <w:lvlJc w:val="left"/>
      <w:lvlText w:val="(%1)"/>
      <w:numFmt w:val="lowerRoman"/>
      <w:start w:val="6"/>
    </w:lvl>
    <w:lvl w:ilvl="1">
      <w:lvlJc w:val="left"/>
      <w:lvlText w:val="(%2)"/>
      <w:numFmt w:val="lowerLetter"/>
      <w:start w:val="2"/>
    </w:lvl>
  </w:abstractNum>
  <w:abstractNum w:abstractNumId="196">
    <w:nsid w:val="13916F2D"/>
    <w:multiLevelType w:val="hybridMultilevel"/>
    <w:lvl w:ilvl="0">
      <w:lvlJc w:val="left"/>
      <w:lvlText w:val="(%1)"/>
      <w:numFmt w:val="lowerLetter"/>
      <w:start w:val="1"/>
    </w:lvl>
  </w:abstractNum>
  <w:abstractNum w:abstractNumId="197">
    <w:nsid w:val="435D38D"/>
    <w:multiLevelType w:val="hybridMultilevel"/>
    <w:lvl w:ilvl="0">
      <w:lvlJc w:val="left"/>
      <w:lvlText w:val="(%1)"/>
      <w:numFmt w:val="lowerLetter"/>
      <w:start w:val="6"/>
    </w:lvl>
  </w:abstractNum>
  <w:abstractNum w:abstractNumId="198">
    <w:nsid w:val="822C0EF"/>
    <w:multiLevelType w:val="hybridMultilevel"/>
    <w:lvl w:ilvl="0">
      <w:lvlJc w:val="left"/>
      <w:lvlText w:val="%1"/>
      <w:numFmt w:val="lowerLetter"/>
      <w:start w:val="1"/>
    </w:lvl>
    <w:lvl w:ilvl="1">
      <w:lvlJc w:val="left"/>
      <w:lvlText w:val="(%2)"/>
      <w:numFmt w:val="lowerLetter"/>
      <w:start w:val="1"/>
    </w:lvl>
  </w:abstractNum>
  <w:abstractNum w:abstractNumId="199">
    <w:nsid w:val="57C5BB4F"/>
    <w:multiLevelType w:val="hybridMultilevel"/>
    <w:lvl w:ilvl="0">
      <w:lvlJc w:val="left"/>
      <w:lvlText w:val="(%1)"/>
      <w:numFmt w:val="lowerLetter"/>
      <w:start w:val="35"/>
    </w:lvl>
    <w:lvl w:ilvl="1">
      <w:lvlJc w:val="left"/>
      <w:lvlText w:val="%2"/>
      <w:numFmt w:val="lowerLetter"/>
      <w:start w:val="1"/>
    </w:lvl>
  </w:abstractNum>
  <w:abstractNum w:abstractNumId="200">
    <w:nsid w:val="1803D089"/>
    <w:multiLevelType w:val="hybridMultilevel"/>
    <w:lvl w:ilvl="0">
      <w:lvlJc w:val="left"/>
      <w:lvlText w:val="(%1)"/>
      <w:numFmt w:val="lowerLetter"/>
      <w:start w:val="7"/>
    </w:lvl>
  </w:abstractNum>
  <w:abstractNum w:abstractNumId="201">
    <w:nsid w:val="4F3A06D4"/>
    <w:multiLevelType w:val="hybridMultilevel"/>
    <w:lvl w:ilvl="0">
      <w:lvlJc w:val="left"/>
      <w:lvlText w:val="(%1)"/>
      <w:numFmt w:val="lowerLetter"/>
      <w:start w:val="2"/>
    </w:lvl>
  </w:abstractNum>
  <w:abstractNum w:abstractNumId="202">
    <w:nsid w:val="59A377B6"/>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03">
    <w:nsid w:val="48AEB06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04">
    <w:nsid w:val="24E135"/>
    <w:multiLevelType w:val="hybridMultilevel"/>
    <w:lvl w:ilvl="0">
      <w:lvlJc w:val="left"/>
      <w:lvlText w:val="(%1)"/>
      <w:numFmt w:val="upperLetter"/>
      <w:start w:val="2"/>
    </w:lvl>
    <w:lvl w:ilvl="1">
      <w:lvlJc w:val="left"/>
      <w:lvlText w:val="(%2)"/>
      <w:numFmt w:val="lowerRoman"/>
      <w:start w:val="5"/>
    </w:lvl>
    <w:lvl w:ilvl="2">
      <w:lvlJc w:val="left"/>
      <w:lvlText w:val="%3"/>
      <w:numFmt w:val="lowerLetter"/>
      <w:start w:val="1"/>
    </w:lvl>
  </w:abstractNum>
  <w:abstractNum w:abstractNumId="205">
    <w:nsid w:val="BB13C1"/>
    <w:multiLevelType w:val="hybridMultilevel"/>
    <w:lvl w:ilvl="0">
      <w:lvlJc w:val="left"/>
      <w:lvlText w:val="(%1)"/>
      <w:numFmt w:val="lowerRoman"/>
      <w:start w:val="6"/>
    </w:lvl>
  </w:abstractNum>
  <w:abstractNum w:abstractNumId="206">
    <w:nsid w:val="271210C7"/>
    <w:multiLevelType w:val="hybridMultilevel"/>
    <w:lvl w:ilvl="0">
      <w:lvlJc w:val="left"/>
      <w:lvlText w:val="(%1)"/>
      <w:numFmt w:val="lowerLetter"/>
      <w:start w:val="2"/>
    </w:lvl>
  </w:abstractNum>
  <w:abstractNum w:abstractNumId="207">
    <w:nsid w:val="217B22E4"/>
    <w:multiLevelType w:val="hybridMultilevel"/>
    <w:lvl w:ilvl="0">
      <w:lvlJc w:val="left"/>
      <w:lvlText w:val="(%1)"/>
      <w:numFmt w:val="lowerLetter"/>
      <w:start w:val="1"/>
    </w:lvl>
  </w:abstractNum>
  <w:abstractNum w:abstractNumId="208">
    <w:nsid w:val="53E31A24"/>
    <w:multiLevelType w:val="hybridMultilevel"/>
    <w:lvl w:ilvl="0">
      <w:lvlJc w:val="left"/>
      <w:lvlText w:val="%1"/>
      <w:numFmt w:val="lowerLetter"/>
      <w:start w:val="1"/>
    </w:lvl>
    <w:lvl w:ilvl="1">
      <w:lvlJc w:val="left"/>
      <w:lvlText w:val="(%2)"/>
      <w:numFmt w:val="lowerLetter"/>
      <w:start w:val="2"/>
    </w:lvl>
  </w:abstractNum>
  <w:abstractNum w:abstractNumId="209">
    <w:nsid w:val="6DC45E83"/>
    <w:multiLevelType w:val="hybridMultilevel"/>
    <w:lvl w:ilvl="0">
      <w:lvlJc w:val="left"/>
      <w:lvlText w:val="(%1)"/>
      <w:numFmt w:val="lowerLetter"/>
      <w:start w:val="35"/>
    </w:lvl>
    <w:lvl w:ilvl="1">
      <w:lvlJc w:val="left"/>
      <w:lvlText w:val="%2"/>
      <w:numFmt w:val="lowerLetter"/>
      <w:start w:val="1"/>
    </w:lvl>
  </w:abstractNum>
  <w:abstractNum w:abstractNumId="210">
    <w:nsid w:val="17304A67"/>
    <w:multiLevelType w:val="hybridMultilevel"/>
    <w:lvl w:ilvl="0">
      <w:lvlJc w:val="left"/>
      <w:lvlText w:val="%1"/>
      <w:numFmt w:val="lowerLetter"/>
      <w:start w:val="1"/>
    </w:lvl>
    <w:lvl w:ilvl="1">
      <w:lvlJc w:val="left"/>
      <w:lvlText w:val="(%2)"/>
      <w:numFmt w:val="lowerLetter"/>
      <w:start w:val="6"/>
    </w:lvl>
  </w:abstractNum>
  <w:abstractNum w:abstractNumId="211">
    <w:nsid w:val="2BB180D8"/>
    <w:multiLevelType w:val="hybridMultilevel"/>
    <w:lvl w:ilvl="0">
      <w:lvlJc w:val="left"/>
      <w:lvlText w:val="(%1)"/>
      <w:numFmt w:val="lowerLetter"/>
      <w:start w:val="9"/>
    </w:lvl>
    <w:lvl w:ilvl="1">
      <w:lvlJc w:val="left"/>
      <w:lvlText w:val="(%2)"/>
      <w:numFmt w:val="lowerLetter"/>
      <w:start w:val="7"/>
    </w:lvl>
  </w:abstractNum>
  <w:abstractNum w:abstractNumId="212">
    <w:nsid w:val="556B69ED"/>
    <w:multiLevelType w:val="hybridMultilevel"/>
    <w:lvl w:ilvl="0">
      <w:lvlJc w:val="left"/>
      <w:lvlText w:val="(%1)"/>
      <w:numFmt w:val="lowerLetter"/>
      <w:start w:val="1"/>
    </w:lvl>
  </w:abstractNum>
  <w:abstractNum w:abstractNumId="213">
    <w:nsid w:val="70836196"/>
    <w:multiLevelType w:val="hybridMultilevel"/>
    <w:lvl w:ilvl="0">
      <w:lvlJc w:val="left"/>
      <w:lvlText w:val="%1"/>
      <w:numFmt w:val="lowerLetter"/>
      <w:start w:val="1"/>
    </w:lvl>
    <w:lvl w:ilvl="1">
      <w:lvlJc w:val="left"/>
      <w:lvlText w:val="(%2)"/>
      <w:numFmt w:val="lowerLetter"/>
      <w:start w:val="1"/>
    </w:lvl>
  </w:abstractNum>
  <w:abstractNum w:abstractNumId="214">
    <w:nsid w:val="539F7F12"/>
    <w:multiLevelType w:val="hybridMultilevel"/>
    <w:lvl w:ilvl="0">
      <w:lvlJc w:val="left"/>
      <w:lvlText w:val="(%1)"/>
      <w:numFmt w:val="lowerLetter"/>
      <w:start w:val="61"/>
    </w:lvl>
    <w:lvl w:ilvl="1">
      <w:lvlJc w:val="left"/>
      <w:lvlText w:val="(%2)"/>
      <w:numFmt w:val="lowerLetter"/>
      <w:start w:val="2"/>
    </w:lvl>
  </w:abstractNum>
  <w:abstractNum w:abstractNumId="215">
    <w:nsid w:val="2817E7EC"/>
    <w:multiLevelType w:val="hybridMultilevel"/>
    <w:lvl w:ilvl="0">
      <w:lvlJc w:val="left"/>
      <w:lvlText w:val="(%1)"/>
      <w:numFmt w:val="lowerLetter"/>
      <w:start w:val="25"/>
    </w:lvl>
    <w:lvl w:ilvl="1">
      <w:lvlJc w:val="left"/>
      <w:lvlText w:val="%2"/>
      <w:numFmt w:val="lowerLetter"/>
      <w:start w:val="1"/>
    </w:lvl>
  </w:abstractNum>
  <w:abstractNum w:abstractNumId="216">
    <w:nsid w:val="71482545"/>
    <w:multiLevelType w:val="hybridMultilevel"/>
    <w:lvl w:ilvl="0">
      <w:lvlJc w:val="left"/>
      <w:lvlText w:val="(%1)"/>
      <w:numFmt w:val="lowerLetter"/>
      <w:start w:val="1"/>
    </w:lvl>
  </w:abstractNum>
  <w:abstractNum w:abstractNumId="217">
    <w:nsid w:val="17D7863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18">
    <w:nsid w:val="141D2302"/>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19">
    <w:nsid w:val="407168D8"/>
    <w:multiLevelType w:val="hybridMultilevel"/>
    <w:lvl w:ilvl="0">
      <w:lvlJc w:val="left"/>
      <w:lvlText w:val="(%1)"/>
      <w:numFmt w:val="upperLetter"/>
      <w:start w:val="2"/>
    </w:lvl>
    <w:lvl w:ilvl="1">
      <w:lvlJc w:val="left"/>
      <w:lvlText w:val="(%2)"/>
      <w:numFmt w:val="lowerRoman"/>
      <w:start w:val="2"/>
    </w:lvl>
    <w:lvl w:ilvl="2">
      <w:lvlJc w:val="left"/>
      <w:lvlText w:val="%3"/>
      <w:numFmt w:val="lowerLetter"/>
      <w:start w:val="1"/>
    </w:lvl>
  </w:abstractNum>
  <w:abstractNum w:abstractNumId="220">
    <w:nsid w:val="6A1B45E5"/>
    <w:multiLevelType w:val="hybridMultilevel"/>
    <w:lvl w:ilvl="0">
      <w:lvlJc w:val="left"/>
      <w:lvlText w:val="%1"/>
      <w:numFmt w:val="lowerLetter"/>
      <w:start w:val="1"/>
    </w:lvl>
    <w:lvl w:ilvl="1">
      <w:lvlJc w:val="left"/>
      <w:lvlText w:val="(%2)"/>
      <w:numFmt w:val="lowerRoman"/>
      <w:start w:val="4"/>
    </w:lvl>
  </w:abstractNum>
  <w:abstractNum w:abstractNumId="221">
    <w:nsid w:val="567BD50A"/>
    <w:multiLevelType w:val="hybridMultilevel"/>
    <w:lvl w:ilvl="0">
      <w:lvlJc w:val="left"/>
      <w:lvlText w:val="(%1)"/>
      <w:numFmt w:val="lowerLetter"/>
      <w:start w:val="26"/>
    </w:lvl>
    <w:lvl w:ilvl="1">
      <w:lvlJc w:val="left"/>
      <w:lvlText w:val="(%2)"/>
      <w:numFmt w:val="lowerRoman"/>
      <w:start w:val="8"/>
    </w:lvl>
  </w:abstractNum>
  <w:abstractNum w:abstractNumId="222">
    <w:nsid w:val="73BBD7F8"/>
    <w:multiLevelType w:val="hybridMultilevel"/>
    <w:lvl w:ilvl="0">
      <w:lvlJc w:val="left"/>
      <w:lvlText w:val="%1"/>
      <w:numFmt w:val="lowerLetter"/>
      <w:start w:val="1"/>
    </w:lvl>
    <w:lvl w:ilvl="1">
      <w:lvlJc w:val="left"/>
      <w:lvlText w:val="(%2)"/>
      <w:numFmt w:val="lowerRoman"/>
      <w:start w:val="13"/>
    </w:lvl>
  </w:abstractNum>
  <w:abstractNum w:abstractNumId="223">
    <w:nsid w:val="1876589D"/>
    <w:multiLevelType w:val="hybridMultilevel"/>
    <w:lvl w:ilvl="0">
      <w:lvlJc w:val="left"/>
      <w:lvlText w:val="(%1)"/>
      <w:numFmt w:val="lowerLetter"/>
      <w:start w:val="25"/>
    </w:lvl>
    <w:lvl w:ilvl="1">
      <w:lvlJc w:val="left"/>
      <w:lvlText w:val="%2"/>
      <w:numFmt w:val="lowerRoman"/>
      <w:start w:val="1"/>
    </w:lvl>
  </w:abstractNum>
  <w:abstractNum w:abstractNumId="224">
    <w:nsid w:val="327FAC77"/>
    <w:multiLevelType w:val="hybridMultilevel"/>
    <w:lvl w:ilvl="0">
      <w:lvlJc w:val="left"/>
      <w:lvlText w:val="(%1)"/>
      <w:numFmt w:val="lowerRoman"/>
      <w:start w:val="18"/>
    </w:lvl>
    <w:lvl w:ilvl="1">
      <w:lvlJc w:val="left"/>
      <w:lvlText w:val="(%2)"/>
      <w:numFmt w:val="lowerLetter"/>
      <w:start w:val="3"/>
    </w:lvl>
  </w:abstractNum>
  <w:abstractNum w:abstractNumId="225">
    <w:nsid w:val="5A606509"/>
    <w:multiLevelType w:val="hybridMultilevel"/>
    <w:lvl w:ilvl="0">
      <w:lvlJc w:val="left"/>
      <w:lvlText w:val="(%1)"/>
      <w:numFmt w:val="lowerLetter"/>
      <w:start w:val="1"/>
    </w:lvl>
  </w:abstractNum>
  <w:abstractNum w:abstractNumId="226">
    <w:nsid w:val="6F38E6D1"/>
    <w:multiLevelType w:val="hybridMultilevel"/>
    <w:lvl w:ilvl="0">
      <w:lvlJc w:val="left"/>
      <w:lvlText w:val="(%1)"/>
      <w:numFmt w:val="lowerLetter"/>
      <w:start w:val="2"/>
    </w:lvl>
  </w:abstractNum>
  <w:abstractNum w:abstractNumId="227">
    <w:nsid w:val="46111BA5"/>
    <w:multiLevelType w:val="hybridMultilevel"/>
    <w:lvl w:ilvl="0">
      <w:lvlJc w:val="left"/>
      <w:lvlText w:val="(%1)"/>
      <w:numFmt w:val="lowerLetter"/>
      <w:start w:val="4"/>
    </w:lvl>
  </w:abstractNum>
  <w:abstractNum w:abstractNumId="228">
    <w:nsid w:val="5E963896"/>
    <w:multiLevelType w:val="hybridMultilevel"/>
    <w:lvl w:ilvl="0">
      <w:lvlJc w:val="left"/>
      <w:lvlText w:val="%1"/>
      <w:numFmt w:val="lowerRoman"/>
      <w:start w:val="1"/>
    </w:lvl>
    <w:lvl w:ilvl="1">
      <w:lvlJc w:val="left"/>
      <w:lvlText w:val="(%2)"/>
      <w:numFmt w:val="lowerLetter"/>
      <w:start w:val="5"/>
    </w:lvl>
  </w:abstractNum>
  <w:abstractNum w:abstractNumId="229">
    <w:nsid w:val="775BA7C1"/>
    <w:multiLevelType w:val="hybridMultilevel"/>
    <w:lvl w:ilvl="0">
      <w:lvlJc w:val="left"/>
      <w:lvlText w:val="(%1)"/>
      <w:numFmt w:val="lowerRoman"/>
      <w:start w:val="4"/>
    </w:lvl>
    <w:lvl w:ilvl="1">
      <w:lvlJc w:val="left"/>
      <w:lvlText w:val="(%2)"/>
      <w:numFmt w:val="lowerLetter"/>
      <w:start w:val="8"/>
    </w:lvl>
  </w:abstractNum>
  <w:abstractNum w:abstractNumId="230">
    <w:nsid w:val="1DD6D6F4"/>
    <w:multiLevelType w:val="hybridMultilevel"/>
    <w:lvl w:ilvl="0">
      <w:lvlJc w:val="left"/>
      <w:lvlText w:val="%1"/>
      <w:numFmt w:val="lowerRoman"/>
      <w:start w:val="1"/>
    </w:lvl>
    <w:lvl w:ilvl="1">
      <w:lvlJc w:val="left"/>
      <w:lvlText w:val="(%2)"/>
      <w:numFmt w:val="lowerLetter"/>
      <w:start w:val="1"/>
    </w:lvl>
  </w:abstractNum>
  <w:abstractNum w:abstractNumId="231">
    <w:nsid w:val="769A091F"/>
    <w:multiLevelType w:val="hybridMultilevel"/>
    <w:lvl w:ilvl="0">
      <w:lvlJc w:val="left"/>
      <w:lvlText w:val="(%1)"/>
      <w:numFmt w:val="lowerRoman"/>
      <w:start w:val="4"/>
    </w:lvl>
    <w:lvl w:ilvl="1">
      <w:lvlJc w:val="left"/>
      <w:lvlText w:val="(%2)"/>
      <w:numFmt w:val="lowerLetter"/>
      <w:start w:val="2"/>
    </w:lvl>
  </w:abstractNum>
  <w:abstractNum w:abstractNumId="232">
    <w:nsid w:val="4695AE95"/>
    <w:multiLevelType w:val="hybridMultilevel"/>
    <w:lvl w:ilvl="0">
      <w:lvlJc w:val="left"/>
      <w:lvlText w:val="(%1)"/>
      <w:numFmt w:val="lowerLetter"/>
      <w:start w:val="25"/>
    </w:lvl>
    <w:lvl w:ilvl="1">
      <w:lvlJc w:val="left"/>
      <w:lvlText w:val="(%2)"/>
      <w:numFmt w:val="lowerLetter"/>
      <w:start w:val="5"/>
    </w:lvl>
  </w:abstractNum>
  <w:abstractNum w:abstractNumId="233">
    <w:nsid w:val="777A4EAA"/>
    <w:multiLevelType w:val="hybridMultilevel"/>
    <w:lvl w:ilvl="0">
      <w:lvlJc w:val="left"/>
      <w:lvlText w:val="%1"/>
      <w:numFmt w:val="upperLetter"/>
      <w:start w:val="1"/>
    </w:lvl>
    <w:lvl w:ilvl="1">
      <w:lvlJc w:val="left"/>
      <w:lvlText w:val="(%2)"/>
      <w:numFmt w:val="lowerLetter"/>
      <w:start w:val="1"/>
    </w:lvl>
  </w:abstractNum>
  <w:abstractNum w:abstractNumId="234">
    <w:nsid w:val="3F48B982"/>
    <w:multiLevelType w:val="hybridMultilevel"/>
    <w:lvl w:ilvl="0">
      <w:lvlJc w:val="left"/>
      <w:lvlText w:val="(%1)"/>
      <w:numFmt w:val="upperLetter"/>
      <w:start w:val="2"/>
    </w:lvl>
    <w:lvl w:ilvl="1">
      <w:lvlJc w:val="left"/>
      <w:lvlText w:val="(%2)"/>
      <w:numFmt w:val="lowerLetter"/>
      <w:start w:val="2"/>
    </w:lvl>
  </w:abstractNum>
  <w:abstractNum w:abstractNumId="235">
    <w:nsid w:val="46BA8FCA"/>
    <w:multiLevelType w:val="hybridMultilevel"/>
    <w:lvl w:ilvl="0">
      <w:lvlJc w:val="left"/>
      <w:lvlText w:val="(%1)"/>
      <w:numFmt w:val="lowerLetter"/>
      <w:start w:val="3"/>
    </w:lvl>
  </w:abstractNum>
  <w:abstractNum w:abstractNumId="236">
    <w:nsid w:val="7835626C"/>
    <w:multiLevelType w:val="hybridMultilevel"/>
    <w:lvl w:ilvl="0">
      <w:lvlJc w:val="left"/>
      <w:lvlText w:val="(%1)"/>
      <w:numFmt w:val="lowerLetter"/>
      <w:start w:val="6"/>
    </w:lvl>
  </w:abstractNum>
  <w:abstractNum w:abstractNumId="237">
    <w:nsid w:val="665ACA49"/>
    <w:multiLevelType w:val="hybridMultilevel"/>
    <w:lvl w:ilvl="0">
      <w:lvlJc w:val="left"/>
      <w:lvlText w:val="%1"/>
      <w:numFmt w:val="lowerLetter"/>
      <w:start w:val="1"/>
    </w:lvl>
    <w:lvl w:ilvl="1">
      <w:lvlJc w:val="left"/>
      <w:lvlText w:val="(%2)"/>
      <w:numFmt w:val="lowerLetter"/>
      <w:start w:val="1"/>
    </w:lvl>
  </w:abstractNum>
  <w:abstractNum w:abstractNumId="238">
    <w:nsid w:val="6835B2AE"/>
    <w:multiLevelType w:val="hybridMultilevel"/>
    <w:lvl w:ilvl="0">
      <w:lvlJc w:val="left"/>
      <w:lvlText w:val="(%1)"/>
      <w:numFmt w:val="lowerLetter"/>
      <w:start w:val="24"/>
    </w:lvl>
    <w:lvl w:ilvl="1">
      <w:lvlJc w:val="left"/>
      <w:lvlText w:val="(%2)"/>
      <w:numFmt w:val="lowerLetter"/>
      <w:start w:val="2"/>
    </w:lvl>
  </w:abstractNum>
  <w:abstractNum w:abstractNumId="239">
    <w:nsid w:val="4C187C90"/>
    <w:multiLevelType w:val="hybridMultilevel"/>
    <w:lvl w:ilvl="0">
      <w:lvlJc w:val="left"/>
      <w:lvlText w:val="(%1)"/>
      <w:numFmt w:val="lowerLetter"/>
      <w:start w:val="35"/>
    </w:lvl>
    <w:lvl w:ilvl="1">
      <w:lvlJc w:val="left"/>
      <w:lvlText w:val="%2"/>
      <w:numFmt w:val="lowerLetter"/>
      <w:start w:val="1"/>
    </w:lvl>
  </w:abstractNum>
  <w:abstractNum w:abstractNumId="240">
    <w:nsid w:val="541F28CD"/>
    <w:multiLevelType w:val="hybridMultilevel"/>
    <w:lvl w:ilvl="0">
      <w:lvlJc w:val="left"/>
      <w:lvlText w:val="(%1)"/>
      <w:numFmt w:val="lowerLetter"/>
      <w:start w:val="3"/>
    </w:lvl>
  </w:abstractNum>
  <w:abstractNum w:abstractNumId="241">
    <w:nsid w:val="7F65FD16"/>
    <w:multiLevelType w:val="hybridMultilevel"/>
    <w:lvl w:ilvl="0">
      <w:lvlJc w:val="left"/>
      <w:lvlText w:val="(%1)"/>
      <w:numFmt w:val="lowerLetter"/>
      <w:start w:val="1"/>
    </w:lvl>
  </w:abstractNum>
  <w:abstractNum w:abstractNumId="242">
    <w:nsid w:val="77C9FD68"/>
    <w:multiLevelType w:val="hybridMultilevel"/>
    <w:lvl w:ilvl="0">
      <w:lvlJc w:val="left"/>
      <w:lvlText w:val="(%1)"/>
      <w:numFmt w:val="lowerLetter"/>
      <w:start w:val="2"/>
    </w:lvl>
  </w:abstractNum>
  <w:abstractNum w:abstractNumId="243">
    <w:nsid w:val="298A92BA"/>
    <w:multiLevelType w:val="hybridMultilevel"/>
    <w:lvl w:ilvl="0">
      <w:lvlJc w:val="left"/>
      <w:lvlText w:val="(%1)"/>
      <w:numFmt w:val="lowerLetter"/>
      <w:start w:val="1"/>
    </w:lvl>
  </w:abstractNum>
  <w:abstractNum w:abstractNumId="244">
    <w:nsid w:val="6FE95EAC"/>
    <w:multiLevelType w:val="hybridMultilevel"/>
    <w:lvl w:ilvl="0">
      <w:lvlJc w:val="left"/>
      <w:lvlText w:val="(%1)"/>
      <w:numFmt w:val="lowerLetter"/>
      <w:start w:val="3"/>
    </w:lvl>
  </w:abstractNum>
  <w:abstractNum w:abstractNumId="245">
    <w:nsid w:val="4B697C7A"/>
    <w:multiLevelType w:val="hybridMultilevel"/>
    <w:lvl w:ilvl="0">
      <w:lvlJc w:val="left"/>
      <w:lvlText w:val="(%1)"/>
      <w:numFmt w:val="lowerLetter"/>
      <w:start w:val="1"/>
    </w:lvl>
  </w:abstractNum>
  <w:abstractNum w:abstractNumId="246">
    <w:nsid w:val="51A27AA6"/>
    <w:multiLevelType w:val="hybridMultilevel"/>
    <w:lvl w:ilvl="0">
      <w:lvlJc w:val="left"/>
      <w:lvlText w:val="(%1)"/>
      <w:numFmt w:val="lowerLetter"/>
      <w:start w:val="1"/>
    </w:lvl>
  </w:abstractNum>
  <w:abstractNum w:abstractNumId="247">
    <w:nsid w:val="613183F2"/>
    <w:multiLevelType w:val="hybridMultilevel"/>
    <w:lvl w:ilvl="0">
      <w:lvlJc w:val="left"/>
      <w:lvlText w:val="(%1)"/>
      <w:numFmt w:val="lowerLetter"/>
      <w:start w:val="2"/>
    </w:lvl>
  </w:abstractNum>
  <w:abstractNum w:abstractNumId="248">
    <w:nsid w:val="634102B4"/>
    <w:multiLevelType w:val="hybridMultilevel"/>
    <w:lvl w:ilvl="0">
      <w:lvlJc w:val="left"/>
      <w:lvlText w:val="(%1)"/>
      <w:numFmt w:val="lowerLetter"/>
      <w:start w:val="1"/>
    </w:lvl>
  </w:abstractNum>
  <w:abstractNum w:abstractNumId="249">
    <w:nsid w:val="65BF9DA8"/>
    <w:multiLevelType w:val="hybridMultilevel"/>
    <w:lvl w:ilvl="0">
      <w:lvlJc w:val="left"/>
      <w:lvlText w:val="(%1)"/>
      <w:numFmt w:val="lowerLetter"/>
      <w:start w:val="1"/>
    </w:lvl>
    <w:lvl w:ilvl="1">
      <w:lvlJc w:val="left"/>
      <w:lvlText w:val="(%2)"/>
      <w:numFmt w:val="lowerRoman"/>
      <w:start w:val="1"/>
    </w:lvl>
  </w:abstractNum>
  <w:abstractNum w:abstractNumId="250">
    <w:nsid w:val="21A2ECCA"/>
    <w:multiLevelType w:val="hybridMultilevel"/>
    <w:lvl w:ilvl="0">
      <w:lvlJc w:val="left"/>
      <w:lvlText w:val="(%1)"/>
      <w:numFmt w:val="lowerLetter"/>
      <w:start w:val="9"/>
    </w:lvl>
    <w:lvl w:ilvl="1">
      <w:lvlJc w:val="left"/>
      <w:lvlText w:val="(%2)"/>
      <w:numFmt w:val="lowerRoman"/>
      <w:start w:val="2"/>
    </w:lvl>
  </w:abstractNum>
  <w:abstractNum w:abstractNumId="251">
    <w:nsid w:val="4D5C4899"/>
    <w:multiLevelType w:val="hybridMultilevel"/>
    <w:lvl w:ilvl="0">
      <w:lvlJc w:val="left"/>
      <w:lvlText w:val="(%1)"/>
      <w:numFmt w:val="lowerLetter"/>
      <w:start w:val="3"/>
    </w:lvl>
    <w:lvl w:ilvl="1">
      <w:lvlJc w:val="left"/>
      <w:lvlText w:val="(%2)"/>
      <w:numFmt w:val="lowerRoman"/>
      <w:start w:val="1"/>
    </w:lvl>
  </w:abstractNum>
  <w:abstractNum w:abstractNumId="252">
    <w:nsid w:val="3C3B72B2"/>
    <w:multiLevelType w:val="hybridMultilevel"/>
    <w:lvl w:ilvl="0">
      <w:lvlJc w:val="left"/>
      <w:lvlText w:val="(%1)"/>
      <w:numFmt w:val="lowerRoman"/>
      <w:start w:val="2"/>
    </w:lvl>
  </w:abstractNum>
  <w:abstractNum w:abstractNumId="253">
    <w:nsid w:val="155EC4C2"/>
    <w:multiLevelType w:val="hybridMultilevel"/>
    <w:lvl w:ilvl="0">
      <w:lvlJc w:val="left"/>
      <w:lvlText w:val="(%1)"/>
      <w:numFmt w:val="lowerLetter"/>
      <w:start w:val="1"/>
    </w:lvl>
    <w:lvl w:ilvl="1">
      <w:lvlJc w:val="left"/>
      <w:lvlText w:val="(%2)"/>
      <w:numFmt w:val="lowerRoman"/>
      <w:start w:val="1"/>
    </w:lvl>
  </w:abstractNum>
  <w:abstractNum w:abstractNumId="254">
    <w:nsid w:val="65D2A137"/>
    <w:multiLevelType w:val="hybridMultilevel"/>
    <w:lvl w:ilvl="0">
      <w:lvlJc w:val="left"/>
      <w:lvlText w:val="(%1)"/>
      <w:numFmt w:val="lowerLetter"/>
      <w:start w:val="2"/>
    </w:lvl>
  </w:abstractNum>
  <w:abstractNum w:abstractNumId="255">
    <w:nsid w:val="6EBB1F2A"/>
    <w:multiLevelType w:val="hybridMultilevel"/>
    <w:lvl w:ilvl="0">
      <w:lvlJc w:val="left"/>
      <w:lvlText w:val="%1"/>
      <w:numFmt w:val="lowerLetter"/>
      <w:start w:val="1"/>
    </w:lvl>
    <w:lvl w:ilvl="1">
      <w:lvlJc w:val="left"/>
      <w:lvlText w:val="(%2)"/>
      <w:numFmt w:val="lowerLetter"/>
      <w:start w:val="1"/>
    </w:lvl>
  </w:abstractNum>
  <w:abstractNum w:abstractNumId="256">
    <w:nsid w:val="6FBF29CB"/>
    <w:multiLevelType w:val="hybridMultilevel"/>
    <w:lvl w:ilvl="0">
      <w:lvlJc w:val="left"/>
      <w:lvlText w:val="(%1)"/>
      <w:numFmt w:val="lowerLetter"/>
      <w:start w:val="35"/>
    </w:lvl>
    <w:lvl w:ilvl="1">
      <w:lvlJc w:val="left"/>
      <w:lvlText w:val="%2"/>
      <w:numFmt w:val="lowerLetter"/>
      <w:start w:val="1"/>
    </w:lvl>
  </w:abstractNum>
  <w:abstractNum w:abstractNumId="257">
    <w:nsid w:val="550B8808"/>
    <w:multiLevelType w:val="hybridMultilevel"/>
    <w:lvl w:ilvl="0">
      <w:lvlJc w:val="left"/>
      <w:lvlText w:val="(%1)"/>
      <w:numFmt w:val="lowerLetter"/>
      <w:start w:val="3"/>
    </w:lvl>
  </w:abstractNum>
  <w:abstractNum w:abstractNumId="258">
    <w:nsid w:val="34CC3ACF"/>
    <w:multiLevelType w:val="hybridMultilevel"/>
    <w:lvl w:ilvl="0">
      <w:lvlJc w:val="left"/>
      <w:lvlText w:val="§"/>
      <w:numFmt w:val="bullet"/>
      <w:start w:val="1"/>
    </w:lvl>
  </w:abstractNum>
  <w:abstractNum w:abstractNumId="259">
    <w:nsid w:val="4E556261"/>
    <w:multiLevelType w:val="hybridMultilevel"/>
    <w:lvl w:ilvl="0">
      <w:lvlJc w:val="left"/>
      <w:lvlText w:val="(%1)"/>
      <w:numFmt w:val="lowerLetter"/>
      <w:start w:val="2"/>
    </w:lvl>
  </w:abstractNum>
  <w:abstractNum w:abstractNumId="260">
    <w:nsid w:val="4C672FC9"/>
    <w:multiLevelType w:val="hybridMultilevel"/>
    <w:lvl w:ilvl="0">
      <w:lvlJc w:val="left"/>
      <w:lvlText w:val="(%1)"/>
      <w:numFmt w:val="lowerRoman"/>
      <w:start w:val="7"/>
    </w:lvl>
  </w:abstractNum>
  <w:abstractNum w:abstractNumId="261">
    <w:nsid w:val="52A311C3"/>
    <w:multiLevelType w:val="hybridMultilevel"/>
    <w:lvl w:ilvl="0">
      <w:lvlJc w:val="left"/>
      <w:lvlText w:val="%1"/>
      <w:numFmt w:val="upperLetter"/>
      <w:start w:val="1"/>
    </w:lvl>
    <w:lvl w:ilvl="1">
      <w:lvlJc w:val="left"/>
      <w:lvlText w:val="(%2)"/>
      <w:numFmt w:val="lowerLetter"/>
      <w:start w:val="1"/>
    </w:lvl>
  </w:abstractNum>
  <w:abstractNum w:abstractNumId="262">
    <w:nsid w:val="44EF6B80"/>
    <w:multiLevelType w:val="hybridMultilevel"/>
    <w:lvl w:ilvl="0">
      <w:lvlJc w:val="left"/>
      <w:lvlText w:val="(%1)"/>
      <w:numFmt w:val="upperLetter"/>
      <w:start w:val="1"/>
    </w:lvl>
    <w:lvl w:ilvl="1">
      <w:lvlJc w:val="left"/>
      <w:lvlText w:val="(%2)"/>
      <w:numFmt w:val="lowerLetter"/>
      <w:start w:val="2"/>
    </w:lvl>
  </w:abstractNum>
  <w:abstractNum w:abstractNumId="263">
    <w:nsid w:val="12FCDE5E"/>
    <w:multiLevelType w:val="hybridMultilevel"/>
    <w:lvl w:ilvl="0">
      <w:lvlJc w:val="left"/>
      <w:lvlText w:val="(%1)"/>
      <w:numFmt w:val="lowerLetter"/>
      <w:start w:val="1"/>
    </w:lvl>
  </w:abstractNum>
  <w:abstractNum w:abstractNumId="264">
    <w:nsid w:val="4A1D606E"/>
    <w:multiLevelType w:val="hybridMultilevel"/>
    <w:lvl w:ilvl="0">
      <w:lvlJc w:val="left"/>
      <w:lvlText w:val="(%1)"/>
      <w:numFmt w:val="lowerLetter"/>
      <w:start w:val="2"/>
    </w:lvl>
  </w:abstractNum>
  <w:abstractNum w:abstractNumId="265">
    <w:nsid w:val="4382503"/>
    <w:multiLevelType w:val="hybridMultilevel"/>
    <w:lvl w:ilvl="0">
      <w:lvlJc w:val="left"/>
      <w:lvlText w:val="(%1)"/>
      <w:numFmt w:val="lowerLetter"/>
      <w:start w:val="1"/>
    </w:lvl>
  </w:abstractNum>
  <w:abstractNum w:abstractNumId="266">
    <w:nsid w:val="59B76E28"/>
    <w:multiLevelType w:val="hybridMultilevel"/>
    <w:lvl w:ilvl="0">
      <w:lvlJc w:val="left"/>
      <w:lvlText w:val="(%1)"/>
      <w:numFmt w:val="lowerLetter"/>
      <w:start w:val="1"/>
    </w:lvl>
  </w:abstractNum>
  <w:abstractNum w:abstractNumId="267">
    <w:nsid w:val="4252C2DA"/>
    <w:multiLevelType w:val="hybridMultilevel"/>
    <w:lvl w:ilvl="0">
      <w:lvlJc w:val="left"/>
      <w:lvlText w:val="(%1)"/>
      <w:numFmt w:val="upperLetter"/>
      <w:start w:val="3"/>
    </w:lvl>
    <w:lvl w:ilvl="1">
      <w:lvlJc w:val="left"/>
      <w:lvlText w:val="(%2)"/>
      <w:numFmt w:val="lowerLetter"/>
      <w:start w:val="2"/>
    </w:lvl>
  </w:abstractNum>
  <w:abstractNum w:abstractNumId="268">
    <w:nsid w:val="6A92EF4C"/>
    <w:multiLevelType w:val="hybridMultilevel"/>
    <w:lvl w:ilvl="0">
      <w:lvlJc w:val="left"/>
      <w:lvlText w:val="%1"/>
      <w:numFmt w:val="decimal"/>
      <w:start w:val="375"/>
    </w:lvl>
    <w:lvl w:ilvl="1">
      <w:lvlJc w:val="left"/>
      <w:lvlText w:val=" "/>
      <w:numFmt w:val="bullet"/>
      <w:start w:val="1"/>
    </w:lvl>
  </w:abstractNum>
  <w:abstractNum w:abstractNumId="269">
    <w:nsid w:val="41ED20D7"/>
    <w:multiLevelType w:val="hybridMultilevel"/>
    <w:lvl w:ilvl="0">
      <w:lvlJc w:val="left"/>
      <w:lvlText w:val="(%1)"/>
      <w:numFmt w:val="lowerLetter"/>
      <w:start w:val="1"/>
    </w:lvl>
  </w:abstractNum>
  <w:abstractNum w:abstractNumId="270">
    <w:nsid w:val="E6B3F6A"/>
    <w:multiLevelType w:val="hybridMultilevel"/>
    <w:lvl w:ilvl="0">
      <w:lvlJc w:val="left"/>
      <w:lvlText w:val="(%1)"/>
      <w:numFmt w:val="lowerLetter"/>
      <w:start w:val="1"/>
    </w:lvl>
  </w:abstractNum>
  <w:abstractNum w:abstractNumId="271">
    <w:nsid w:val="3EB21819"/>
    <w:multiLevelType w:val="hybridMultilevel"/>
    <w:lvl w:ilvl="0">
      <w:lvlJc w:val="left"/>
      <w:lvlText w:val="(%1)"/>
      <w:numFmt w:val="lowerLetter"/>
      <w:start w:val="2"/>
    </w:lvl>
  </w:abstractNum>
  <w:abstractNum w:abstractNumId="272">
    <w:nsid w:val="41531DED"/>
    <w:multiLevelType w:val="hybridMultilevel"/>
    <w:lvl w:ilvl="0">
      <w:lvlJc w:val="left"/>
      <w:lvlText w:val="(%1)"/>
      <w:numFmt w:val="lowerLetter"/>
      <w:start w:val="1"/>
    </w:lvl>
  </w:abstractNum>
  <w:abstractNum w:abstractNumId="273">
    <w:nsid w:val="6353CD2"/>
    <w:multiLevelType w:val="hybridMultilevel"/>
    <w:lvl w:ilvl="0">
      <w:lvlJc w:val="left"/>
      <w:lvlText w:val="%1"/>
      <w:numFmt w:val="upperLetter"/>
      <w:start w:val="1"/>
    </w:lvl>
    <w:lvl w:ilvl="1">
      <w:lvlJc w:val="left"/>
      <w:lvlText w:val="(%2)"/>
      <w:numFmt w:val="lowerLetter"/>
      <w:start w:val="1"/>
    </w:lvl>
  </w:abstractNum>
  <w:abstractNum w:abstractNumId="274">
    <w:nsid w:val="683CAAD3"/>
    <w:multiLevelType w:val="hybridMultilevel"/>
    <w:lvl w:ilvl="0">
      <w:lvlJc w:val="left"/>
      <w:lvlText w:val="(%1)"/>
      <w:numFmt w:val="upperLetter"/>
      <w:start w:val="1"/>
    </w:lvl>
    <w:lvl w:ilvl="1">
      <w:lvlJc w:val="left"/>
      <w:lvlText w:val="%2"/>
      <w:numFmt w:val="lowerLetter"/>
      <w:start w:val="1"/>
    </w:lvl>
  </w:abstractNum>
  <w:abstractNum w:abstractNumId="275">
    <w:nsid w:val="313C7C99"/>
    <w:multiLevelType w:val="hybridMultilevel"/>
    <w:lvl w:ilvl="0">
      <w:lvlJc w:val="left"/>
      <w:lvlText w:val="(%1)"/>
      <w:numFmt w:val="lowerLetter"/>
      <w:start w:val="2"/>
    </w:lvl>
  </w:abstractNum>
  <w:abstractNum w:abstractNumId="276">
    <w:nsid w:val="519EB94C"/>
    <w:multiLevelType w:val="hybridMultilevel"/>
    <w:lvl w:ilvl="0">
      <w:lvlJc w:val="left"/>
      <w:lvlText w:val="%1"/>
      <w:numFmt w:val="decimal"/>
      <w:start w:val="375"/>
    </w:lvl>
    <w:lvl w:ilvl="1">
      <w:lvlJc w:val="left"/>
      <w:lvlText w:val=" "/>
      <w:numFmt w:val="bullet"/>
      <w:start w:val="1"/>
    </w:lvl>
  </w:abstractNum>
  <w:abstractNum w:abstractNumId="277">
    <w:nsid w:val="39DF2579"/>
    <w:multiLevelType w:val="hybridMultilevel"/>
    <w:lvl w:ilvl="0">
      <w:lvlJc w:val="left"/>
      <w:lvlText w:val="(%1)"/>
      <w:numFmt w:val="lowerLetter"/>
      <w:start w:val="1"/>
    </w:lvl>
  </w:abstractNum>
  <w:abstractNum w:abstractNumId="278">
    <w:nsid w:val="126E008B"/>
    <w:multiLevelType w:val="hybridMultilevel"/>
    <w:lvl w:ilvl="0">
      <w:lvlJc w:val="left"/>
      <w:lvlText w:val="•"/>
      <w:numFmt w:val="bullet"/>
      <w:start w:val="1"/>
    </w:lvl>
  </w:abstractNum>
  <w:abstractNum w:abstractNumId="279">
    <w:nsid w:val="34DFBC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2026-04-20T15:22:50Z</dcterms:created>
  <dcterms:modified xsi:type="dcterms:W3CDTF">2026-04-20T15:22:50Z</dcterms:modified>
</cp:coreProperties>
</file>