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3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Braunstein Douglas L</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Talkspace,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TALK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TALKSPACE, INC.</w:t>
            </w:r>
          </w:p>
        </w:tc>
        <w:tc>
          <w:tcPr>
            <w:tcW w:w="14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2578 BROADWAY #607</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93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4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240" w:type="dxa"/>
            <w:vAlign w:val="bottom"/>
            <w:gridSpan w:val="2"/>
            <w:vMerge w:val="restart"/>
          </w:tcPr>
          <w:p>
            <w:pPr>
              <w:ind w:left="400"/>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3,363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520" w:type="dxa"/>
            <w:vAlign w:val="bottom"/>
            <w:tcBorders>
              <w:bottom w:val="single" w:sz="8" w:color="2C2C2C"/>
            </w:tcBorders>
            <w:gridSpan w:val="3"/>
          </w:tcPr>
          <w:p>
            <w:pPr>
              <w:jc w:val="center"/>
              <w:ind w:right="320"/>
              <w:spacing w:after="0"/>
              <w:rPr>
                <w:sz w:val="20"/>
                <w:szCs w:val="20"/>
                <w:color w:val="auto"/>
              </w:rPr>
            </w:pPr>
            <w:r>
              <w:rPr>
                <w:rFonts w:ascii="Times New Roman" w:cs="Times New Roman" w:eastAsia="Times New Roman" w:hAnsi="Times New Roman"/>
                <w:sz w:val="17"/>
                <w:szCs w:val="17"/>
                <w:color w:val="0000FF"/>
              </w:rPr>
              <w:t>2,087,264</w:t>
            </w:r>
          </w:p>
        </w:tc>
        <w:tc>
          <w:tcPr>
            <w:tcW w:w="5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right="320"/>
              <w:spacing w:after="0"/>
              <w:rPr>
                <w:sz w:val="20"/>
                <w:szCs w:val="20"/>
                <w:color w:val="auto"/>
              </w:rPr>
            </w:pPr>
            <w:r>
              <w:rPr>
                <w:rFonts w:ascii="Times New Roman" w:cs="Times New Roman" w:eastAsia="Times New Roman" w:hAnsi="Times New Roman"/>
                <w:sz w:val="17"/>
                <w:szCs w:val="17"/>
                <w:color w:val="0000FF"/>
                <w:w w:val="96"/>
              </w:rPr>
              <w:t>1,273,690</w:t>
            </w:r>
            <w:r>
              <w:rPr>
                <w:rFonts w:ascii="Times New Roman" w:cs="Times New Roman" w:eastAsia="Times New Roman" w:hAnsi="Times New Roman"/>
                <w:sz w:val="22"/>
                <w:szCs w:val="22"/>
                <w:color w:val="008000"/>
                <w:w w:val="96"/>
                <w:vertAlign w:val="superscript"/>
              </w:rPr>
              <w:t>(2)</w:t>
            </w:r>
          </w:p>
        </w:tc>
        <w:tc>
          <w:tcPr>
            <w:tcW w:w="5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rPr>
              <w:t>1,000,756</w:t>
            </w:r>
          </w:p>
        </w:tc>
        <w:tc>
          <w:tcPr>
            <w:tcW w:w="520" w:type="dxa"/>
            <w:vAlign w:val="bottom"/>
            <w:vMerge w:val="restart"/>
          </w:tcPr>
          <w:p>
            <w:pPr>
              <w:jc w:val="center"/>
              <w:ind w:right="308"/>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3"/>
            <w:vMerge w:val="restart"/>
          </w:tcPr>
          <w:p>
            <w:pPr>
              <w:jc w:val="center"/>
              <w:ind w:right="320"/>
              <w:spacing w:after="0"/>
              <w:rPr>
                <w:sz w:val="20"/>
                <w:szCs w:val="20"/>
                <w:color w:val="auto"/>
              </w:rPr>
            </w:pPr>
            <w:r>
              <w:rPr>
                <w:rFonts w:ascii="Times New Roman" w:cs="Times New Roman" w:eastAsia="Times New Roman" w:hAnsi="Times New Roman"/>
                <w:sz w:val="17"/>
                <w:szCs w:val="17"/>
                <w:color w:val="0000FF"/>
              </w:rPr>
              <w:t>11,340,600</w:t>
            </w:r>
          </w:p>
        </w:tc>
        <w:tc>
          <w:tcPr>
            <w:tcW w:w="520" w:type="dxa"/>
            <w:vAlign w:val="bottom"/>
            <w:tcBorders>
              <w:top w:val="single" w:sz="8" w:color="2C2C2C"/>
            </w:tcBorders>
            <w:vMerge w:val="restart"/>
          </w:tcPr>
          <w:p>
            <w:pPr>
              <w:jc w:val="center"/>
              <w:ind w:right="308"/>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a contingent right to receive one share of Talkspace, Inc. common stock. The RSUs vest in full on the grant date, June 1,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jointly held by Mr. Braunstein and Samara Braunstein.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Hudson Executive Capital LP ("Hudson Executive"), as the investment adviser to certain affiliated investment funds, may be deemed to be the beneficial owner of the securities reported on this Form 4 (the "Subject Securities") for purposes of Rule 16a-1(a) under the Securities Exchange Act of 1934 (the "Exchange Act"). HEC Management GP LLC ("Management GP"), as the general partner of Hudson Executive, may be deemed to be the beneficial owner of the Subject Securities for purposes of Rule 16a-1(a) under the Exchange Act. By virtue of Mr. Braunstein's position as Managing Partner of Hudson Executive and Managing Member of Management GP, Mr. Braunstein may be deemed to be the beneficial owner of the Subject Securities for purposes of Rule 16a-1(a) under the Exchange Act.</w:t>
      </w:r>
    </w:p>
    <w:p>
      <w:pPr>
        <w:spacing w:after="0" w:line="178"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Braunstein disclaims any beneficial ownership of any of the Subject Securities, except to the extent of any pecuniary interest therein.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John C. Reilly, Attorney-in- </w:t>
      </w:r>
      <w:r>
        <w:rPr>
          <w:rFonts w:ascii="Times New Roman" w:cs="Times New Roman" w:eastAsia="Times New Roman" w:hAnsi="Times New Roman"/>
          <w:sz w:val="34"/>
          <w:szCs w:val="34"/>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Douglas L.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41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11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5110" TargetMode="External"/><Relationship Id="rId14" Type="http://schemas.openxmlformats.org/officeDocument/2006/relationships/hyperlink" Target="http://www.sec.gov/cgi-bin/browse-edgar?action=getcompany&amp;CIK=000180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2026-06-03T20:31:17Z</dcterms:created>
  <dcterms:modified xsi:type="dcterms:W3CDTF">2026-06-03T20:31:17Z</dcterms:modified>
</cp:coreProperties>
</file>