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375"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64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428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TALKSPACE,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86"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84-4636604</w:t>
      </w:r>
    </w:p>
    <w:p>
      <w:pPr>
        <w:spacing w:after="0" w:line="45"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140" w:space="720"/>
            <w:col w:w="3380"/>
          </w:cols>
          <w:pgMar w:left="320" w:top="238" w:right="339" w:bottom="1440" w:gutter="0" w:footer="0" w:header="0"/>
          <w:type w:val="continuous"/>
        </w:sectPr>
      </w:pPr>
    </w:p>
    <w:tbl>
      <w:tblPr>
        <w:tblLayout w:type="fixed"/>
        <w:tblInd w:w="1280" w:type="dxa"/>
        <w:tblCellMar>
          <w:top w:w="0" w:type="dxa"/>
          <w:left w:w="0" w:type="dxa"/>
          <w:bottom w:w="0" w:type="dxa"/>
          <w:right w:w="0" w:type="dxa"/>
        </w:tblCellMar>
      </w:tblPr>
      <w:tr>
        <w:trPr>
          <w:trHeight w:val="234"/>
        </w:trPr>
        <w:tc>
          <w:tcPr>
            <w:tcW w:w="3440" w:type="dxa"/>
            <w:vAlign w:val="bottom"/>
          </w:tcPr>
          <w:p>
            <w:pPr>
              <w:jc w:val="center"/>
              <w:ind w:right="279"/>
              <w:spacing w:after="0"/>
              <w:rPr>
                <w:sz w:val="20"/>
                <w:szCs w:val="20"/>
                <w:color w:val="auto"/>
              </w:rPr>
            </w:pPr>
            <w:r>
              <w:rPr>
                <w:rFonts w:ascii="Arial" w:cs="Arial" w:eastAsia="Arial" w:hAnsi="Arial"/>
                <w:sz w:val="18"/>
                <w:szCs w:val="18"/>
                <w:b w:val="1"/>
                <w:bCs w:val="1"/>
                <w:color w:val="auto"/>
                <w:w w:val="92"/>
              </w:rPr>
              <w:t>622 Third Avenue, New York, New York</w:t>
            </w:r>
          </w:p>
        </w:tc>
        <w:tc>
          <w:tcPr>
            <w:tcW w:w="4040" w:type="dxa"/>
            <w:vAlign w:val="bottom"/>
          </w:tcPr>
          <w:p>
            <w:pPr>
              <w:jc w:val="right"/>
              <w:ind w:right="16"/>
              <w:spacing w:after="0"/>
              <w:rPr>
                <w:sz w:val="20"/>
                <w:szCs w:val="20"/>
                <w:color w:val="auto"/>
              </w:rPr>
            </w:pPr>
            <w:r>
              <w:rPr>
                <w:rFonts w:ascii="Arial" w:cs="Arial" w:eastAsia="Arial" w:hAnsi="Arial"/>
                <w:sz w:val="18"/>
                <w:szCs w:val="18"/>
                <w:b w:val="1"/>
                <w:bCs w:val="1"/>
                <w:color w:val="auto"/>
              </w:rPr>
              <w:t>10017</w:t>
            </w:r>
          </w:p>
        </w:tc>
      </w:tr>
      <w:tr>
        <w:trPr>
          <w:trHeight w:val="198"/>
        </w:trPr>
        <w:tc>
          <w:tcPr>
            <w:tcW w:w="3440" w:type="dxa"/>
            <w:vAlign w:val="bottom"/>
          </w:tcPr>
          <w:p>
            <w:pPr>
              <w:jc w:val="center"/>
              <w:ind w:right="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40" w:type="dxa"/>
            <w:vAlign w:val="bottom"/>
          </w:tcPr>
          <w:p>
            <w:pPr>
              <w:jc w:val="center"/>
              <w:ind w:left="3296"/>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3440" w:type="dxa"/>
            <w:vAlign w:val="bottom"/>
          </w:tcPr>
          <w:p>
            <w:pPr>
              <w:spacing w:after="0"/>
              <w:rPr>
                <w:sz w:val="24"/>
                <w:szCs w:val="24"/>
                <w:color w:val="auto"/>
              </w:rPr>
            </w:pPr>
          </w:p>
        </w:tc>
        <w:tc>
          <w:tcPr>
            <w:tcW w:w="4040" w:type="dxa"/>
            <w:vAlign w:val="bottom"/>
          </w:tcPr>
          <w:p>
            <w:pPr>
              <w:jc w:val="right"/>
              <w:ind w:right="2496"/>
              <w:spacing w:after="0"/>
              <w:rPr>
                <w:sz w:val="20"/>
                <w:szCs w:val="20"/>
                <w:color w:val="auto"/>
              </w:rPr>
            </w:pPr>
            <w:r>
              <w:rPr>
                <w:rFonts w:ascii="Arial" w:cs="Arial" w:eastAsia="Arial" w:hAnsi="Arial"/>
                <w:sz w:val="18"/>
                <w:szCs w:val="18"/>
                <w:b w:val="1"/>
                <w:bCs w:val="1"/>
                <w:color w:val="auto"/>
              </w:rPr>
              <w:t>(212) 284-7206</w:t>
            </w:r>
          </w:p>
        </w:tc>
      </w:tr>
    </w:tbl>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TALK</w:t>
            </w:r>
          </w:p>
        </w:tc>
        <w:tc>
          <w:tcPr>
            <w:tcW w:w="120" w:type="dxa"/>
            <w:vAlign w:val="bottom"/>
          </w:tcPr>
          <w:p>
            <w:pPr>
              <w:spacing w:after="0"/>
              <w:rPr>
                <w:sz w:val="17"/>
                <w:szCs w:val="17"/>
                <w:color w:val="auto"/>
              </w:rPr>
            </w:pPr>
          </w:p>
        </w:tc>
        <w:tc>
          <w:tcPr>
            <w:tcW w:w="5040" w:type="dxa"/>
            <w:vAlign w:val="bottom"/>
          </w:tcPr>
          <w:p>
            <w:pPr>
              <w:ind w:left="1720"/>
              <w:spacing w:after="0"/>
              <w:rPr>
                <w:sz w:val="20"/>
                <w:szCs w:val="20"/>
                <w:color w:val="auto"/>
              </w:rPr>
            </w:pPr>
            <w:r>
              <w:rPr>
                <w:rFonts w:ascii="Arial" w:cs="Arial" w:eastAsia="Arial" w:hAnsi="Arial"/>
                <w:sz w:val="16"/>
                <w:szCs w:val="16"/>
                <w:b w:val="1"/>
                <w:bCs w:val="1"/>
                <w:color w:val="auto"/>
              </w:rPr>
              <w:t>Nasdaq Stock Market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Warrants to purchase common stock</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TALKW</w:t>
            </w:r>
          </w:p>
        </w:tc>
        <w:tc>
          <w:tcPr>
            <w:tcW w:w="120" w:type="dxa"/>
            <w:vAlign w:val="bottom"/>
          </w:tcPr>
          <w:p>
            <w:pPr>
              <w:spacing w:after="0"/>
              <w:rPr>
                <w:sz w:val="19"/>
                <w:szCs w:val="19"/>
                <w:color w:val="auto"/>
              </w:rPr>
            </w:pPr>
          </w:p>
        </w:tc>
        <w:tc>
          <w:tcPr>
            <w:tcW w:w="5040" w:type="dxa"/>
            <w:vAlign w:val="bottom"/>
          </w:tcPr>
          <w:p>
            <w:pPr>
              <w:ind w:left="1720"/>
              <w:spacing w:after="0"/>
              <w:rPr>
                <w:sz w:val="20"/>
                <w:szCs w:val="20"/>
                <w:color w:val="auto"/>
              </w:rPr>
            </w:pPr>
            <w:r>
              <w:rPr>
                <w:rFonts w:ascii="Arial" w:cs="Arial" w:eastAsia="Arial" w:hAnsi="Arial"/>
                <w:sz w:val="16"/>
                <w:szCs w:val="16"/>
                <w:b w:val="1"/>
                <w:bCs w:val="1"/>
                <w:color w:val="auto"/>
              </w:rPr>
              <w:t>Nasdaq Stock Market</w:t>
            </w:r>
          </w:p>
        </w:tc>
        <w:tc>
          <w:tcPr>
            <w:tcW w:w="0" w:type="dxa"/>
            <w:vAlign w:val="bottom"/>
          </w:tcPr>
          <w:p>
            <w:pPr>
              <w:spacing w:after="0"/>
              <w:rPr>
                <w:sz w:val="1"/>
                <w:szCs w:val="1"/>
                <w:color w:val="auto"/>
              </w:rPr>
            </w:pPr>
          </w:p>
        </w:tc>
      </w:tr>
    </w:tbl>
    <w:p>
      <w:pPr>
        <w:spacing w:after="0" w:line="118" w:lineRule="exact"/>
        <w:rPr>
          <w:sz w:val="24"/>
          <w:szCs w:val="24"/>
          <w:color w:val="auto"/>
        </w:rPr>
      </w:pPr>
    </w:p>
    <w:p>
      <w:pPr>
        <w:jc w:val="both"/>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spacing w:after="0" w:line="184" w:lineRule="exact"/>
        <w:tabs>
          <w:tab w:leader="none" w:pos="81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November 3, 2023, the registrant had 167,095,019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60" w:type="dxa"/>
            <w:vAlign w:val="bottom"/>
            <w:gridSpan w:val="3"/>
            <w:vMerge w:val="continue"/>
          </w:tcPr>
          <w:p>
            <w:pPr>
              <w:spacing w:after="0"/>
              <w:rPr>
                <w:sz w:val="18"/>
                <w:szCs w:val="18"/>
                <w:color w:val="auto"/>
              </w:rPr>
            </w:pPr>
          </w:p>
        </w:tc>
        <w:tc>
          <w:tcPr>
            <w:tcW w:w="9300" w:type="dxa"/>
            <w:vAlign w:val="bottom"/>
            <w:gridSpan w:val="22"/>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line="190" w:lineRule="exact"/>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Consolidated Balance Sheets as of September 30, 2023 (unaudited) and December 31, 2022</w:t>
            </w:r>
          </w:p>
        </w:tc>
        <w:tc>
          <w:tcPr>
            <w:tcW w:w="20" w:type="dxa"/>
            <w:vAlign w:val="bottom"/>
            <w:tcBorders>
              <w:bottom w:val="single" w:sz="8" w:color="0000EE"/>
            </w:tcBorders>
          </w:tcPr>
          <w:p>
            <w:pPr>
              <w:spacing w:after="0"/>
              <w:rPr>
                <w:sz w:val="18"/>
                <w:szCs w:val="18"/>
                <w:color w:val="auto"/>
              </w:rPr>
            </w:pPr>
          </w:p>
        </w:tc>
        <w:tc>
          <w:tcPr>
            <w:tcW w:w="18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Arial" w:cs="Arial" w:eastAsia="Arial" w:hAnsi="Arial"/>
                <w:sz w:val="18"/>
                <w:szCs w:val="18"/>
                <w:color w:val="0000FF"/>
                <w:w w:val="92"/>
              </w:rPr>
              <w:t>Condensed Consolidated Statements of Operations (unaudited) for the three and nine months ended September 30, 2023 and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4"/>
              </w:rPr>
              <w:t>2022</w:t>
            </w: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Condensed Consolidated Statements of Stockholder’s Equity (unaudited) for the three and nine months ended September 30,</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88"/>
              </w:rPr>
              <w:t>2023 and 2022</w:t>
            </w:r>
          </w:p>
        </w:tc>
        <w:tc>
          <w:tcPr>
            <w:tcW w:w="822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7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Condensed Consolidated Statements of Cash Flows (unaudited) for the nine months ended September 30, 2023 and 2022</w:t>
            </w:r>
          </w:p>
        </w:tc>
        <w:tc>
          <w:tcPr>
            <w:tcW w:w="5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3"/>
          </w:tcPr>
          <w:p>
            <w:pPr>
              <w:spacing w:after="0"/>
              <w:rPr>
                <w:sz w:val="18"/>
                <w:szCs w:val="18"/>
                <w:color w:val="auto"/>
              </w:rPr>
            </w:pPr>
          </w:p>
        </w:tc>
        <w:tc>
          <w:tcPr>
            <w:tcW w:w="28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9"/>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2"/>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line="190" w:lineRule="exact"/>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3"/>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Defaults Upon Senior Securities</w:t>
            </w:r>
          </w:p>
        </w:tc>
        <w:tc>
          <w:tcPr>
            <w:tcW w:w="6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Mine Safety Disclosures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16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3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gridSpan w:val="14"/>
          </w:tcPr>
          <w:p>
            <w:pPr>
              <w:ind w:left="44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September 30, 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December 31, 2022</w:t>
            </w:r>
          </w:p>
        </w:tc>
        <w:tc>
          <w:tcPr>
            <w:tcW w:w="100" w:type="dxa"/>
            <w:vAlign w:val="bottom"/>
          </w:tcPr>
          <w:p>
            <w:pPr>
              <w:spacing w:after="0"/>
              <w:rPr>
                <w:sz w:val="16"/>
                <w:szCs w:val="16"/>
                <w:color w:val="auto"/>
              </w:rPr>
            </w:pPr>
          </w:p>
        </w:tc>
      </w:tr>
      <w:tr>
        <w:trPr>
          <w:trHeight w:val="223"/>
        </w:trPr>
        <w:tc>
          <w:tcPr>
            <w:tcW w:w="7480" w:type="dxa"/>
            <w:vAlign w:val="bottom"/>
            <w:gridSpan w:val="8"/>
          </w:tcPr>
          <w:p>
            <w:pPr>
              <w:ind w:left="20"/>
              <w:spacing w:after="0"/>
              <w:rPr>
                <w:sz w:val="20"/>
                <w:szCs w:val="20"/>
                <w:color w:val="auto"/>
              </w:rPr>
            </w:pPr>
            <w:r>
              <w:rPr>
                <w:rFonts w:ascii="Arial" w:cs="Arial" w:eastAsia="Arial" w:hAnsi="Arial"/>
                <w:sz w:val="16"/>
                <w:szCs w:val="16"/>
                <w:i w:val="1"/>
                <w:iCs w:val="1"/>
                <w:color w:val="auto"/>
              </w:rPr>
              <w:t>(U.S. dollars in thousands, except share and per share data)</w:t>
            </w:r>
          </w:p>
        </w:tc>
        <w:tc>
          <w:tcPr>
            <w:tcW w:w="180" w:type="dxa"/>
            <w:vAlign w:val="bottom"/>
          </w:tcPr>
          <w:p>
            <w:pPr>
              <w:spacing w:after="0"/>
              <w:rPr>
                <w:sz w:val="19"/>
                <w:szCs w:val="19"/>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480" w:type="dxa"/>
            <w:vAlign w:val="bottom"/>
            <w:gridSpan w:val="8"/>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480" w:type="dxa"/>
            <w:vAlign w:val="bottom"/>
            <w:gridSpan w:val="8"/>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80" w:type="dxa"/>
            <w:vAlign w:val="bottom"/>
            <w:gridSpan w:val="8"/>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125,332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138,545</w:t>
            </w:r>
          </w:p>
        </w:tc>
        <w:tc>
          <w:tcPr>
            <w:tcW w:w="100" w:type="dxa"/>
            <w:vAlign w:val="bottom"/>
            <w:shd w:val="clear" w:color="auto" w:fill="CFF0FC"/>
          </w:tcPr>
          <w:p>
            <w:pPr>
              <w:spacing w:after="0"/>
              <w:rPr>
                <w:sz w:val="21"/>
                <w:szCs w:val="21"/>
                <w:color w:val="auto"/>
              </w:rPr>
            </w:pPr>
          </w:p>
        </w:tc>
      </w:tr>
      <w:tr>
        <w:trPr>
          <w:trHeight w:val="237"/>
        </w:trPr>
        <w:tc>
          <w:tcPr>
            <w:tcW w:w="7480" w:type="dxa"/>
            <w:vAlign w:val="bottom"/>
            <w:gridSpan w:val="8"/>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7,972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20"/>
                <w:szCs w:val="20"/>
                <w:color w:val="auto"/>
              </w:rPr>
            </w:pPr>
          </w:p>
        </w:tc>
      </w:tr>
      <w:tr>
        <w:trPr>
          <w:trHeight w:val="243"/>
        </w:trPr>
        <w:tc>
          <w:tcPr>
            <w:tcW w:w="7480" w:type="dxa"/>
            <w:vAlign w:val="bottom"/>
            <w:tcBorders>
              <w:bottom w:val="single" w:sz="8" w:color="CFF0FC"/>
            </w:tcBorders>
            <w:gridSpan w:val="8"/>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9"/>
        </w:trPr>
        <w:tc>
          <w:tcPr>
            <w:tcW w:w="7480" w:type="dxa"/>
            <w:vAlign w:val="bottom"/>
            <w:gridSpan w:val="8"/>
          </w:tcPr>
          <w:p>
            <w:pPr>
              <w:ind w:left="20"/>
              <w:spacing w:after="0" w:line="189" w:lineRule="exact"/>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137,717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152,557</w:t>
            </w: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480" w:type="dxa"/>
            <w:vAlign w:val="bottom"/>
            <w:gridSpan w:val="8"/>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FF0FC"/>
          </w:tcPr>
          <w:p>
            <w:pPr>
              <w:spacing w:after="0"/>
              <w:rPr>
                <w:sz w:val="20"/>
                <w:szCs w:val="20"/>
                <w:color w:val="auto"/>
              </w:rPr>
            </w:pPr>
          </w:p>
        </w:tc>
      </w:tr>
      <w:tr>
        <w:trPr>
          <w:trHeight w:val="237"/>
        </w:trPr>
        <w:tc>
          <w:tcPr>
            <w:tcW w:w="7480" w:type="dxa"/>
            <w:vAlign w:val="bottom"/>
            <w:gridSpan w:val="8"/>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1,971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0"/>
                <w:szCs w:val="20"/>
                <w:color w:val="auto"/>
              </w:rPr>
            </w:pPr>
          </w:p>
        </w:tc>
      </w:tr>
      <w:tr>
        <w:trPr>
          <w:trHeight w:val="243"/>
        </w:trPr>
        <w:tc>
          <w:tcPr>
            <w:tcW w:w="7480" w:type="dxa"/>
            <w:vAlign w:val="bottom"/>
            <w:tcBorders>
              <w:bottom w:val="single" w:sz="8" w:color="CFF0FC"/>
            </w:tcBorders>
            <w:gridSpan w:val="8"/>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2"/>
        </w:trPr>
        <w:tc>
          <w:tcPr>
            <w:tcW w:w="7480" w:type="dxa"/>
            <w:vAlign w:val="bottom"/>
            <w:gridSpan w:val="8"/>
          </w:tcPr>
          <w:p>
            <w:pPr>
              <w:ind w:left="20"/>
              <w:spacing w:after="0" w:line="202" w:lineRule="exact"/>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140,348</w:t>
            </w:r>
          </w:p>
        </w:tc>
        <w:tc>
          <w:tcPr>
            <w:tcW w:w="2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156,254</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480" w:type="dxa"/>
            <w:vAlign w:val="bottom"/>
            <w:gridSpan w:val="8"/>
            <w:shd w:val="clear" w:color="auto" w:fill="CFF0FC"/>
          </w:tcPr>
          <w:p>
            <w:pPr>
              <w:ind w:left="20"/>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480" w:type="dxa"/>
            <w:vAlign w:val="bottom"/>
            <w:gridSpan w:val="8"/>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80" w:type="dxa"/>
            <w:vAlign w:val="bottom"/>
            <w:gridSpan w:val="8"/>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FF0FC"/>
          </w:tcPr>
          <w:p>
            <w:pPr>
              <w:spacing w:after="0"/>
              <w:rPr>
                <w:sz w:val="21"/>
                <w:szCs w:val="21"/>
                <w:color w:val="auto"/>
              </w:rPr>
            </w:pPr>
          </w:p>
        </w:tc>
      </w:tr>
      <w:tr>
        <w:trPr>
          <w:trHeight w:val="237"/>
        </w:trPr>
        <w:tc>
          <w:tcPr>
            <w:tcW w:w="7480" w:type="dxa"/>
            <w:vAlign w:val="bottom"/>
            <w:gridSpan w:val="8"/>
          </w:tcPr>
          <w:p>
            <w:pPr>
              <w:ind w:left="20"/>
              <w:spacing w:after="0"/>
              <w:rPr>
                <w:sz w:val="20"/>
                <w:szCs w:val="20"/>
                <w:color w:val="auto"/>
              </w:rPr>
            </w:pPr>
            <w:r>
              <w:rPr>
                <w:rFonts w:ascii="Arial" w:cs="Arial" w:eastAsia="Arial" w:hAnsi="Arial"/>
                <w:sz w:val="18"/>
                <w:szCs w:val="18"/>
                <w:color w:val="auto"/>
              </w:rPr>
              <w:t>Deferred revenues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4,355</w:t>
            </w:r>
          </w:p>
        </w:tc>
        <w:tc>
          <w:tcPr>
            <w:tcW w:w="100" w:type="dxa"/>
            <w:vAlign w:val="bottom"/>
          </w:tcPr>
          <w:p>
            <w:pPr>
              <w:spacing w:after="0"/>
              <w:rPr>
                <w:sz w:val="20"/>
                <w:szCs w:val="20"/>
                <w:color w:val="auto"/>
              </w:rPr>
            </w:pPr>
          </w:p>
        </w:tc>
      </w:tr>
      <w:tr>
        <w:trPr>
          <w:trHeight w:val="243"/>
        </w:trPr>
        <w:tc>
          <w:tcPr>
            <w:tcW w:w="7480" w:type="dxa"/>
            <w:vAlign w:val="bottom"/>
            <w:tcBorders>
              <w:bottom w:val="single" w:sz="8" w:color="CFF0FC"/>
            </w:tcBorders>
            <w:gridSpan w:val="8"/>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10,717</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9"/>
        </w:trPr>
        <w:tc>
          <w:tcPr>
            <w:tcW w:w="7480" w:type="dxa"/>
            <w:vAlign w:val="bottom"/>
            <w:gridSpan w:val="8"/>
          </w:tcPr>
          <w:p>
            <w:pPr>
              <w:ind w:left="20"/>
              <w:spacing w:after="0" w:line="189" w:lineRule="exact"/>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20,851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Arial" w:cs="Arial" w:eastAsia="Arial" w:hAnsi="Arial"/>
                <w:sz w:val="18"/>
                <w:szCs w:val="18"/>
                <w:color w:val="auto"/>
              </w:rPr>
              <w:t>27,318</w:t>
            </w: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480" w:type="dxa"/>
            <w:vAlign w:val="bottom"/>
            <w:gridSpan w:val="8"/>
            <w:shd w:val="clear" w:color="auto" w:fill="CFF0FC"/>
          </w:tcPr>
          <w:p>
            <w:pPr>
              <w:ind w:left="20"/>
              <w:spacing w:after="0"/>
              <w:rPr>
                <w:sz w:val="20"/>
                <w:szCs w:val="20"/>
                <w:color w:val="auto"/>
              </w:rPr>
            </w:pPr>
            <w:r>
              <w:rPr>
                <w:rFonts w:ascii="Arial" w:cs="Arial" w:eastAsia="Arial" w:hAnsi="Arial"/>
                <w:sz w:val="18"/>
                <w:szCs w:val="18"/>
                <w:color w:val="auto"/>
              </w:rPr>
              <w:t>Warrant liabilities</w:t>
            </w: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FF0FC"/>
          </w:tcPr>
          <w:p>
            <w:pPr>
              <w:spacing w:after="0"/>
              <w:rPr>
                <w:sz w:val="20"/>
                <w:szCs w:val="20"/>
                <w:color w:val="auto"/>
              </w:rPr>
            </w:pPr>
          </w:p>
        </w:tc>
      </w:tr>
      <w:tr>
        <w:trPr>
          <w:trHeight w:val="237"/>
        </w:trPr>
        <w:tc>
          <w:tcPr>
            <w:tcW w:w="7480" w:type="dxa"/>
            <w:vAlign w:val="bottom"/>
            <w:gridSpan w:val="8"/>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r>
      <w:tr>
        <w:trPr>
          <w:trHeight w:val="223"/>
        </w:trPr>
        <w:tc>
          <w:tcPr>
            <w:tcW w:w="20" w:type="dxa"/>
            <w:vAlign w:val="bottom"/>
            <w:shd w:val="clear" w:color="auto" w:fill="CFF0FC"/>
          </w:tcPr>
          <w:p>
            <w:pPr>
              <w:spacing w:after="0"/>
              <w:rPr>
                <w:sz w:val="19"/>
                <w:szCs w:val="19"/>
                <w:color w:val="auto"/>
              </w:rPr>
            </w:pPr>
          </w:p>
        </w:tc>
        <w:tc>
          <w:tcPr>
            <w:tcW w:w="746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auto"/>
              </w:rPr>
              <w:t>Total liabilities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22,627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28,718</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000000"/>
          </w:tcPr>
          <w:p>
            <w:pPr>
              <w:spacing w:after="0" w:line="20" w:lineRule="exact"/>
              <w:rPr>
                <w:sz w:val="1"/>
                <w:szCs w:val="1"/>
                <w:color w:val="auto"/>
              </w:rPr>
            </w:pPr>
          </w:p>
        </w:tc>
        <w:tc>
          <w:tcPr>
            <w:tcW w:w="154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gridSpan w:val="7"/>
          </w:tcPr>
          <w:p>
            <w:pPr>
              <w:spacing w:after="0"/>
              <w:rPr>
                <w:sz w:val="20"/>
                <w:szCs w:val="20"/>
                <w:color w:val="auto"/>
              </w:rPr>
            </w:pPr>
            <w:r>
              <w:rPr>
                <w:rFonts w:ascii="Arial" w:cs="Arial" w:eastAsia="Arial" w:hAnsi="Arial"/>
                <w:sz w:val="18"/>
                <w:szCs w:val="18"/>
                <w:color w:val="auto"/>
              </w:rPr>
              <w:t>Commitments and contingencies (Note 5)</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80" w:type="dxa"/>
            <w:vAlign w:val="bottom"/>
            <w:gridSpan w:val="8"/>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480" w:type="dxa"/>
            <w:vAlign w:val="bottom"/>
            <w:gridSpan w:val="8"/>
          </w:tcPr>
          <w:p>
            <w:pPr>
              <w:ind w:left="20"/>
              <w:spacing w:after="0"/>
              <w:rPr>
                <w:sz w:val="20"/>
                <w:szCs w:val="20"/>
                <w:color w:val="auto"/>
              </w:rPr>
            </w:pPr>
            <w:r>
              <w:rPr>
                <w:rFonts w:ascii="Arial" w:cs="Arial" w:eastAsia="Arial" w:hAnsi="Arial"/>
                <w:sz w:val="18"/>
                <w:szCs w:val="18"/>
                <w:color w:val="auto"/>
              </w:rPr>
              <w:t>Common stock of $0.0001 par value — Authorized: 1,000,000,000 shares at</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gridSpan w:val="8"/>
          </w:tcPr>
          <w:p>
            <w:pPr>
              <w:ind w:left="20"/>
              <w:spacing w:after="0"/>
              <w:rPr>
                <w:sz w:val="20"/>
                <w:szCs w:val="20"/>
                <w:color w:val="auto"/>
              </w:rPr>
            </w:pPr>
            <w:r>
              <w:rPr>
                <w:rFonts w:ascii="Arial" w:cs="Arial" w:eastAsia="Arial" w:hAnsi="Arial"/>
                <w:sz w:val="18"/>
                <w:szCs w:val="18"/>
                <w:color w:val="auto"/>
              </w:rPr>
              <w:t>September 30, 2023 and December 31, 2022; Issued and outstanding: 167,065,019 and</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80" w:type="dxa"/>
            <w:vAlign w:val="bottom"/>
            <w:gridSpan w:val="8"/>
          </w:tcPr>
          <w:p>
            <w:pPr>
              <w:ind w:left="20"/>
              <w:spacing w:after="0"/>
              <w:rPr>
                <w:sz w:val="20"/>
                <w:szCs w:val="20"/>
                <w:color w:val="auto"/>
              </w:rPr>
            </w:pPr>
            <w:r>
              <w:rPr>
                <w:rFonts w:ascii="Arial" w:cs="Arial" w:eastAsia="Arial" w:hAnsi="Arial"/>
                <w:sz w:val="18"/>
                <w:szCs w:val="18"/>
                <w:color w:val="auto"/>
              </w:rPr>
              <w:t>161,155,030 shares at September 30, 2023 and December 31, 2022, respectively</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r>
      <w:tr>
        <w:trPr>
          <w:trHeight w:val="250"/>
        </w:trPr>
        <w:tc>
          <w:tcPr>
            <w:tcW w:w="7480" w:type="dxa"/>
            <w:vAlign w:val="bottom"/>
            <w:gridSpan w:val="8"/>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386,783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378,722</w:t>
            </w:r>
          </w:p>
        </w:tc>
        <w:tc>
          <w:tcPr>
            <w:tcW w:w="100" w:type="dxa"/>
            <w:vAlign w:val="bottom"/>
            <w:shd w:val="clear" w:color="auto" w:fill="CFF0FC"/>
          </w:tcPr>
          <w:p>
            <w:pPr>
              <w:spacing w:after="0"/>
              <w:rPr>
                <w:sz w:val="21"/>
                <w:szCs w:val="21"/>
                <w:color w:val="auto"/>
              </w:rPr>
            </w:pPr>
          </w:p>
        </w:tc>
      </w:tr>
      <w:tr>
        <w:trPr>
          <w:trHeight w:val="237"/>
        </w:trPr>
        <w:tc>
          <w:tcPr>
            <w:tcW w:w="7480" w:type="dxa"/>
            <w:vAlign w:val="bottom"/>
            <w:gridSpan w:val="8"/>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0"/>
                <w:szCs w:val="20"/>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(269,078 )</w:t>
            </w:r>
          </w:p>
        </w:tc>
        <w:tc>
          <w:tcPr>
            <w:tcW w:w="20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(251,202 )</w:t>
            </w: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gridSpan w:val="5"/>
            <w:shd w:val="clear" w:color="auto" w:fill="CFF0FC"/>
          </w:tcPr>
          <w:p>
            <w:pPr>
              <w:spacing w:after="0" w:line="189" w:lineRule="exact"/>
              <w:rPr>
                <w:sz w:val="20"/>
                <w:szCs w:val="20"/>
                <w:color w:val="auto"/>
              </w:rPr>
            </w:pPr>
            <w:r>
              <w:rPr>
                <w:rFonts w:ascii="Arial" w:cs="Arial" w:eastAsia="Arial" w:hAnsi="Arial"/>
                <w:sz w:val="18"/>
                <w:szCs w:val="18"/>
                <w:color w:val="auto"/>
                <w:w w:val="91"/>
              </w:rPr>
              <w:t>Total stockholders’ equity</w:t>
            </w:r>
          </w:p>
        </w:tc>
        <w:tc>
          <w:tcPr>
            <w:tcW w:w="558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117,721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540" w:type="dxa"/>
            <w:vAlign w:val="bottom"/>
            <w:tcBorders>
              <w:top w:val="single" w:sz="8" w:color="auto"/>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127,536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48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140,348</w:t>
            </w:r>
          </w:p>
        </w:tc>
        <w:tc>
          <w:tcPr>
            <w:tcW w:w="2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156,254</w:t>
            </w: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-3642360</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-3007995</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-2047875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-1405255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685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8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8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4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i w:val="1"/>
                <w:iCs w:val="1"/>
                <w:color w:val="auto"/>
              </w:rPr>
              <w:t>(U.S. dollars in thousands, except share and per share data)</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3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38,646</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107,627</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89,326</w:t>
            </w:r>
          </w:p>
        </w:tc>
        <w:tc>
          <w:tcPr>
            <w:tcW w:w="100" w:type="dxa"/>
            <w:vAlign w:val="bottom"/>
            <w:shd w:val="clear" w:color="auto" w:fill="CFF0FC"/>
          </w:tcPr>
          <w:p>
            <w:pPr>
              <w:spacing w:after="0"/>
              <w:rPr>
                <w:sz w:val="20"/>
                <w:szCs w:val="20"/>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19,797</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54,218</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45,163</w:t>
            </w:r>
          </w:p>
        </w:tc>
        <w:tc>
          <w:tcPr>
            <w:tcW w:w="100" w:type="dxa"/>
            <w:vAlign w:val="bottom"/>
          </w:tcPr>
          <w:p>
            <w:pPr>
              <w:spacing w:after="0"/>
              <w:rPr>
                <w:sz w:val="20"/>
                <w:szCs w:val="20"/>
                <w:color w:val="auto"/>
              </w:rPr>
            </w:pPr>
          </w:p>
        </w:tc>
      </w:tr>
      <w:tr>
        <w:trPr>
          <w:trHeight w:val="237"/>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18,849</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14,595</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53,409</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net</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13,704</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16,869</w:t>
            </w:r>
          </w:p>
        </w:tc>
        <w:tc>
          <w:tcPr>
            <w:tcW w:w="100" w:type="dxa"/>
            <w:vAlign w:val="bottom"/>
            <w:shd w:val="clear" w:color="auto" w:fill="CFF0FC"/>
          </w:tcPr>
          <w:p>
            <w:pPr>
              <w:spacing w:after="0"/>
              <w:rPr>
                <w:sz w:val="21"/>
                <w:szCs w:val="2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Clinical operations, net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20"/>
                <w:szCs w:val="20"/>
                <w:color w:val="auto"/>
              </w:rPr>
            </w:pPr>
          </w:p>
        </w:tc>
      </w:tr>
      <w:tr>
        <w:trPr>
          <w:trHeight w:val="24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39,698</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60,098</w:t>
            </w:r>
          </w:p>
        </w:tc>
        <w:tc>
          <w:tcPr>
            <w:tcW w:w="100" w:type="dxa"/>
            <w:vAlign w:val="bottom"/>
            <w:shd w:val="clear" w:color="auto" w:fill="CFF0FC"/>
          </w:tcPr>
          <w:p>
            <w:pPr>
              <w:spacing w:after="0"/>
              <w:rPr>
                <w:sz w:val="21"/>
                <w:szCs w:val="2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15,952</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23,066</w:t>
            </w:r>
          </w:p>
        </w:tc>
        <w:tc>
          <w:tcPr>
            <w:tcW w:w="100" w:type="dxa"/>
            <w:vAlign w:val="bottom"/>
          </w:tcPr>
          <w:p>
            <w:pPr>
              <w:spacing w:after="0"/>
              <w:rPr>
                <w:sz w:val="20"/>
                <w:szCs w:val="20"/>
                <w:color w:val="auto"/>
              </w:rPr>
            </w:pPr>
          </w:p>
        </w:tc>
      </w:tr>
      <w:tr>
        <w:trPr>
          <w:trHeight w:val="237"/>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24,028</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34,446</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74,035</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8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(5,179 )</w:t>
            </w:r>
          </w:p>
        </w:tc>
        <w:tc>
          <w:tcPr>
            <w:tcW w:w="3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(19,851 )</w:t>
            </w:r>
          </w:p>
        </w:tc>
        <w:tc>
          <w:tcPr>
            <w:tcW w:w="2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(20,626 )</w:t>
            </w:r>
          </w:p>
        </w:tc>
        <w:tc>
          <w:tcPr>
            <w:tcW w:w="3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(62,127 )</w:t>
            </w:r>
          </w:p>
        </w:tc>
      </w:tr>
      <w:tr>
        <w:trPr>
          <w:trHeight w:val="24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(income), net</w:t>
            </w:r>
          </w:p>
        </w:tc>
        <w:tc>
          <w:tcPr>
            <w:tcW w:w="3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(779 )</w:t>
            </w: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(1,885 )</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(2,915 )</w:t>
            </w:r>
          </w:p>
        </w:tc>
        <w:tc>
          <w:tcPr>
            <w:tcW w:w="3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(889 )</w:t>
            </w:r>
          </w:p>
        </w:tc>
      </w:tr>
      <w:tr>
        <w:trPr>
          <w:trHeight w:val="20"/>
        </w:trPr>
        <w:tc>
          <w:tcPr>
            <w:tcW w:w="48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Loss before taxes on income</w:t>
            </w:r>
          </w:p>
        </w:tc>
        <w:tc>
          <w:tcPr>
            <w:tcW w:w="3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(4,400 )</w:t>
            </w:r>
          </w:p>
        </w:tc>
        <w:tc>
          <w:tcPr>
            <w:tcW w:w="3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(17,966 )</w:t>
            </w:r>
          </w:p>
        </w:tc>
        <w:tc>
          <w:tcPr>
            <w:tcW w:w="2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(17,711 )</w:t>
            </w:r>
          </w:p>
        </w:tc>
        <w:tc>
          <w:tcPr>
            <w:tcW w:w="3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(61,238 )</w:t>
            </w:r>
          </w:p>
        </w:tc>
      </w:tr>
      <w:tr>
        <w:trPr>
          <w:trHeight w:val="243"/>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Taxes on income</w:t>
            </w: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(4,414 )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(17,983 )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(17,876 )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(61,365 )</w:t>
            </w:r>
          </w:p>
        </w:tc>
      </w:tr>
      <w:tr>
        <w:trPr>
          <w:trHeight w:val="20"/>
        </w:trPr>
        <w:tc>
          <w:tcPr>
            <w:tcW w:w="4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(0.03 )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(0.11 )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(0.11 )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(0.39 )</w:t>
            </w:r>
          </w:p>
        </w:tc>
      </w:tr>
      <w:tr>
        <w:trPr>
          <w:trHeight w:val="221"/>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Weighted average number of common shares used in computing</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Basic and Diluted</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166,570,673</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158,330,684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164,215,802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156,056,900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-2511425</wp:posOffset>
            </wp:positionV>
            <wp:extent cx="7747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-2511425</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-2511425</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-2511425</wp:posOffset>
            </wp:positionV>
            <wp:extent cx="6858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-1568450</wp:posOffset>
            </wp:positionV>
            <wp:extent cx="7747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-1568450</wp:posOffset>
            </wp:positionV>
            <wp:extent cx="6858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-1568450</wp:posOffset>
            </wp:positionV>
            <wp:extent cx="6858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-1568450</wp:posOffset>
            </wp:positionV>
            <wp:extent cx="6858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-1251585</wp:posOffset>
            </wp:positionV>
            <wp:extent cx="7747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-1251585</wp:posOffset>
            </wp:positionV>
            <wp:extent cx="685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-1251585</wp:posOffset>
            </wp:positionV>
            <wp:extent cx="685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-1251585</wp:posOffset>
            </wp:positionV>
            <wp:extent cx="685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-934085</wp:posOffset>
            </wp:positionV>
            <wp:extent cx="7747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-934085</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-934085</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TALKSPACE,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40" w:type="dxa"/>
            <w:vAlign w:val="bottom"/>
            <w:gridSpan w:val="3"/>
          </w:tcPr>
          <w:p>
            <w:pPr>
              <w:ind w:left="20"/>
              <w:spacing w:after="0"/>
              <w:rPr>
                <w:sz w:val="20"/>
                <w:szCs w:val="20"/>
                <w:color w:val="auto"/>
              </w:rPr>
            </w:pPr>
            <w:r>
              <w:rPr>
                <w:rFonts w:ascii="Arial" w:cs="Arial" w:eastAsia="Arial" w:hAnsi="Arial"/>
                <w:sz w:val="14"/>
                <w:szCs w:val="14"/>
                <w:i w:val="1"/>
                <w:iCs w:val="1"/>
                <w:color w:val="auto"/>
              </w:rPr>
              <w:t>(U.S. dollars in thousands, except share data)</w:t>
            </w:r>
          </w:p>
        </w:tc>
        <w:tc>
          <w:tcPr>
            <w:tcW w:w="240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2"/>
        </w:trPr>
        <w:tc>
          <w:tcPr>
            <w:tcW w:w="4340" w:type="dxa"/>
            <w:vAlign w:val="bottom"/>
            <w:gridSpan w:val="3"/>
          </w:tcPr>
          <w:p>
            <w:pPr>
              <w:ind w:left="20"/>
              <w:spacing w:after="0" w:line="115" w:lineRule="exact"/>
              <w:rPr>
                <w:sz w:val="20"/>
                <w:szCs w:val="20"/>
                <w:color w:val="auto"/>
              </w:rPr>
            </w:pPr>
            <w:r>
              <w:rPr>
                <w:rFonts w:ascii="Arial" w:cs="Arial" w:eastAsia="Arial" w:hAnsi="Arial"/>
                <w:sz w:val="13"/>
                <w:szCs w:val="13"/>
                <w:b w:val="1"/>
                <w:bCs w:val="1"/>
                <w:color w:val="auto"/>
              </w:rPr>
              <w:t>Three and Nine Months Ended September 30, 2023</w:t>
            </w:r>
          </w:p>
        </w:tc>
        <w:tc>
          <w:tcPr>
            <w:tcW w:w="12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8"/>
              </w:rPr>
              <w:t>Number of Shares</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40"/>
              <w:spacing w:after="0" w:line="115" w:lineRule="exact"/>
              <w:rPr>
                <w:sz w:val="20"/>
                <w:szCs w:val="20"/>
                <w:color w:val="auto"/>
              </w:rPr>
            </w:pPr>
            <w:r>
              <w:rPr>
                <w:rFonts w:ascii="Arial" w:cs="Arial" w:eastAsia="Arial" w:hAnsi="Arial"/>
                <w:sz w:val="11"/>
                <w:szCs w:val="11"/>
                <w:b w:val="1"/>
                <w:bCs w:val="1"/>
                <w:color w:val="auto"/>
                <w:w w:val="92"/>
              </w:rPr>
              <w:t>Additional paid-in</w:t>
            </w:r>
          </w:p>
        </w:tc>
        <w:tc>
          <w:tcPr>
            <w:tcW w:w="200" w:type="dxa"/>
            <w:vAlign w:val="bottom"/>
          </w:tcPr>
          <w:p>
            <w:pPr>
              <w:spacing w:after="0"/>
              <w:rPr>
                <w:sz w:val="10"/>
                <w:szCs w:val="10"/>
                <w:color w:val="auto"/>
              </w:rPr>
            </w:pPr>
          </w:p>
        </w:tc>
        <w:tc>
          <w:tcPr>
            <w:tcW w:w="1260" w:type="dxa"/>
            <w:vAlign w:val="bottom"/>
            <w:gridSpan w:val="2"/>
          </w:tcPr>
          <w:p>
            <w:pPr>
              <w:jc w:val="center"/>
              <w:ind w:right="440"/>
              <w:spacing w:after="0" w:line="115" w:lineRule="exact"/>
              <w:rPr>
                <w:sz w:val="20"/>
                <w:szCs w:val="20"/>
                <w:color w:val="auto"/>
              </w:rPr>
            </w:pPr>
            <w:r>
              <w:rPr>
                <w:rFonts w:ascii="Arial" w:cs="Arial" w:eastAsia="Arial" w:hAnsi="Arial"/>
                <w:sz w:val="11"/>
                <w:szCs w:val="11"/>
                <w:b w:val="1"/>
                <w:bCs w:val="1"/>
                <w:color w:val="auto"/>
                <w:w w:val="89"/>
              </w:rPr>
              <w:t>Accumulated</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7"/>
        </w:trPr>
        <w:tc>
          <w:tcPr>
            <w:tcW w:w="20" w:type="dxa"/>
            <w:vAlign w:val="bottom"/>
          </w:tcPr>
          <w:p>
            <w:pPr>
              <w:spacing w:after="0"/>
              <w:rPr>
                <w:sz w:val="10"/>
                <w:szCs w:val="10"/>
                <w:color w:val="auto"/>
              </w:rPr>
            </w:pPr>
          </w:p>
        </w:tc>
        <w:tc>
          <w:tcPr>
            <w:tcW w:w="2740" w:type="dxa"/>
            <w:vAlign w:val="bottom"/>
            <w:tcBorders>
              <w:top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28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b w:val="1"/>
                <w:bCs w:val="1"/>
                <w:color w:val="auto"/>
                <w:w w:val="89"/>
              </w:rPr>
              <w:t>Outstanding</w:t>
            </w:r>
          </w:p>
        </w:tc>
        <w:tc>
          <w:tcPr>
            <w:tcW w:w="240" w:type="dxa"/>
            <w:vAlign w:val="bottom"/>
          </w:tcPr>
          <w:p>
            <w:pPr>
              <w:spacing w:after="0"/>
              <w:rPr>
                <w:sz w:val="10"/>
                <w:szCs w:val="10"/>
                <w:color w:val="auto"/>
              </w:rPr>
            </w:pPr>
          </w:p>
        </w:tc>
        <w:tc>
          <w:tcPr>
            <w:tcW w:w="880" w:type="dxa"/>
            <w:vAlign w:val="bottom"/>
            <w:tcBorders>
              <w:bottom w:val="single" w:sz="8" w:color="auto"/>
            </w:tcBorders>
          </w:tcPr>
          <w:p>
            <w:pPr>
              <w:jc w:val="right"/>
              <w:ind w:right="26"/>
              <w:spacing w:after="0" w:line="113" w:lineRule="exact"/>
              <w:rPr>
                <w:sz w:val="20"/>
                <w:szCs w:val="20"/>
                <w:color w:val="auto"/>
              </w:rPr>
            </w:pPr>
            <w:r>
              <w:rPr>
                <w:rFonts w:ascii="Arial" w:cs="Arial" w:eastAsia="Arial" w:hAnsi="Arial"/>
                <w:sz w:val="11"/>
                <w:szCs w:val="11"/>
                <w:b w:val="1"/>
                <w:bCs w:val="1"/>
                <w:color w:val="auto"/>
              </w:rPr>
              <w:t>Amount</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42"/>
              <w:spacing w:after="0" w:line="113" w:lineRule="exact"/>
              <w:rPr>
                <w:sz w:val="20"/>
                <w:szCs w:val="20"/>
                <w:color w:val="auto"/>
              </w:rPr>
            </w:pPr>
            <w:r>
              <w:rPr>
                <w:rFonts w:ascii="Arial" w:cs="Arial" w:eastAsia="Arial" w:hAnsi="Arial"/>
                <w:sz w:val="11"/>
                <w:szCs w:val="11"/>
                <w:b w:val="1"/>
                <w:bCs w:val="1"/>
                <w:color w:val="auto"/>
                <w:w w:val="85"/>
              </w:rPr>
              <w:t>capital</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22"/>
              <w:spacing w:after="0" w:line="113" w:lineRule="exact"/>
              <w:rPr>
                <w:sz w:val="20"/>
                <w:szCs w:val="20"/>
                <w:color w:val="auto"/>
              </w:rPr>
            </w:pPr>
            <w:r>
              <w:rPr>
                <w:rFonts w:ascii="Arial" w:cs="Arial" w:eastAsia="Arial" w:hAnsi="Arial"/>
                <w:sz w:val="11"/>
                <w:szCs w:val="11"/>
                <w:b w:val="1"/>
                <w:bCs w:val="1"/>
                <w:color w:val="auto"/>
                <w:w w:val="86"/>
              </w:rPr>
              <w:t>deficit</w:t>
            </w:r>
          </w:p>
        </w:tc>
        <w:tc>
          <w:tcPr>
            <w:tcW w:w="2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41"/>
              <w:spacing w:after="0" w:line="113"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0"/>
                <w:szCs w:val="10"/>
                <w:color w:val="auto"/>
              </w:rPr>
            </w:pPr>
          </w:p>
        </w:tc>
      </w:tr>
      <w:tr>
        <w:trPr>
          <w:trHeight w:val="227"/>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Balance as of December 31, 2022</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161,155,030</w:t>
            </w:r>
          </w:p>
        </w:tc>
        <w:tc>
          <w:tcPr>
            <w:tcW w:w="1120" w:type="dxa"/>
            <w:vAlign w:val="bottom"/>
            <w:gridSpan w:val="2"/>
            <w:shd w:val="clear" w:color="auto" w:fill="CFF0FC"/>
          </w:tcPr>
          <w:p>
            <w:pPr>
              <w:jc w:val="right"/>
              <w:ind w:right="706"/>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378,722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(251,202 )</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127,536</w:t>
            </w:r>
          </w:p>
        </w:tc>
        <w:tc>
          <w:tcPr>
            <w:tcW w:w="100" w:type="dxa"/>
            <w:vAlign w:val="bottom"/>
            <w:shd w:val="clear" w:color="auto" w:fill="CFF0FC"/>
          </w:tcPr>
          <w:p>
            <w:pPr>
              <w:spacing w:after="0"/>
              <w:rPr>
                <w:sz w:val="19"/>
                <w:szCs w:val="19"/>
                <w:color w:val="auto"/>
              </w:rPr>
            </w:pPr>
          </w:p>
        </w:tc>
      </w:tr>
      <w:tr>
        <w:trPr>
          <w:trHeight w:val="220"/>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1,739,265</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9"/>
                <w:szCs w:val="19"/>
                <w:color w:val="auto"/>
              </w:rPr>
            </w:pPr>
          </w:p>
        </w:tc>
      </w:tr>
      <w:tr>
        <w:trPr>
          <w:trHeight w:val="239"/>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225,050</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(65 )</w:t>
            </w:r>
          </w:p>
        </w:tc>
      </w:tr>
      <w:tr>
        <w:trPr>
          <w:trHeight w:val="220"/>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9"/>
                <w:szCs w:val="19"/>
                <w:color w:val="auto"/>
              </w:rPr>
            </w:pPr>
          </w:p>
        </w:tc>
      </w:tr>
      <w:tr>
        <w:trPr>
          <w:trHeight w:val="230"/>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(8,758 )</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(8,758 )</w:t>
            </w:r>
          </w:p>
        </w:tc>
      </w:tr>
      <w:tr>
        <w:trPr>
          <w:trHeight w:val="23"/>
        </w:trPr>
        <w:tc>
          <w:tcPr>
            <w:tcW w:w="20" w:type="dxa"/>
            <w:vAlign w:val="bottom"/>
            <w:shd w:val="clear" w:color="auto" w:fill="CFF0FC"/>
          </w:tcPr>
          <w:p>
            <w:pPr>
              <w:spacing w:after="0"/>
              <w:rPr>
                <w:sz w:val="2"/>
                <w:szCs w:val="2"/>
                <w:color w:val="auto"/>
              </w:rPr>
            </w:pPr>
          </w:p>
        </w:tc>
        <w:tc>
          <w:tcPr>
            <w:tcW w:w="2740" w:type="dxa"/>
            <w:vAlign w:val="bottom"/>
            <w:shd w:val="clear" w:color="auto" w:fill="CFF0FC"/>
          </w:tcPr>
          <w:p>
            <w:pPr>
              <w:spacing w:after="0"/>
              <w:rPr>
                <w:sz w:val="2"/>
                <w:szCs w:val="2"/>
                <w:color w:val="auto"/>
              </w:rPr>
            </w:pPr>
          </w:p>
        </w:tc>
        <w:tc>
          <w:tcPr>
            <w:tcW w:w="1580" w:type="dxa"/>
            <w:vAlign w:val="bottom"/>
            <w:shd w:val="clear" w:color="auto" w:fill="CFF0F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Balance as of March 31, 2023 (unaudited)</w:t>
            </w:r>
          </w:p>
        </w:tc>
        <w:tc>
          <w:tcPr>
            <w:tcW w:w="1280" w:type="dxa"/>
            <w:vAlign w:val="bottom"/>
          </w:tcPr>
          <w:p>
            <w:pPr>
              <w:jc w:val="right"/>
              <w:spacing w:after="0"/>
              <w:rPr>
                <w:sz w:val="20"/>
                <w:szCs w:val="20"/>
                <w:color w:val="auto"/>
              </w:rPr>
            </w:pPr>
            <w:r>
              <w:rPr>
                <w:rFonts w:ascii="Arial" w:cs="Arial" w:eastAsia="Arial" w:hAnsi="Arial"/>
                <w:sz w:val="16"/>
                <w:szCs w:val="16"/>
                <w:color w:val="auto"/>
              </w:rPr>
              <w:t>163,119,345</w:t>
            </w:r>
          </w:p>
        </w:tc>
        <w:tc>
          <w:tcPr>
            <w:tcW w:w="240" w:type="dxa"/>
            <w:vAlign w:val="bottom"/>
          </w:tcPr>
          <w:p>
            <w:pPr>
              <w:spacing w:after="0"/>
              <w:rPr>
                <w:sz w:val="19"/>
                <w:szCs w:val="19"/>
                <w:color w:val="auto"/>
              </w:rPr>
            </w:pPr>
          </w:p>
        </w:tc>
        <w:tc>
          <w:tcPr>
            <w:tcW w:w="880" w:type="dxa"/>
            <w:vAlign w:val="bottom"/>
          </w:tcPr>
          <w:p>
            <w:pPr>
              <w:jc w:val="right"/>
              <w:ind w:right="706"/>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381,581</w:t>
            </w:r>
          </w:p>
        </w:tc>
        <w:tc>
          <w:tcPr>
            <w:tcW w:w="2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(259,960 )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121,637</w:t>
            </w:r>
          </w:p>
        </w:tc>
        <w:tc>
          <w:tcPr>
            <w:tcW w:w="100" w:type="dxa"/>
            <w:vAlign w:val="bottom"/>
          </w:tcPr>
          <w:p>
            <w:pPr>
              <w:spacing w:after="0"/>
              <w:rPr>
                <w:sz w:val="19"/>
                <w:szCs w:val="19"/>
                <w:color w:val="auto"/>
              </w:rPr>
            </w:pPr>
          </w:p>
        </w:tc>
      </w:tr>
      <w:tr>
        <w:trPr>
          <w:trHeight w:val="230"/>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1,837,734</w:t>
            </w:r>
          </w:p>
        </w:tc>
        <w:tc>
          <w:tcPr>
            <w:tcW w:w="24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869</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FF0FC"/>
          </w:tcPr>
          <w:p>
            <w:pPr>
              <w:spacing w:after="0"/>
              <w:rPr>
                <w:sz w:val="19"/>
                <w:szCs w:val="19"/>
                <w:color w:val="auto"/>
              </w:rPr>
            </w:pPr>
          </w:p>
        </w:tc>
      </w:tr>
      <w:tr>
        <w:trPr>
          <w:trHeight w:val="220"/>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Restricted stock units vested, net of tax</w:t>
            </w:r>
          </w:p>
        </w:tc>
        <w:tc>
          <w:tcPr>
            <w:tcW w:w="1280" w:type="dxa"/>
            <w:vAlign w:val="bottom"/>
          </w:tcPr>
          <w:p>
            <w:pPr>
              <w:jc w:val="right"/>
              <w:spacing w:after="0"/>
              <w:rPr>
                <w:sz w:val="20"/>
                <w:szCs w:val="20"/>
                <w:color w:val="auto"/>
              </w:rPr>
            </w:pPr>
            <w:r>
              <w:rPr>
                <w:rFonts w:ascii="Arial" w:cs="Arial" w:eastAsia="Arial" w:hAnsi="Arial"/>
                <w:sz w:val="16"/>
                <w:szCs w:val="16"/>
                <w:color w:val="auto"/>
              </w:rPr>
              <w:t>1,247,216</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(136 )</w:t>
            </w: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(136 )</w:t>
            </w:r>
          </w:p>
        </w:tc>
      </w:tr>
      <w:tr>
        <w:trPr>
          <w:trHeight w:val="239"/>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2,129</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FF0FC"/>
          </w:tcPr>
          <w:p>
            <w:pPr>
              <w:spacing w:after="0"/>
              <w:rPr>
                <w:sz w:val="20"/>
                <w:szCs w:val="20"/>
                <w:color w:val="auto"/>
              </w:rPr>
            </w:pPr>
          </w:p>
        </w:tc>
      </w:tr>
      <w:tr>
        <w:trPr>
          <w:trHeight w:val="220"/>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(4,704 )</w:t>
            </w: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(4,704 )</w:t>
            </w:r>
          </w:p>
        </w:tc>
      </w:tr>
      <w:tr>
        <w:trPr>
          <w:trHeight w:val="23"/>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Balance as of June 30, 2023 (unaudited)</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166,204,295</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06"/>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384,443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(264,664 )</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119,795</w:t>
            </w:r>
          </w:p>
        </w:tc>
        <w:tc>
          <w:tcPr>
            <w:tcW w:w="100" w:type="dxa"/>
            <w:vAlign w:val="bottom"/>
            <w:shd w:val="clear" w:color="auto" w:fill="CFF0FC"/>
          </w:tcPr>
          <w:p>
            <w:pPr>
              <w:spacing w:after="0"/>
              <w:rPr>
                <w:sz w:val="19"/>
                <w:szCs w:val="19"/>
                <w:color w:val="auto"/>
              </w:rPr>
            </w:pPr>
          </w:p>
        </w:tc>
      </w:tr>
      <w:tr>
        <w:trPr>
          <w:trHeight w:val="220"/>
        </w:trPr>
        <w:tc>
          <w:tcPr>
            <w:tcW w:w="4340" w:type="dxa"/>
            <w:vAlign w:val="bottom"/>
            <w:tcBorders>
              <w:top w:val="single" w:sz="8" w:color="CFF0FC"/>
            </w:tcBorders>
            <w:gridSpan w:val="3"/>
          </w:tcPr>
          <w:p>
            <w:pPr>
              <w:ind w:left="20"/>
              <w:spacing w:after="0"/>
              <w:rPr>
                <w:sz w:val="20"/>
                <w:szCs w:val="20"/>
                <w:color w:val="auto"/>
              </w:rPr>
            </w:pPr>
            <w:r>
              <w:rPr>
                <w:rFonts w:ascii="Arial" w:cs="Arial" w:eastAsia="Arial" w:hAnsi="Arial"/>
                <w:sz w:val="16"/>
                <w:szCs w:val="16"/>
                <w:color w:val="auto"/>
              </w:rPr>
              <w:t>Exercise of stock options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480,929</w:t>
            </w:r>
          </w:p>
        </w:tc>
        <w:tc>
          <w:tcPr>
            <w:tcW w:w="240" w:type="dxa"/>
            <w:vAlign w:val="bottom"/>
            <w:tcBorders>
              <w:top w:val="single" w:sz="8" w:color="CFF0FC"/>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Borders>
              <w:top w:val="single" w:sz="8" w:color="CFF0FC"/>
            </w:tcBorders>
          </w:tcPr>
          <w:p>
            <w:pPr>
              <w:spacing w:after="0"/>
              <w:rPr>
                <w:sz w:val="19"/>
                <w:szCs w:val="19"/>
                <w:color w:val="auto"/>
              </w:rPr>
            </w:pPr>
          </w:p>
        </w:tc>
      </w:tr>
      <w:tr>
        <w:trPr>
          <w:trHeight w:val="239"/>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379,795</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(198 )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(198 )</w:t>
            </w:r>
          </w:p>
        </w:tc>
      </w:tr>
      <w:tr>
        <w:trPr>
          <w:trHeight w:val="220"/>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9"/>
                <w:szCs w:val="19"/>
                <w:color w:val="auto"/>
              </w:rPr>
            </w:pPr>
          </w:p>
        </w:tc>
      </w:tr>
      <w:tr>
        <w:trPr>
          <w:trHeight w:val="229"/>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(4,414 )</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(4,414 )</w:t>
            </w:r>
          </w:p>
        </w:tc>
      </w:tr>
      <w:tr>
        <w:trPr>
          <w:trHeight w:val="23"/>
        </w:trPr>
        <w:tc>
          <w:tcPr>
            <w:tcW w:w="20" w:type="dxa"/>
            <w:vAlign w:val="bottom"/>
            <w:shd w:val="clear" w:color="auto" w:fill="CFF0FC"/>
          </w:tcPr>
          <w:p>
            <w:pPr>
              <w:spacing w:after="0"/>
              <w:rPr>
                <w:sz w:val="2"/>
                <w:szCs w:val="2"/>
                <w:color w:val="auto"/>
              </w:rPr>
            </w:pPr>
          </w:p>
        </w:tc>
        <w:tc>
          <w:tcPr>
            <w:tcW w:w="2740" w:type="dxa"/>
            <w:vAlign w:val="bottom"/>
            <w:shd w:val="clear" w:color="auto" w:fill="CFF0FC"/>
          </w:tcPr>
          <w:p>
            <w:pPr>
              <w:spacing w:after="0"/>
              <w:rPr>
                <w:sz w:val="2"/>
                <w:szCs w:val="2"/>
                <w:color w:val="auto"/>
              </w:rPr>
            </w:pPr>
          </w:p>
        </w:tc>
        <w:tc>
          <w:tcPr>
            <w:tcW w:w="1580" w:type="dxa"/>
            <w:vAlign w:val="bottom"/>
            <w:shd w:val="clear" w:color="auto" w:fill="CFF0F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Balance as of September 30, 2023 (unaudited)</w:t>
            </w:r>
          </w:p>
        </w:tc>
        <w:tc>
          <w:tcPr>
            <w:tcW w:w="1280" w:type="dxa"/>
            <w:vAlign w:val="bottom"/>
          </w:tcPr>
          <w:p>
            <w:pPr>
              <w:jc w:val="right"/>
              <w:spacing w:after="0"/>
              <w:rPr>
                <w:sz w:val="20"/>
                <w:szCs w:val="20"/>
                <w:color w:val="auto"/>
              </w:rPr>
            </w:pPr>
            <w:r>
              <w:rPr>
                <w:rFonts w:ascii="Arial" w:cs="Arial" w:eastAsia="Arial" w:hAnsi="Arial"/>
                <w:sz w:val="16"/>
                <w:szCs w:val="16"/>
                <w:color w:val="auto"/>
              </w:rPr>
              <w:t>167,065,019</w:t>
            </w:r>
          </w:p>
        </w:tc>
        <w:tc>
          <w:tcPr>
            <w:tcW w:w="240" w:type="dxa"/>
            <w:vAlign w:val="bottom"/>
          </w:tcPr>
          <w:p>
            <w:pPr>
              <w:spacing w:after="0"/>
              <w:rPr>
                <w:sz w:val="19"/>
                <w:szCs w:val="19"/>
                <w:color w:val="auto"/>
              </w:rPr>
            </w:pPr>
          </w:p>
        </w:tc>
        <w:tc>
          <w:tcPr>
            <w:tcW w:w="880" w:type="dxa"/>
            <w:vAlign w:val="bottom"/>
          </w:tcPr>
          <w:p>
            <w:pPr>
              <w:jc w:val="right"/>
              <w:ind w:right="706"/>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386,783</w:t>
            </w:r>
          </w:p>
        </w:tc>
        <w:tc>
          <w:tcPr>
            <w:tcW w:w="2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(269,078 )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117,721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43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Three and Nine Months Ended September 30, 2022</w:t>
            </w: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Number of Shares</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2"/>
              </w:rPr>
              <w:t>Additional paid-in</w:t>
            </w:r>
          </w:p>
        </w:tc>
        <w:tc>
          <w:tcPr>
            <w:tcW w:w="200" w:type="dxa"/>
            <w:vAlign w:val="bottom"/>
          </w:tcPr>
          <w:p>
            <w:pPr>
              <w:spacing w:after="0"/>
              <w:rPr>
                <w:sz w:val="11"/>
                <w:szCs w:val="11"/>
                <w:color w:val="auto"/>
              </w:rPr>
            </w:pPr>
          </w:p>
        </w:tc>
        <w:tc>
          <w:tcPr>
            <w:tcW w:w="1260" w:type="dxa"/>
            <w:vAlign w:val="bottom"/>
            <w:gridSpan w:val="2"/>
          </w:tcPr>
          <w:p>
            <w:pPr>
              <w:jc w:val="center"/>
              <w:ind w:right="44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7"/>
        </w:trPr>
        <w:tc>
          <w:tcPr>
            <w:tcW w:w="20" w:type="dxa"/>
            <w:vAlign w:val="bottom"/>
          </w:tcPr>
          <w:p>
            <w:pPr>
              <w:spacing w:after="0"/>
              <w:rPr>
                <w:sz w:val="10"/>
                <w:szCs w:val="10"/>
                <w:color w:val="auto"/>
              </w:rPr>
            </w:pPr>
          </w:p>
        </w:tc>
        <w:tc>
          <w:tcPr>
            <w:tcW w:w="2740" w:type="dxa"/>
            <w:vAlign w:val="bottom"/>
            <w:tcBorders>
              <w:top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28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b w:val="1"/>
                <w:bCs w:val="1"/>
                <w:color w:val="auto"/>
                <w:w w:val="89"/>
              </w:rPr>
              <w:t>Outstanding</w:t>
            </w:r>
          </w:p>
        </w:tc>
        <w:tc>
          <w:tcPr>
            <w:tcW w:w="240" w:type="dxa"/>
            <w:vAlign w:val="bottom"/>
          </w:tcPr>
          <w:p>
            <w:pPr>
              <w:spacing w:after="0"/>
              <w:rPr>
                <w:sz w:val="10"/>
                <w:szCs w:val="10"/>
                <w:color w:val="auto"/>
              </w:rPr>
            </w:pPr>
          </w:p>
        </w:tc>
        <w:tc>
          <w:tcPr>
            <w:tcW w:w="880" w:type="dxa"/>
            <w:vAlign w:val="bottom"/>
            <w:tcBorders>
              <w:bottom w:val="single" w:sz="8" w:color="auto"/>
            </w:tcBorders>
          </w:tcPr>
          <w:p>
            <w:pPr>
              <w:jc w:val="right"/>
              <w:ind w:right="26"/>
              <w:spacing w:after="0" w:line="113" w:lineRule="exact"/>
              <w:rPr>
                <w:sz w:val="20"/>
                <w:szCs w:val="20"/>
                <w:color w:val="auto"/>
              </w:rPr>
            </w:pPr>
            <w:r>
              <w:rPr>
                <w:rFonts w:ascii="Arial" w:cs="Arial" w:eastAsia="Arial" w:hAnsi="Arial"/>
                <w:sz w:val="11"/>
                <w:szCs w:val="11"/>
                <w:b w:val="1"/>
                <w:bCs w:val="1"/>
                <w:color w:val="auto"/>
              </w:rPr>
              <w:t>Amount</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42"/>
              <w:spacing w:after="0" w:line="113" w:lineRule="exact"/>
              <w:rPr>
                <w:sz w:val="20"/>
                <w:szCs w:val="20"/>
                <w:color w:val="auto"/>
              </w:rPr>
            </w:pPr>
            <w:r>
              <w:rPr>
                <w:rFonts w:ascii="Arial" w:cs="Arial" w:eastAsia="Arial" w:hAnsi="Arial"/>
                <w:sz w:val="11"/>
                <w:szCs w:val="11"/>
                <w:b w:val="1"/>
                <w:bCs w:val="1"/>
                <w:color w:val="auto"/>
                <w:w w:val="85"/>
              </w:rPr>
              <w:t>capital</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22"/>
              <w:spacing w:after="0" w:line="113" w:lineRule="exact"/>
              <w:rPr>
                <w:sz w:val="20"/>
                <w:szCs w:val="20"/>
                <w:color w:val="auto"/>
              </w:rPr>
            </w:pPr>
            <w:r>
              <w:rPr>
                <w:rFonts w:ascii="Arial" w:cs="Arial" w:eastAsia="Arial" w:hAnsi="Arial"/>
                <w:sz w:val="11"/>
                <w:szCs w:val="11"/>
                <w:b w:val="1"/>
                <w:bCs w:val="1"/>
                <w:color w:val="auto"/>
                <w:w w:val="86"/>
              </w:rPr>
              <w:t>deficit</w:t>
            </w:r>
          </w:p>
        </w:tc>
        <w:tc>
          <w:tcPr>
            <w:tcW w:w="2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41"/>
              <w:spacing w:after="0" w:line="113"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0"/>
                <w:szCs w:val="10"/>
                <w:color w:val="auto"/>
              </w:rPr>
            </w:pPr>
          </w:p>
        </w:tc>
      </w:tr>
      <w:tr>
        <w:trPr>
          <w:trHeight w:val="227"/>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Balance as of December 31, 2021</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152,862,447</w:t>
            </w:r>
          </w:p>
        </w:tc>
        <w:tc>
          <w:tcPr>
            <w:tcW w:w="1120" w:type="dxa"/>
            <w:vAlign w:val="bottom"/>
            <w:gridSpan w:val="2"/>
            <w:shd w:val="clear" w:color="auto" w:fill="CFF0FC"/>
          </w:tcPr>
          <w:p>
            <w:pPr>
              <w:jc w:val="right"/>
              <w:ind w:right="706"/>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363,788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(171,530 )</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192,273</w:t>
            </w:r>
          </w:p>
        </w:tc>
        <w:tc>
          <w:tcPr>
            <w:tcW w:w="100" w:type="dxa"/>
            <w:vAlign w:val="bottom"/>
            <w:shd w:val="clear" w:color="auto" w:fill="CFF0FC"/>
          </w:tcPr>
          <w:p>
            <w:pPr>
              <w:spacing w:after="0"/>
              <w:rPr>
                <w:sz w:val="19"/>
                <w:szCs w:val="19"/>
                <w:color w:val="auto"/>
              </w:rPr>
            </w:pPr>
          </w:p>
        </w:tc>
      </w:tr>
      <w:tr>
        <w:trPr>
          <w:trHeight w:val="220"/>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2,164,870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2,063</w:t>
            </w:r>
          </w:p>
        </w:tc>
        <w:tc>
          <w:tcPr>
            <w:tcW w:w="100" w:type="dxa"/>
            <w:vAlign w:val="bottom"/>
          </w:tcPr>
          <w:p>
            <w:pPr>
              <w:spacing w:after="0"/>
              <w:rPr>
                <w:sz w:val="19"/>
                <w:szCs w:val="19"/>
                <w:color w:val="auto"/>
              </w:rPr>
            </w:pPr>
          </w:p>
        </w:tc>
      </w:tr>
      <w:tr>
        <w:trPr>
          <w:trHeight w:val="239"/>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77,338</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(67 )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(67 )</w:t>
            </w:r>
          </w:p>
        </w:tc>
      </w:tr>
      <w:tr>
        <w:trPr>
          <w:trHeight w:val="220"/>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2,368</w:t>
            </w:r>
          </w:p>
        </w:tc>
        <w:tc>
          <w:tcPr>
            <w:tcW w:w="100" w:type="dxa"/>
            <w:vAlign w:val="bottom"/>
          </w:tcPr>
          <w:p>
            <w:pPr>
              <w:spacing w:after="0"/>
              <w:rPr>
                <w:sz w:val="19"/>
                <w:szCs w:val="19"/>
                <w:color w:val="auto"/>
              </w:rPr>
            </w:pPr>
          </w:p>
        </w:tc>
      </w:tr>
      <w:tr>
        <w:trPr>
          <w:trHeight w:val="230"/>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(20,360 )</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(20,360 )</w:t>
            </w:r>
          </w:p>
        </w:tc>
      </w:tr>
      <w:tr>
        <w:trPr>
          <w:trHeight w:val="23"/>
        </w:trPr>
        <w:tc>
          <w:tcPr>
            <w:tcW w:w="20" w:type="dxa"/>
            <w:vAlign w:val="bottom"/>
            <w:shd w:val="clear" w:color="auto" w:fill="CFF0FC"/>
          </w:tcPr>
          <w:p>
            <w:pPr>
              <w:spacing w:after="0"/>
              <w:rPr>
                <w:sz w:val="2"/>
                <w:szCs w:val="2"/>
                <w:color w:val="auto"/>
              </w:rPr>
            </w:pPr>
          </w:p>
        </w:tc>
        <w:tc>
          <w:tcPr>
            <w:tcW w:w="2740" w:type="dxa"/>
            <w:vAlign w:val="bottom"/>
            <w:shd w:val="clear" w:color="auto" w:fill="CFF0FC"/>
          </w:tcPr>
          <w:p>
            <w:pPr>
              <w:spacing w:after="0"/>
              <w:rPr>
                <w:sz w:val="2"/>
                <w:szCs w:val="2"/>
                <w:color w:val="auto"/>
              </w:rPr>
            </w:pPr>
          </w:p>
        </w:tc>
        <w:tc>
          <w:tcPr>
            <w:tcW w:w="1580" w:type="dxa"/>
            <w:vAlign w:val="bottom"/>
            <w:shd w:val="clear" w:color="auto" w:fill="CFF0F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Balance as of March 31, 2022 (unaudited)</w:t>
            </w:r>
          </w:p>
        </w:tc>
        <w:tc>
          <w:tcPr>
            <w:tcW w:w="1280" w:type="dxa"/>
            <w:vAlign w:val="bottom"/>
          </w:tcPr>
          <w:p>
            <w:pPr>
              <w:jc w:val="right"/>
              <w:spacing w:after="0"/>
              <w:rPr>
                <w:sz w:val="20"/>
                <w:szCs w:val="20"/>
                <w:color w:val="auto"/>
              </w:rPr>
            </w:pPr>
            <w:r>
              <w:rPr>
                <w:rFonts w:ascii="Arial" w:cs="Arial" w:eastAsia="Arial" w:hAnsi="Arial"/>
                <w:sz w:val="16"/>
                <w:szCs w:val="16"/>
                <w:color w:val="auto"/>
              </w:rPr>
              <w:t>155,104,655</w:t>
            </w:r>
          </w:p>
        </w:tc>
        <w:tc>
          <w:tcPr>
            <w:tcW w:w="240" w:type="dxa"/>
            <w:vAlign w:val="bottom"/>
          </w:tcPr>
          <w:p>
            <w:pPr>
              <w:spacing w:after="0"/>
              <w:rPr>
                <w:sz w:val="19"/>
                <w:szCs w:val="19"/>
                <w:color w:val="auto"/>
              </w:rPr>
            </w:pPr>
          </w:p>
        </w:tc>
        <w:tc>
          <w:tcPr>
            <w:tcW w:w="880" w:type="dxa"/>
            <w:vAlign w:val="bottom"/>
          </w:tcPr>
          <w:p>
            <w:pPr>
              <w:jc w:val="right"/>
              <w:ind w:right="706"/>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368,152</w:t>
            </w:r>
          </w:p>
        </w:tc>
        <w:tc>
          <w:tcPr>
            <w:tcW w:w="2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(191,890 )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176,277</w:t>
            </w:r>
          </w:p>
        </w:tc>
        <w:tc>
          <w:tcPr>
            <w:tcW w:w="100" w:type="dxa"/>
            <w:vAlign w:val="bottom"/>
          </w:tcPr>
          <w:p>
            <w:pPr>
              <w:spacing w:after="0"/>
              <w:rPr>
                <w:sz w:val="19"/>
                <w:szCs w:val="19"/>
                <w:color w:val="auto"/>
              </w:rPr>
            </w:pPr>
          </w:p>
        </w:tc>
      </w:tr>
      <w:tr>
        <w:trPr>
          <w:trHeight w:val="230"/>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1,092,515</w:t>
            </w:r>
          </w:p>
        </w:tc>
        <w:tc>
          <w:tcPr>
            <w:tcW w:w="24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FF0FC"/>
          </w:tcPr>
          <w:p>
            <w:pPr>
              <w:spacing w:after="0"/>
              <w:rPr>
                <w:sz w:val="19"/>
                <w:szCs w:val="19"/>
                <w:color w:val="auto"/>
              </w:rPr>
            </w:pPr>
          </w:p>
        </w:tc>
      </w:tr>
      <w:tr>
        <w:trPr>
          <w:trHeight w:val="220"/>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Restricted stock units vested, net of tax</w:t>
            </w:r>
          </w:p>
        </w:tc>
        <w:tc>
          <w:tcPr>
            <w:tcW w:w="1280" w:type="dxa"/>
            <w:vAlign w:val="bottom"/>
          </w:tcPr>
          <w:p>
            <w:pPr>
              <w:jc w:val="right"/>
              <w:spacing w:after="0"/>
              <w:rPr>
                <w:sz w:val="20"/>
                <w:szCs w:val="20"/>
                <w:color w:val="auto"/>
              </w:rPr>
            </w:pPr>
            <w:r>
              <w:rPr>
                <w:rFonts w:ascii="Arial" w:cs="Arial" w:eastAsia="Arial" w:hAnsi="Arial"/>
                <w:sz w:val="16"/>
                <w:szCs w:val="16"/>
                <w:color w:val="auto"/>
              </w:rPr>
              <w:t>1,175,446</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(126 )</w:t>
            </w: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(126 )</w:t>
            </w:r>
          </w:p>
        </w:tc>
      </w:tr>
      <w:tr>
        <w:trPr>
          <w:trHeight w:val="239"/>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3,839</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3,839</w:t>
            </w:r>
          </w:p>
        </w:tc>
        <w:tc>
          <w:tcPr>
            <w:tcW w:w="100" w:type="dxa"/>
            <w:vAlign w:val="bottom"/>
            <w:shd w:val="clear" w:color="auto" w:fill="CFF0FC"/>
          </w:tcPr>
          <w:p>
            <w:pPr>
              <w:spacing w:after="0"/>
              <w:rPr>
                <w:sz w:val="20"/>
                <w:szCs w:val="20"/>
                <w:color w:val="auto"/>
              </w:rPr>
            </w:pPr>
          </w:p>
        </w:tc>
      </w:tr>
      <w:tr>
        <w:trPr>
          <w:trHeight w:val="220"/>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(23,022 )</w:t>
            </w: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(23,022 )</w:t>
            </w:r>
          </w:p>
        </w:tc>
      </w:tr>
      <w:tr>
        <w:trPr>
          <w:trHeight w:val="23"/>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Balance as of June 30, 2022 (unaudited)</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157,372,616</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06"/>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372,151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(214,912 )</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157,254</w:t>
            </w:r>
          </w:p>
        </w:tc>
        <w:tc>
          <w:tcPr>
            <w:tcW w:w="100" w:type="dxa"/>
            <w:vAlign w:val="bottom"/>
            <w:shd w:val="clear" w:color="auto" w:fill="CFF0FC"/>
          </w:tcPr>
          <w:p>
            <w:pPr>
              <w:spacing w:after="0"/>
              <w:rPr>
                <w:sz w:val="19"/>
                <w:szCs w:val="19"/>
                <w:color w:val="auto"/>
              </w:rPr>
            </w:pPr>
          </w:p>
        </w:tc>
      </w:tr>
      <w:tr>
        <w:trPr>
          <w:trHeight w:val="220"/>
        </w:trPr>
        <w:tc>
          <w:tcPr>
            <w:tcW w:w="4340" w:type="dxa"/>
            <w:vAlign w:val="bottom"/>
            <w:tcBorders>
              <w:top w:val="single" w:sz="8" w:color="CFF0FC"/>
            </w:tcBorders>
            <w:gridSpan w:val="3"/>
          </w:tcPr>
          <w:p>
            <w:pPr>
              <w:ind w:left="20"/>
              <w:spacing w:after="0"/>
              <w:rPr>
                <w:sz w:val="20"/>
                <w:szCs w:val="20"/>
                <w:color w:val="auto"/>
              </w:rPr>
            </w:pPr>
            <w:r>
              <w:rPr>
                <w:rFonts w:ascii="Arial" w:cs="Arial" w:eastAsia="Arial" w:hAnsi="Arial"/>
                <w:sz w:val="16"/>
                <w:szCs w:val="16"/>
                <w:color w:val="auto"/>
              </w:rPr>
              <w:t>Exercise of stock options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893,194</w:t>
            </w:r>
          </w:p>
        </w:tc>
        <w:tc>
          <w:tcPr>
            <w:tcW w:w="240" w:type="dxa"/>
            <w:vAlign w:val="bottom"/>
            <w:tcBorders>
              <w:top w:val="single" w:sz="8" w:color="CFF0FC"/>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top w:val="single" w:sz="8" w:color="CFF0FC"/>
            </w:tcBorders>
          </w:tcPr>
          <w:p>
            <w:pPr>
              <w:spacing w:after="0"/>
              <w:rPr>
                <w:sz w:val="19"/>
                <w:szCs w:val="19"/>
                <w:color w:val="auto"/>
              </w:rPr>
            </w:pPr>
          </w:p>
        </w:tc>
      </w:tr>
      <w:tr>
        <w:trPr>
          <w:trHeight w:val="239"/>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Restricted stock units vested, net of tax</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725,209</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(128 )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(128 )</w:t>
            </w:r>
          </w:p>
        </w:tc>
      </w:tr>
      <w:tr>
        <w:trPr>
          <w:trHeight w:val="220"/>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3,179</w:t>
            </w:r>
          </w:p>
        </w:tc>
        <w:tc>
          <w:tcPr>
            <w:tcW w:w="100" w:type="dxa"/>
            <w:vAlign w:val="bottom"/>
          </w:tcPr>
          <w:p>
            <w:pPr>
              <w:spacing w:after="0"/>
              <w:rPr>
                <w:sz w:val="19"/>
                <w:szCs w:val="19"/>
                <w:color w:val="auto"/>
              </w:rPr>
            </w:pPr>
          </w:p>
        </w:tc>
      </w:tr>
      <w:tr>
        <w:trPr>
          <w:trHeight w:val="229"/>
        </w:trPr>
        <w:tc>
          <w:tcPr>
            <w:tcW w:w="43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(17,983 )</w:t>
            </w: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(17,983 )</w:t>
            </w:r>
          </w:p>
        </w:tc>
      </w:tr>
      <w:tr>
        <w:trPr>
          <w:trHeight w:val="23"/>
        </w:trPr>
        <w:tc>
          <w:tcPr>
            <w:tcW w:w="20" w:type="dxa"/>
            <w:vAlign w:val="bottom"/>
            <w:shd w:val="clear" w:color="auto" w:fill="CFF0FC"/>
          </w:tcPr>
          <w:p>
            <w:pPr>
              <w:spacing w:after="0"/>
              <w:rPr>
                <w:sz w:val="2"/>
                <w:szCs w:val="2"/>
                <w:color w:val="auto"/>
              </w:rPr>
            </w:pPr>
          </w:p>
        </w:tc>
        <w:tc>
          <w:tcPr>
            <w:tcW w:w="2740" w:type="dxa"/>
            <w:vAlign w:val="bottom"/>
            <w:shd w:val="clear" w:color="auto" w:fill="CFF0FC"/>
          </w:tcPr>
          <w:p>
            <w:pPr>
              <w:spacing w:after="0"/>
              <w:rPr>
                <w:sz w:val="2"/>
                <w:szCs w:val="2"/>
                <w:color w:val="auto"/>
              </w:rPr>
            </w:pPr>
          </w:p>
        </w:tc>
        <w:tc>
          <w:tcPr>
            <w:tcW w:w="1580" w:type="dxa"/>
            <w:vAlign w:val="bottom"/>
            <w:shd w:val="clear" w:color="auto" w:fill="CFF0F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Balance as of September 30, 2022 (unaudited)</w:t>
            </w:r>
          </w:p>
        </w:tc>
        <w:tc>
          <w:tcPr>
            <w:tcW w:w="1280" w:type="dxa"/>
            <w:vAlign w:val="bottom"/>
          </w:tcPr>
          <w:p>
            <w:pPr>
              <w:jc w:val="right"/>
              <w:spacing w:after="0"/>
              <w:rPr>
                <w:sz w:val="20"/>
                <w:szCs w:val="20"/>
                <w:color w:val="auto"/>
              </w:rPr>
            </w:pPr>
            <w:r>
              <w:rPr>
                <w:rFonts w:ascii="Arial" w:cs="Arial" w:eastAsia="Arial" w:hAnsi="Arial"/>
                <w:sz w:val="16"/>
                <w:szCs w:val="16"/>
                <w:color w:val="auto"/>
              </w:rPr>
              <w:t>158,991,019</w:t>
            </w:r>
          </w:p>
        </w:tc>
        <w:tc>
          <w:tcPr>
            <w:tcW w:w="240" w:type="dxa"/>
            <w:vAlign w:val="bottom"/>
          </w:tcPr>
          <w:p>
            <w:pPr>
              <w:spacing w:after="0"/>
              <w:rPr>
                <w:sz w:val="19"/>
                <w:szCs w:val="19"/>
                <w:color w:val="auto"/>
              </w:rPr>
            </w:pPr>
          </w:p>
        </w:tc>
        <w:tc>
          <w:tcPr>
            <w:tcW w:w="880" w:type="dxa"/>
            <w:vAlign w:val="bottom"/>
          </w:tcPr>
          <w:p>
            <w:pPr>
              <w:jc w:val="right"/>
              <w:ind w:right="706"/>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375,549</w:t>
            </w:r>
          </w:p>
        </w:tc>
        <w:tc>
          <w:tcPr>
            <w:tcW w:w="2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(232,895 )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142,669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-4542790</wp:posOffset>
            </wp:positionV>
            <wp:extent cx="76835"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-4542790</wp:posOffset>
            </wp:positionV>
            <wp:extent cx="6858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-4542790</wp:posOffset>
            </wp:positionV>
            <wp:extent cx="6858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-4542790</wp:posOffset>
            </wp:positionV>
            <wp:extent cx="685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-4542790</wp:posOffset>
            </wp:positionV>
            <wp:extent cx="6858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-3642995</wp:posOffset>
            </wp:positionV>
            <wp:extent cx="7683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-3642995</wp:posOffset>
            </wp:positionV>
            <wp:extent cx="6858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-3642995</wp:posOffset>
            </wp:positionV>
            <wp:extent cx="6858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-3642995</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-3642995</wp:posOffset>
            </wp:positionV>
            <wp:extent cx="685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-3051175</wp:posOffset>
            </wp:positionV>
            <wp:extent cx="76835" cy="325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-3051175</wp:posOffset>
            </wp:positionV>
            <wp:extent cx="68580" cy="651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-3051175</wp:posOffset>
            </wp:positionV>
            <wp:extent cx="68580" cy="651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-3051175</wp:posOffset>
            </wp:positionV>
            <wp:extent cx="68580" cy="651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651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-1671320</wp:posOffset>
            </wp:positionV>
            <wp:extent cx="7683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-1671320</wp:posOffset>
            </wp:positionV>
            <wp:extent cx="6858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-1671320</wp:posOffset>
            </wp:positionV>
            <wp:extent cx="6858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-1671320</wp:posOffset>
            </wp:positionV>
            <wp:extent cx="6858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-770890</wp:posOffset>
            </wp:positionV>
            <wp:extent cx="7683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-770890</wp:posOffset>
            </wp:positionV>
            <wp:extent cx="685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-770890</wp:posOffset>
            </wp:positionV>
            <wp:extent cx="6858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-770890</wp:posOffset>
            </wp:positionV>
            <wp:extent cx="6858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-179705</wp:posOffset>
            </wp:positionV>
            <wp:extent cx="7683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-179705</wp:posOffset>
            </wp:positionV>
            <wp:extent cx="6858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-179705</wp:posOffset>
            </wp:positionV>
            <wp:extent cx="6858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-179705</wp:posOffset>
            </wp:positionV>
            <wp:extent cx="68580"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 Represents an amount lower than $1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TALKSPACE,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600" w:type="dxa"/>
            <w:vAlign w:val="bottom"/>
            <w:gridSpan w:val="6"/>
          </w:tcPr>
          <w:p>
            <w:pPr>
              <w:ind w:left="20"/>
              <w:spacing w:after="0"/>
              <w:rPr>
                <w:sz w:val="20"/>
                <w:szCs w:val="20"/>
                <w:color w:val="auto"/>
              </w:rPr>
            </w:pPr>
            <w:r>
              <w:rPr>
                <w:rFonts w:ascii="Arial" w:cs="Arial" w:eastAsia="Arial" w:hAnsi="Arial"/>
                <w:sz w:val="16"/>
                <w:szCs w:val="16"/>
                <w:i w:val="1"/>
                <w:iCs w:val="1"/>
                <w:color w:val="auto"/>
              </w:rPr>
              <w:t>(U.S. dollars in thousands)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17"/>
        </w:trPr>
        <w:tc>
          <w:tcPr>
            <w:tcW w:w="20" w:type="dxa"/>
            <w:vAlign w:val="bottom"/>
            <w:shd w:val="clear" w:color="auto" w:fill="CFF0FC"/>
          </w:tcPr>
          <w:p>
            <w:pPr>
              <w:spacing w:after="0"/>
              <w:rPr>
                <w:sz w:val="18"/>
                <w:szCs w:val="18"/>
                <w:color w:val="auto"/>
              </w:rPr>
            </w:pPr>
          </w:p>
        </w:tc>
        <w:tc>
          <w:tcPr>
            <w:tcW w:w="7580" w:type="dxa"/>
            <w:vAlign w:val="bottom"/>
            <w:gridSpan w:val="5"/>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7"/>
        </w:trPr>
        <w:tc>
          <w:tcPr>
            <w:tcW w:w="20" w:type="dxa"/>
            <w:vAlign w:val="bottom"/>
            <w:tcBorders>
              <w:top w:val="single" w:sz="8" w:color="CFF0FC"/>
            </w:tcBorders>
          </w:tcPr>
          <w:p>
            <w:pPr>
              <w:spacing w:after="0"/>
              <w:rPr>
                <w:sz w:val="20"/>
                <w:szCs w:val="20"/>
                <w:color w:val="auto"/>
              </w:rPr>
            </w:pPr>
          </w:p>
        </w:tc>
        <w:tc>
          <w:tcPr>
            <w:tcW w:w="28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loss</w:t>
            </w:r>
          </w:p>
        </w:tc>
        <w:tc>
          <w:tcPr>
            <w:tcW w:w="4760" w:type="dxa"/>
            <w:vAlign w:val="bottom"/>
            <w:tcBorders>
              <w:top w:val="single" w:sz="8" w:color="CFF0FC"/>
            </w:tcBorders>
          </w:tcPr>
          <w:p>
            <w:pPr>
              <w:spacing w:after="0"/>
              <w:rPr>
                <w:sz w:val="20"/>
                <w:szCs w:val="20"/>
                <w:color w:val="auto"/>
              </w:rPr>
            </w:pPr>
          </w:p>
        </w:tc>
        <w:tc>
          <w:tcPr>
            <w:tcW w:w="400" w:type="dxa"/>
            <w:vAlign w:val="bottom"/>
            <w:tcBorders>
              <w:top w:val="single" w:sz="8" w:color="CFF0FC"/>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CFF0FC"/>
            </w:tcBorders>
            <w:gridSpan w:val="2"/>
          </w:tcPr>
          <w:p>
            <w:pPr>
              <w:jc w:val="right"/>
              <w:ind w:right="110"/>
              <w:spacing w:after="0"/>
              <w:rPr>
                <w:sz w:val="20"/>
                <w:szCs w:val="20"/>
                <w:color w:val="auto"/>
              </w:rPr>
            </w:pPr>
            <w:r>
              <w:rPr>
                <w:rFonts w:ascii="Arial" w:cs="Arial" w:eastAsia="Arial" w:hAnsi="Arial"/>
                <w:sz w:val="18"/>
                <w:szCs w:val="18"/>
                <w:color w:val="auto"/>
              </w:rPr>
              <w:t>(17,876 )</w:t>
            </w:r>
          </w:p>
        </w:tc>
        <w:tc>
          <w:tcPr>
            <w:tcW w:w="560" w:type="dxa"/>
            <w:vAlign w:val="bottom"/>
            <w:tcBorders>
              <w:top w:val="single" w:sz="8" w:color="CFF0FC"/>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(61,365 )</w:t>
            </w:r>
          </w:p>
        </w:tc>
      </w:tr>
      <w:tr>
        <w:trPr>
          <w:trHeight w:val="249"/>
        </w:trPr>
        <w:tc>
          <w:tcPr>
            <w:tcW w:w="760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00" w:type="dxa"/>
            <w:vAlign w:val="bottom"/>
            <w:gridSpan w:val="6"/>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913</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r>
      <w:tr>
        <w:trPr>
          <w:trHeight w:val="249"/>
        </w:trPr>
        <w:tc>
          <w:tcPr>
            <w:tcW w:w="760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6,401</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9,386</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gridSpan w:val="6"/>
          </w:tcPr>
          <w:p>
            <w:pPr>
              <w:ind w:left="20"/>
              <w:spacing w:after="0"/>
              <w:rPr>
                <w:sz w:val="20"/>
                <w:szCs w:val="20"/>
                <w:color w:val="auto"/>
              </w:rPr>
            </w:pPr>
            <w:r>
              <w:rPr>
                <w:rFonts w:ascii="Arial" w:cs="Arial" w:eastAsia="Arial" w:hAnsi="Arial"/>
                <w:sz w:val="18"/>
                <w:szCs w:val="18"/>
                <w:color w:val="auto"/>
              </w:rPr>
              <w:t>Remeasurement of warrant liabilities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647</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(421 )</w:t>
            </w:r>
          </w:p>
        </w:tc>
      </w:tr>
      <w:tr>
        <w:trPr>
          <w:trHeight w:val="249"/>
        </w:trPr>
        <w:tc>
          <w:tcPr>
            <w:tcW w:w="760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rPr>
              <w:t>Decrease (increase) in accounts receivable</w:t>
            </w: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(3,180 )</w:t>
            </w:r>
          </w:p>
        </w:tc>
      </w:tr>
      <w:tr>
        <w:trPr>
          <w:trHeight w:val="237"/>
        </w:trPr>
        <w:tc>
          <w:tcPr>
            <w:tcW w:w="7600" w:type="dxa"/>
            <w:vAlign w:val="bottom"/>
            <w:gridSpan w:val="6"/>
          </w:tcPr>
          <w:p>
            <w:pPr>
              <w:ind w:left="20"/>
              <w:spacing w:after="0"/>
              <w:rPr>
                <w:sz w:val="20"/>
                <w:szCs w:val="20"/>
                <w:color w:val="auto"/>
              </w:rPr>
            </w:pPr>
            <w:r>
              <w:rPr>
                <w:rFonts w:ascii="Arial" w:cs="Arial" w:eastAsia="Arial" w:hAnsi="Arial"/>
                <w:sz w:val="18"/>
                <w:szCs w:val="18"/>
                <w:color w:val="auto"/>
              </w:rPr>
              <w:t>(Increase) decrease in other current assets</w:t>
            </w:r>
          </w:p>
        </w:tc>
        <w:tc>
          <w:tcPr>
            <w:tcW w:w="40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(41 )</w:t>
            </w: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0"/>
                <w:szCs w:val="20"/>
                <w:color w:val="auto"/>
              </w:rPr>
            </w:pPr>
          </w:p>
        </w:tc>
      </w:tr>
      <w:tr>
        <w:trPr>
          <w:trHeight w:val="249"/>
        </w:trPr>
        <w:tc>
          <w:tcPr>
            <w:tcW w:w="760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rPr>
              <w:t>Increase in accounts payable</w:t>
            </w: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gridSpan w:val="6"/>
          </w:tcPr>
          <w:p>
            <w:pPr>
              <w:ind w:left="20"/>
              <w:spacing w:after="0"/>
              <w:rPr>
                <w:sz w:val="20"/>
                <w:szCs w:val="20"/>
                <w:color w:val="auto"/>
              </w:rPr>
            </w:pPr>
            <w:r>
              <w:rPr>
                <w:rFonts w:ascii="Arial" w:cs="Arial" w:eastAsia="Arial" w:hAnsi="Arial"/>
                <w:sz w:val="18"/>
                <w:szCs w:val="18"/>
                <w:color w:val="auto"/>
              </w:rPr>
              <w:t>Decrease in deferred revenues</w:t>
            </w:r>
          </w:p>
        </w:tc>
        <w:tc>
          <w:tcPr>
            <w:tcW w:w="40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(733 )</w:t>
            </w:r>
          </w:p>
        </w:tc>
        <w:tc>
          <w:tcPr>
            <w:tcW w:w="5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(1,728 )</w:t>
            </w:r>
          </w:p>
        </w:tc>
      </w:tr>
      <w:tr>
        <w:trPr>
          <w:trHeight w:val="249"/>
        </w:trPr>
        <w:tc>
          <w:tcPr>
            <w:tcW w:w="760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rPr>
              <w:t>(Decrease) increase in accrued expenses and other current liabilities</w:t>
            </w:r>
          </w:p>
        </w:tc>
        <w:tc>
          <w:tcPr>
            <w:tcW w:w="4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(5,785 )</w:t>
            </w: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gridSpan w:val="6"/>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(108 )</w:t>
            </w: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r>
      <w:tr>
        <w:trPr>
          <w:trHeight w:val="236"/>
        </w:trPr>
        <w:tc>
          <w:tcPr>
            <w:tcW w:w="760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(46,856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89"/>
        </w:trPr>
        <w:tc>
          <w:tcPr>
            <w:tcW w:w="7600" w:type="dxa"/>
            <w:vAlign w:val="bottom"/>
            <w:gridSpan w:val="6"/>
          </w:tcPr>
          <w:p>
            <w:pPr>
              <w:ind w:left="20"/>
              <w:spacing w:after="0" w:line="189" w:lineRule="exact"/>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60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4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(20 )</w:t>
            </w:r>
          </w:p>
        </w:tc>
        <w:tc>
          <w:tcPr>
            <w:tcW w:w="5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(254 )</w:t>
            </w:r>
          </w:p>
        </w:tc>
      </w:tr>
      <w:tr>
        <w:trPr>
          <w:trHeight w:val="237"/>
        </w:trPr>
        <w:tc>
          <w:tcPr>
            <w:tcW w:w="7600" w:type="dxa"/>
            <w:vAlign w:val="bottom"/>
            <w:gridSpan w:val="6"/>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89"/>
        </w:trPr>
        <w:tc>
          <w:tcPr>
            <w:tcW w:w="7600" w:type="dxa"/>
            <w:vAlign w:val="bottom"/>
            <w:gridSpan w:val="6"/>
          </w:tcPr>
          <w:p>
            <w:pPr>
              <w:ind w:left="20"/>
              <w:spacing w:after="0" w:line="189" w:lineRule="exact"/>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60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FF0FC"/>
          </w:tcPr>
          <w:p>
            <w:pPr>
              <w:spacing w:after="0"/>
              <w:rPr>
                <w:sz w:val="21"/>
                <w:szCs w:val="21"/>
                <w:color w:val="auto"/>
              </w:rPr>
            </w:pPr>
          </w:p>
        </w:tc>
      </w:tr>
      <w:tr>
        <w:trPr>
          <w:trHeight w:val="237"/>
        </w:trPr>
        <w:tc>
          <w:tcPr>
            <w:tcW w:w="7600" w:type="dxa"/>
            <w:vAlign w:val="bottom"/>
            <w:gridSpan w:val="6"/>
          </w:tcPr>
          <w:p>
            <w:pPr>
              <w:ind w:left="20"/>
              <w:spacing w:after="0"/>
              <w:rPr>
                <w:sz w:val="20"/>
                <w:szCs w:val="20"/>
                <w:color w:val="auto"/>
              </w:rPr>
            </w:pPr>
            <w:r>
              <w:rPr>
                <w:rFonts w:ascii="Arial" w:cs="Arial" w:eastAsia="Arial" w:hAnsi="Arial"/>
                <w:sz w:val="18"/>
                <w:szCs w:val="18"/>
                <w:color w:val="auto"/>
              </w:rPr>
              <w:t>Payments for employee taxes withheld related to vested stock-based awards</w:t>
            </w:r>
          </w:p>
        </w:tc>
        <w:tc>
          <w:tcPr>
            <w:tcW w:w="400" w:type="dxa"/>
            <w:vAlign w:val="bottom"/>
          </w:tcPr>
          <w:p>
            <w:pPr>
              <w:spacing w:after="0"/>
              <w:rPr>
                <w:sz w:val="20"/>
                <w:szCs w:val="20"/>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(399 )</w:t>
            </w:r>
          </w:p>
        </w:tc>
        <w:tc>
          <w:tcPr>
            <w:tcW w:w="5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(558 )</w:t>
            </w:r>
          </w:p>
        </w:tc>
      </w:tr>
      <w:tr>
        <w:trPr>
          <w:trHeight w:val="243"/>
        </w:trPr>
        <w:tc>
          <w:tcPr>
            <w:tcW w:w="760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rPr>
              <w:t>Payments for reverse capitalization, net of transaction costs</w:t>
            </w:r>
          </w:p>
        </w:tc>
        <w:tc>
          <w:tcPr>
            <w:tcW w:w="4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(645 )</w:t>
            </w:r>
          </w:p>
        </w:tc>
      </w:tr>
      <w:tr>
        <w:trPr>
          <w:trHeight w:val="236"/>
        </w:trPr>
        <w:tc>
          <w:tcPr>
            <w:tcW w:w="7600" w:type="dxa"/>
            <w:vAlign w:val="bottom"/>
            <w:tcBorders>
              <w:top w:val="single" w:sz="8" w:color="CFF0FC"/>
            </w:tcBorders>
            <w:gridSpan w:val="6"/>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280" w:type="dxa"/>
            <w:vAlign w:val="bottom"/>
            <w:tcBorders>
              <w:top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top w:val="single" w:sz="8" w:color="CFF0FC"/>
            </w:tcBorders>
          </w:tcPr>
          <w:p>
            <w:pPr>
              <w:spacing w:after="0"/>
              <w:rPr>
                <w:sz w:val="20"/>
                <w:szCs w:val="20"/>
                <w:color w:val="auto"/>
              </w:rPr>
            </w:pPr>
          </w:p>
        </w:tc>
      </w:tr>
      <w:tr>
        <w:trPr>
          <w:trHeight w:val="243"/>
        </w:trPr>
        <w:tc>
          <w:tcPr>
            <w:tcW w:w="760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(45,617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600" w:type="dxa"/>
            <w:vAlign w:val="bottom"/>
            <w:gridSpan w:val="6"/>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138,545</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198,256</w:t>
            </w:r>
          </w:p>
        </w:tc>
        <w:tc>
          <w:tcPr>
            <w:tcW w:w="100" w:type="dxa"/>
            <w:vAlign w:val="bottom"/>
          </w:tcPr>
          <w:p>
            <w:pPr>
              <w:spacing w:after="0"/>
              <w:rPr>
                <w:sz w:val="20"/>
                <w:szCs w:val="20"/>
                <w:color w:val="auto"/>
              </w:rPr>
            </w:pPr>
          </w:p>
        </w:tc>
      </w:tr>
      <w:tr>
        <w:trPr>
          <w:trHeight w:val="277"/>
        </w:trPr>
        <w:tc>
          <w:tcPr>
            <w:tcW w:w="760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125,332</w:t>
            </w:r>
          </w:p>
        </w:tc>
        <w:tc>
          <w:tcPr>
            <w:tcW w:w="2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152,639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9"/>
        </w:trPr>
        <w:tc>
          <w:tcPr>
            <w:tcW w:w="7600" w:type="dxa"/>
            <w:vAlign w:val="bottom"/>
            <w:gridSpan w:val="6"/>
          </w:tcPr>
          <w:p>
            <w:pPr>
              <w:ind w:left="20"/>
              <w:spacing w:after="0"/>
              <w:rPr>
                <w:sz w:val="20"/>
                <w:szCs w:val="20"/>
                <w:color w:val="auto"/>
              </w:rPr>
            </w:pPr>
            <w:r>
              <w:rPr>
                <w:rFonts w:ascii="Arial" w:cs="Arial" w:eastAsia="Arial" w:hAnsi="Arial"/>
                <w:sz w:val="18"/>
                <w:szCs w:val="18"/>
                <w:color w:val="auto"/>
              </w:rPr>
              <w:t>Supplemental cash flow data:</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60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rPr>
              <w:t>Cash paid during the period for income taxes</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-2390775</wp:posOffset>
            </wp:positionV>
            <wp:extent cx="6858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-1756410</wp:posOffset>
            </wp:positionV>
            <wp:extent cx="6858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-1130935</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-487680</wp:posOffset>
            </wp:positionV>
            <wp:extent cx="1268730" cy="3340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68730" cy="33401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TALKSPACE,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The Company offers convenient and affordable access to a fully credentialed network of highly qualified providers. Since its inception, the Company has connected millions of patients with licensed behavioral health providers across a wide and growing spectrum of care through virtual counseling, psychotherapy, and psychiatry.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principal executive office is located in New York, NY. The Company has three wholly owned subsidiaries, Talkspace LLC, Talkspace Network LLC and Groop Internet Platform LTD. In addition, the Company holds a variable interest in one professional association and eight professional corporations, which have been established pursuant to the requirements of their respective domestic jurisdiction governing the corporate practice of medicine. See Note 10, “Variable Interest Entities,” in the notes to the condensed consolidated financial statements for further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These condensed consolidated financial statements should be read in conjunction with the consolidated financial statements as of and for the year ended December 31, 2022, included in the Company's Annual Report on Form 10-K for the year ended December 31, 2022. The significant accounting policies applied in the annual consolidated financial statements of the Company as of December 31, 2022, have been applied consistently in these unaudited condensed consolidated financial statements, unless otherwise stated.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balances have been eliminated in the preparation of the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condensed consolidated financial statements. The Company’s significant estimates and assumptions used in these condensed consolidated financial statements include, but are not limited to, the recognition and disclosure of contingent liabilities, revenue recognition, stock-based compensation awards and the fair value of warrant liabilities. 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Pronouncements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recent accounting pronouncements and concluded that they are either not applicable to its business or that no material effect is expected on the condensed consolidated financial statements as a result of their future adoption.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revenue in accordance with ASC 606, “Revenue from Contracts with Customers”, when the Company satisfies its performance obligation to perform its defined contractual obligations to provide virtual behavioral healthcare services. Revenue is recognized in an amount that reflects the consideration that the Company will be entitled in exchange for the service rendered. To the extent the transaction price includes variable consideration, the Company estimates the amount of variable consideration that is included in the transaction price. Variable consideration is included in the transaction price to the extent it is probable that a significant reversal of cumulative revenue recognized will not occur when the uncertainty associated with the variable consideration is subsequently resolved.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its platform, Talkspace serves its business-to-business (“B2B”) channel, comprised of large health insurance plans and employee assistance programs (“Payors”), and large enterprise clients (“DTE”) who offer their insured members and employees access to the Company's platform at in-network reimbursement rates, or while their employer is under an active contract with Talkspace, where applicable, and its business-to-consumer (“Consumer”) channel, comprised of individual consumers who subscribe directly to the Company's platform.</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contracts with Payors to provide its therapy and psychiatry services to their eligible covered members. Revenue is recognized at a point in time, as virtual therapy or psychiatry session is rendered. The transaction price is determined based on contracted rates and includes variable consideration in the form of implicit price concessions. The Company determines the total transaction price, including an estimate of variable consideration, at contract inception and reassesses this estimate at each reporting date. The Company estimates the amount of variable consideration that is included in the transaction price primarily based on historical collection experience for each insurance payor. Revenue from Payors is presented net of implicit price concessions. Contracts with Payors include annual evergreen clauses and generally may be terminated by either party typically upon a minimum 60-day advance notice.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contracts with enterprises to provide access to its therapist platform for their employees, primarily based on a per-member-per-month access fee model. Revenues from access fees are recognized ratably over the contractual term. The majority of contracts with enterprise clients typically range in length from one to three years and are generally non-cancelable during the initial contractual term.</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also generates revenues from the sale of monthly, quarterly, bi-annual and annual membership subscriptions to the Company's therapy platform as well as supplementary a la carte offerings directly to individual consumers through a subscription plan. The Company recognizes consumer revenues ratably over the subscription period, beginning when therapy services commence. The Company recognizes revenues from supplementary a la carte offerings at a point in time, as virtual therapy session is rendered. Members may cancel their subscription at any time and will receive a pro-rata refund for the subscription price. The transaction price from member subscription revenue and supplementary a la carte offerings includes variable consideration in the form of refunds. The Company estimates the refund liability for the variable consideration portion of the transaction price primarily based on historical experience. The refund liability is recorded within the “Accrued expenses and other current liabilities” line item in the condensed consolidated balance sheets. Revenue from individual consumers is presented net of refunds.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revenues from sales to unaffiliated customers disaggregated by revenue source: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w:t>
            </w: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color w:val="auto"/>
              </w:rPr>
              <w:t>Revenues from sales to unaffiliated customers: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
        </w:trPr>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Payor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22,112</w:t>
            </w:r>
          </w:p>
        </w:tc>
        <w:tc>
          <w:tcPr>
            <w:tcW w:w="6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9,513</w:t>
            </w:r>
          </w:p>
        </w:tc>
        <w:tc>
          <w:tcPr>
            <w:tcW w:w="5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55,462</w:t>
            </w:r>
          </w:p>
        </w:tc>
        <w:tc>
          <w:tcPr>
            <w:tcW w:w="5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25,503</w:t>
            </w:r>
          </w:p>
        </w:tc>
        <w:tc>
          <w:tcPr>
            <w:tcW w:w="100" w:type="dxa"/>
            <w:vAlign w:val="bottom"/>
            <w:shd w:val="clear" w:color="auto" w:fill="CFF0FC"/>
          </w:tcPr>
          <w:p>
            <w:pPr>
              <w:spacing w:after="0"/>
              <w:rPr>
                <w:sz w:val="21"/>
                <w:szCs w:val="21"/>
                <w:color w:val="auto"/>
              </w:rPr>
            </w:pPr>
          </w:p>
        </w:tc>
      </w:tr>
      <w:tr>
        <w:trPr>
          <w:trHeight w:val="237"/>
        </w:trPr>
        <w:tc>
          <w:tcPr>
            <w:tcW w:w="4440" w:type="dxa"/>
            <w:vAlign w:val="bottom"/>
          </w:tcPr>
          <w:p>
            <w:pPr>
              <w:ind w:left="160"/>
              <w:spacing w:after="0"/>
              <w:rPr>
                <w:sz w:val="20"/>
                <w:szCs w:val="20"/>
                <w:color w:val="auto"/>
              </w:rPr>
            </w:pPr>
            <w:r>
              <w:rPr>
                <w:rFonts w:ascii="Arial" w:cs="Arial" w:eastAsia="Arial" w:hAnsi="Arial"/>
                <w:sz w:val="18"/>
                <w:szCs w:val="18"/>
                <w:color w:val="auto"/>
              </w:rPr>
              <w:t>DTE revenue</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24,717</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19,626</w:t>
            </w:r>
          </w:p>
        </w:tc>
        <w:tc>
          <w:tcPr>
            <w:tcW w:w="100" w:type="dxa"/>
            <w:vAlign w:val="bottom"/>
          </w:tcPr>
          <w:p>
            <w:pPr>
              <w:spacing w:after="0"/>
              <w:rPr>
                <w:sz w:val="20"/>
                <w:szCs w:val="20"/>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B2B revenue</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30,114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80,179</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45,129</w:t>
            </w:r>
          </w:p>
        </w:tc>
        <w:tc>
          <w:tcPr>
            <w:tcW w:w="100" w:type="dxa"/>
            <w:vAlign w:val="bottom"/>
            <w:shd w:val="clear" w:color="auto" w:fill="CFF0FC"/>
          </w:tcPr>
          <w:p>
            <w:pPr>
              <w:spacing w:after="0"/>
              <w:rPr>
                <w:sz w:val="21"/>
                <w:szCs w:val="2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Consumer revenue</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27,448</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44,197</w:t>
            </w:r>
          </w:p>
        </w:tc>
        <w:tc>
          <w:tcPr>
            <w:tcW w:w="100" w:type="dxa"/>
            <w:vAlign w:val="bottom"/>
          </w:tcPr>
          <w:p>
            <w:pPr>
              <w:spacing w:after="0"/>
              <w:rPr>
                <w:sz w:val="20"/>
                <w:szCs w:val="20"/>
                <w:color w:val="auto"/>
              </w:rPr>
            </w:pPr>
          </w:p>
        </w:tc>
      </w:tr>
      <w:tr>
        <w:trPr>
          <w:trHeight w:val="277"/>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38,646</w:t>
            </w:r>
          </w:p>
        </w:tc>
        <w:tc>
          <w:tcPr>
            <w:tcW w:w="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29,332</w:t>
            </w:r>
          </w:p>
        </w:tc>
        <w:tc>
          <w:tcPr>
            <w:tcW w:w="1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107,627</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89,326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75"/>
        </w:trPr>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4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-539115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-521970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-539115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-521970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-539115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-521970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Credit Losses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receivables are stated net of credit losses allowance. The Company is exposed to credit losses primarily through its contracts with health insurance plans, employee assistance programs and enterprise clients. The Company’s methodology for estimating credit loss is based on historical collection experience, customer creditworthiness, current and future economic 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 The allowance for credit losses was immaterial as of September 30, 2023 and December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deferred revenues when cash payments from customers are received in advance of the Company's performance obligation to provide services. As of September 30, 2023, deferred revenue related mainly to the Company’s consumer channel. The Company expects to satisfy the majority of its performance obligations associated with deferred revenue within one year or less. Revenue recognized for the three and nine months ended September 30, 2023, that was included in the deferred revenue balance at the beginning of each reporting period, was approximately $2.3 million and $3.8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 of the Company’s cash equivalents, accounts receivable, accounts payable, and accrued liabilities approximate fair value because of the relatively short-term nature of the underlying assets. The Company’s Private Placement Warrants are carried at fair value with changes in fair value recognized in earnings each period.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Private Placement Warrants are accounted for as liabilities in accordance with ASC 815-40 and are presented within warrant liabilities in the accompanying condensed consolidated balance sheets. The warrant liabilities were measured at fair value at inception and thereafter on a recurring, quarterly basis, with changes in fair value presented within financial income, net, in the condensed consolidated statement of operations.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Private Placement Warrants were valued using the Black-Scholes-Merton Model, which is considered to be a Level 3 fair value measurement. The primary unobservable input utilized in determining the fair value of the Private Placement Warrants is the implied volatility from the trading prices of the Public Warrants, significant increases (decreases) in this input in isolation would have resulted in a significantly higher (lower) fair value measurement.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were the inputs utilized in determining the fair value of the Private Placement Warrants as of September 30, 2023 and 2022:</w:t>
      </w: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120" w:type="dxa"/>
            <w:vAlign w:val="bottom"/>
          </w:tcPr>
          <w:p>
            <w:pPr>
              <w:spacing w:after="0"/>
              <w:rPr>
                <w:sz w:val="20"/>
                <w:szCs w:val="20"/>
                <w:color w:val="auto"/>
              </w:rPr>
            </w:pPr>
            <w:r>
              <w:rPr>
                <w:rFonts w:ascii="Arial" w:cs="Arial" w:eastAsia="Arial" w:hAnsi="Arial"/>
                <w:sz w:val="14"/>
                <w:szCs w:val="14"/>
                <w:b w:val="1"/>
                <w:bCs w:val="1"/>
                <w:i w:val="1"/>
                <w:iCs w:val="1"/>
                <w:color w:val="auto"/>
              </w:rPr>
              <w:t>Unaudited</w:t>
            </w:r>
          </w:p>
        </w:tc>
        <w:tc>
          <w:tcPr>
            <w:tcW w:w="1960" w:type="dxa"/>
            <w:vAlign w:val="bottom"/>
          </w:tcPr>
          <w:p>
            <w:pPr>
              <w:jc w:val="center"/>
              <w:ind w:left="594"/>
              <w:spacing w:after="0"/>
              <w:rPr>
                <w:sz w:val="20"/>
                <w:szCs w:val="20"/>
                <w:color w:val="auto"/>
              </w:rPr>
            </w:pPr>
            <w:r>
              <w:rPr>
                <w:rFonts w:ascii="Arial" w:cs="Arial" w:eastAsia="Arial" w:hAnsi="Arial"/>
                <w:sz w:val="14"/>
                <w:szCs w:val="14"/>
                <w:b w:val="1"/>
                <w:bCs w:val="1"/>
                <w:color w:val="auto"/>
                <w:w w:val="89"/>
              </w:rPr>
              <w:t>2023</w:t>
            </w:r>
          </w:p>
        </w:tc>
        <w:tc>
          <w:tcPr>
            <w:tcW w:w="3580" w:type="dxa"/>
            <w:vAlign w:val="bottom"/>
            <w:gridSpan w:val="3"/>
          </w:tcPr>
          <w:p>
            <w:pPr>
              <w:jc w:val="center"/>
              <w:ind w:left="857"/>
              <w:spacing w:after="0"/>
              <w:rPr>
                <w:sz w:val="20"/>
                <w:szCs w:val="20"/>
                <w:color w:val="auto"/>
              </w:rPr>
            </w:pPr>
            <w:r>
              <w:rPr>
                <w:rFonts w:ascii="Arial" w:cs="Arial" w:eastAsia="Arial" w:hAnsi="Arial"/>
                <w:sz w:val="14"/>
                <w:szCs w:val="14"/>
                <w:b w:val="1"/>
                <w:bCs w:val="1"/>
                <w:color w:val="auto"/>
                <w:w w:val="89"/>
              </w:rPr>
              <w:t>2022</w:t>
            </w:r>
          </w:p>
        </w:tc>
      </w:tr>
      <w:tr>
        <w:trPr>
          <w:trHeight w:val="236"/>
        </w:trPr>
        <w:tc>
          <w:tcPr>
            <w:tcW w:w="5120" w:type="dxa"/>
            <w:vAlign w:val="bottom"/>
            <w:shd w:val="clear" w:color="auto" w:fill="CFF0FC"/>
          </w:tcPr>
          <w:p>
            <w:pPr>
              <w:spacing w:after="0" w:line="236"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4"/>
                <w:szCs w:val="24"/>
                <w:color w:val="auto"/>
                <w:vertAlign w:val="superscript"/>
              </w:rPr>
              <w:t>(1)</w:t>
            </w:r>
          </w:p>
        </w:tc>
        <w:tc>
          <w:tcPr>
            <w:tcW w:w="1960" w:type="dxa"/>
            <w:vAlign w:val="bottom"/>
            <w:tcBorders>
              <w:top w:val="single" w:sz="8" w:color="auto"/>
            </w:tcBorders>
            <w:shd w:val="clear" w:color="auto" w:fill="CFF0FC"/>
          </w:tcPr>
          <w:p>
            <w:pPr>
              <w:jc w:val="center"/>
              <w:ind w:left="594"/>
              <w:spacing w:after="0"/>
              <w:rPr>
                <w:sz w:val="20"/>
                <w:szCs w:val="20"/>
                <w:color w:val="auto"/>
              </w:rPr>
            </w:pPr>
            <w:r>
              <w:rPr>
                <w:rFonts w:ascii="Arial" w:cs="Arial" w:eastAsia="Arial" w:hAnsi="Arial"/>
                <w:sz w:val="18"/>
                <w:szCs w:val="18"/>
                <w:color w:val="auto"/>
                <w:w w:val="92"/>
              </w:rPr>
              <w:t>0%</w:t>
            </w:r>
          </w:p>
        </w:tc>
        <w:tc>
          <w:tcPr>
            <w:tcW w:w="6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w:t>
            </w:r>
          </w:p>
        </w:tc>
      </w:tr>
      <w:tr>
        <w:trPr>
          <w:trHeight w:val="243"/>
        </w:trPr>
        <w:tc>
          <w:tcPr>
            <w:tcW w:w="5120" w:type="dxa"/>
            <w:vAlign w:val="bottom"/>
          </w:tcPr>
          <w:p>
            <w:pPr>
              <w:spacing w:after="0" w:line="243"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4"/>
                <w:szCs w:val="24"/>
                <w:color w:val="auto"/>
                <w:vertAlign w:val="superscript"/>
              </w:rPr>
              <w:t>(2)</w:t>
            </w:r>
          </w:p>
        </w:tc>
        <w:tc>
          <w:tcPr>
            <w:tcW w:w="1960" w:type="dxa"/>
            <w:vAlign w:val="bottom"/>
          </w:tcPr>
          <w:p>
            <w:pPr>
              <w:jc w:val="center"/>
              <w:ind w:left="594"/>
              <w:spacing w:after="0"/>
              <w:rPr>
                <w:sz w:val="20"/>
                <w:szCs w:val="20"/>
                <w:color w:val="auto"/>
              </w:rPr>
            </w:pPr>
            <w:r>
              <w:rPr>
                <w:rFonts w:ascii="Arial" w:cs="Arial" w:eastAsia="Arial" w:hAnsi="Arial"/>
                <w:sz w:val="18"/>
                <w:szCs w:val="18"/>
                <w:color w:val="auto"/>
                <w:w w:val="91"/>
              </w:rPr>
              <w:t>65.90%</w:t>
            </w:r>
          </w:p>
        </w:tc>
        <w:tc>
          <w:tcPr>
            <w:tcW w:w="3580" w:type="dxa"/>
            <w:vAlign w:val="bottom"/>
            <w:gridSpan w:val="3"/>
          </w:tcPr>
          <w:p>
            <w:pPr>
              <w:jc w:val="center"/>
              <w:ind w:left="857"/>
              <w:spacing w:after="0"/>
              <w:rPr>
                <w:sz w:val="20"/>
                <w:szCs w:val="20"/>
                <w:color w:val="auto"/>
              </w:rPr>
            </w:pPr>
            <w:r>
              <w:rPr>
                <w:rFonts w:ascii="Arial" w:cs="Arial" w:eastAsia="Arial" w:hAnsi="Arial"/>
                <w:sz w:val="18"/>
                <w:szCs w:val="18"/>
                <w:color w:val="auto"/>
                <w:w w:val="90"/>
              </w:rPr>
              <w:t>102.00%</w:t>
            </w:r>
          </w:p>
        </w:tc>
      </w:tr>
      <w:tr>
        <w:trPr>
          <w:trHeight w:val="243"/>
        </w:trPr>
        <w:tc>
          <w:tcPr>
            <w:tcW w:w="5120" w:type="dxa"/>
            <w:vAlign w:val="bottom"/>
            <w:shd w:val="clear" w:color="auto" w:fill="CFF0FC"/>
          </w:tcPr>
          <w:p>
            <w:pPr>
              <w:spacing w:after="0" w:line="243"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4"/>
                <w:szCs w:val="24"/>
                <w:color w:val="auto"/>
                <w:vertAlign w:val="superscript"/>
              </w:rPr>
              <w:t>(3)</w:t>
            </w:r>
          </w:p>
        </w:tc>
        <w:tc>
          <w:tcPr>
            <w:tcW w:w="1960" w:type="dxa"/>
            <w:vAlign w:val="bottom"/>
            <w:shd w:val="clear" w:color="auto" w:fill="CFF0FC"/>
          </w:tcPr>
          <w:p>
            <w:pPr>
              <w:jc w:val="center"/>
              <w:ind w:left="594"/>
              <w:spacing w:after="0"/>
              <w:rPr>
                <w:sz w:val="20"/>
                <w:szCs w:val="20"/>
                <w:color w:val="auto"/>
              </w:rPr>
            </w:pPr>
            <w:r>
              <w:rPr>
                <w:rFonts w:ascii="Arial" w:cs="Arial" w:eastAsia="Arial" w:hAnsi="Arial"/>
                <w:sz w:val="18"/>
                <w:szCs w:val="18"/>
                <w:color w:val="auto"/>
                <w:w w:val="93"/>
              </w:rPr>
              <w:t>4.80%</w:t>
            </w:r>
          </w:p>
        </w:tc>
        <w:tc>
          <w:tcPr>
            <w:tcW w:w="3580" w:type="dxa"/>
            <w:vAlign w:val="bottom"/>
            <w:gridSpan w:val="3"/>
            <w:shd w:val="clear" w:color="auto" w:fill="CFF0FC"/>
          </w:tcPr>
          <w:p>
            <w:pPr>
              <w:jc w:val="center"/>
              <w:ind w:left="857"/>
              <w:spacing w:after="0"/>
              <w:rPr>
                <w:sz w:val="20"/>
                <w:szCs w:val="20"/>
                <w:color w:val="auto"/>
              </w:rPr>
            </w:pPr>
            <w:r>
              <w:rPr>
                <w:rFonts w:ascii="Arial" w:cs="Arial" w:eastAsia="Arial" w:hAnsi="Arial"/>
                <w:sz w:val="18"/>
                <w:szCs w:val="18"/>
                <w:color w:val="auto"/>
                <w:w w:val="93"/>
              </w:rPr>
              <w:t>4.12%</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Time to maturity (years)</w:t>
            </w:r>
          </w:p>
        </w:tc>
        <w:tc>
          <w:tcPr>
            <w:tcW w:w="1960" w:type="dxa"/>
            <w:vAlign w:val="bottom"/>
          </w:tcPr>
          <w:p>
            <w:pPr>
              <w:jc w:val="center"/>
              <w:ind w:left="594"/>
              <w:spacing w:after="0"/>
              <w:rPr>
                <w:sz w:val="20"/>
                <w:szCs w:val="20"/>
                <w:color w:val="auto"/>
              </w:rPr>
            </w:pPr>
            <w:r>
              <w:rPr>
                <w:rFonts w:ascii="Arial" w:cs="Arial" w:eastAsia="Arial" w:hAnsi="Arial"/>
                <w:sz w:val="18"/>
                <w:szCs w:val="18"/>
                <w:color w:val="auto"/>
                <w:w w:val="91"/>
              </w:rPr>
              <w:t>2.73</w:t>
            </w:r>
          </w:p>
        </w:tc>
        <w:tc>
          <w:tcPr>
            <w:tcW w:w="3580" w:type="dxa"/>
            <w:vAlign w:val="bottom"/>
            <w:gridSpan w:val="3"/>
          </w:tcPr>
          <w:p>
            <w:pPr>
              <w:jc w:val="center"/>
              <w:ind w:left="857"/>
              <w:spacing w:after="0"/>
              <w:rPr>
                <w:sz w:val="20"/>
                <w:szCs w:val="20"/>
                <w:color w:val="auto"/>
              </w:rPr>
            </w:pPr>
            <w:r>
              <w:rPr>
                <w:rFonts w:ascii="Arial" w:cs="Arial" w:eastAsia="Arial" w:hAnsi="Arial"/>
                <w:sz w:val="18"/>
                <w:szCs w:val="18"/>
                <w:color w:val="auto"/>
                <w:w w:val="91"/>
              </w:rPr>
              <w:t>3.73</w:t>
            </w:r>
          </w:p>
        </w:tc>
      </w:tr>
    </w:tbl>
    <w:p>
      <w:pPr>
        <w:spacing w:after="0" w:line="107" w:lineRule="exact"/>
        <w:rPr>
          <w:sz w:val="20"/>
          <w:szCs w:val="20"/>
          <w:color w:val="auto"/>
        </w:rPr>
      </w:pPr>
    </w:p>
    <w:p>
      <w:pPr>
        <w:ind w:left="460" w:hanging="223"/>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No dividends were paid during the nine months ended September 30, 2023 and 2022.</w:t>
      </w:r>
    </w:p>
    <w:p>
      <w:pPr>
        <w:spacing w:after="0" w:line="43" w:lineRule="exact"/>
        <w:rPr>
          <w:rFonts w:ascii="Arial" w:cs="Arial" w:eastAsia="Arial" w:hAnsi="Arial"/>
          <w:sz w:val="15"/>
          <w:szCs w:val="15"/>
          <w:color w:val="auto"/>
        </w:rPr>
      </w:pPr>
    </w:p>
    <w:p>
      <w:pPr>
        <w:ind w:left="460" w:hanging="223"/>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expected volatility is based on the volatility implied by backsolving to the Public Warrant price as of the valuation date.</w:t>
      </w:r>
    </w:p>
    <w:p>
      <w:pPr>
        <w:spacing w:after="0" w:line="43" w:lineRule="exact"/>
        <w:rPr>
          <w:rFonts w:ascii="Arial" w:cs="Arial" w:eastAsia="Arial" w:hAnsi="Arial"/>
          <w:sz w:val="15"/>
          <w:szCs w:val="15"/>
          <w:color w:val="auto"/>
        </w:rPr>
      </w:pPr>
    </w:p>
    <w:p>
      <w:pPr>
        <w:ind w:left="460" w:hanging="223"/>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risk-free interest rate is based on the yield from U.S. Treasury bonds with an equivalent term to the time to maturity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changes in the fair value of warrant liabilities during the three and nine months ended September 30, 2023 and 2022:</w:t>
      </w:r>
    </w:p>
    <w:p>
      <w:pPr>
        <w:spacing w:after="0" w:line="251" w:lineRule="exact"/>
        <w:rPr>
          <w:sz w:val="20"/>
          <w:szCs w:val="20"/>
          <w:color w:val="auto"/>
        </w:rPr>
      </w:pPr>
    </w:p>
    <w:p>
      <w:pPr>
        <w:jc w:val="center"/>
        <w:ind w:left="4800"/>
        <w:spacing w:after="0"/>
        <w:rPr>
          <w:sz w:val="20"/>
          <w:szCs w:val="20"/>
          <w:color w:val="auto"/>
        </w:rPr>
      </w:pPr>
      <w:r>
        <w:rPr>
          <w:rFonts w:ascii="Arial" w:cs="Arial" w:eastAsia="Arial" w:hAnsi="Arial"/>
          <w:sz w:val="16"/>
          <w:szCs w:val="16"/>
          <w:b w:val="1"/>
          <w:bCs w:val="1"/>
          <w:color w:val="auto"/>
        </w:rPr>
        <w:t>Level 3 Liabilities (unaudited)</w:t>
      </w:r>
    </w:p>
    <w:p>
      <w:pPr>
        <w:spacing w:after="0" w:line="37"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For the Three Months Ended September 30,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8"/>
              </w:rPr>
              <w:t>Beginning Balance</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Change in Fair Value</w:t>
            </w:r>
          </w:p>
        </w:tc>
        <w:tc>
          <w:tcPr>
            <w:tcW w:w="4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7"/>
              </w:rPr>
              <w:t>Ending Balance</w:t>
            </w:r>
          </w:p>
        </w:tc>
        <w:tc>
          <w:tcPr>
            <w:tcW w:w="100" w:type="dxa"/>
            <w:vAlign w:val="bottom"/>
          </w:tcPr>
          <w:p>
            <w:pPr>
              <w:spacing w:after="0"/>
              <w:rPr>
                <w:sz w:val="14"/>
                <w:szCs w:val="14"/>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Private Placement Warrants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26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FF0FC"/>
          </w:tcPr>
          <w:p>
            <w:pPr>
              <w:spacing w:after="0"/>
              <w:rPr>
                <w:sz w:val="20"/>
                <w:szCs w:val="20"/>
                <w:color w:val="auto"/>
              </w:rPr>
            </w:pPr>
          </w:p>
        </w:tc>
      </w:tr>
      <w:tr>
        <w:trPr>
          <w:trHeight w:val="418"/>
        </w:trPr>
        <w:tc>
          <w:tcPr>
            <w:tcW w:w="4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6"/>
          </w:tcPr>
          <w:p>
            <w:pPr>
              <w:jc w:val="center"/>
              <w:ind w:left="1221"/>
              <w:spacing w:after="0"/>
              <w:rPr>
                <w:sz w:val="20"/>
                <w:szCs w:val="20"/>
                <w:color w:val="auto"/>
              </w:rPr>
            </w:pPr>
            <w:r>
              <w:rPr>
                <w:rFonts w:ascii="Arial" w:cs="Arial" w:eastAsia="Arial" w:hAnsi="Arial"/>
                <w:sz w:val="14"/>
                <w:szCs w:val="14"/>
                <w:b w:val="1"/>
                <w:bCs w:val="1"/>
                <w:color w:val="auto"/>
                <w:w w:val="93"/>
              </w:rPr>
              <w:t>For the Nine Months Ended September 30, 2023</w:t>
            </w: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580" w:type="dxa"/>
            <w:vAlign w:val="bottom"/>
          </w:tcPr>
          <w:p>
            <w:pPr>
              <w:jc w:val="right"/>
              <w:ind w:right="241"/>
              <w:spacing w:after="0"/>
              <w:rPr>
                <w:sz w:val="20"/>
                <w:szCs w:val="20"/>
                <w:color w:val="auto"/>
              </w:rPr>
            </w:pPr>
            <w:r>
              <w:rPr>
                <w:rFonts w:ascii="Arial" w:cs="Arial" w:eastAsia="Arial" w:hAnsi="Arial"/>
                <w:sz w:val="14"/>
                <w:szCs w:val="14"/>
                <w:b w:val="1"/>
                <w:bCs w:val="1"/>
                <w:color w:val="auto"/>
                <w:w w:val="98"/>
              </w:rPr>
              <w:t>Beginning 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 in Fair Value</w:t>
            </w:r>
          </w:p>
        </w:tc>
        <w:tc>
          <w:tcPr>
            <w:tcW w:w="400" w:type="dxa"/>
            <w:vAlign w:val="bottom"/>
          </w:tcPr>
          <w:p>
            <w:pPr>
              <w:spacing w:after="0"/>
              <w:rPr>
                <w:sz w:val="14"/>
                <w:szCs w:val="14"/>
                <w:color w:val="auto"/>
              </w:rPr>
            </w:pPr>
          </w:p>
        </w:tc>
        <w:tc>
          <w:tcPr>
            <w:tcW w:w="1520" w:type="dxa"/>
            <w:vAlign w:val="bottom"/>
          </w:tcPr>
          <w:p>
            <w:pPr>
              <w:jc w:val="right"/>
              <w:ind w:right="399"/>
              <w:spacing w:after="0"/>
              <w:rPr>
                <w:sz w:val="20"/>
                <w:szCs w:val="20"/>
                <w:color w:val="auto"/>
              </w:rPr>
            </w:pPr>
            <w:r>
              <w:rPr>
                <w:rFonts w:ascii="Arial" w:cs="Arial" w:eastAsia="Arial" w:hAnsi="Arial"/>
                <w:sz w:val="14"/>
                <w:szCs w:val="14"/>
                <w:b w:val="1"/>
                <w:bCs w:val="1"/>
                <w:color w:val="auto"/>
                <w:w w:val="97"/>
              </w:rPr>
              <w:t>Ending Balance</w:t>
            </w:r>
          </w:p>
        </w:tc>
        <w:tc>
          <w:tcPr>
            <w:tcW w:w="100" w:type="dxa"/>
            <w:vAlign w:val="bottom"/>
          </w:tcPr>
          <w:p>
            <w:pPr>
              <w:spacing w:after="0"/>
              <w:rPr>
                <w:sz w:val="14"/>
                <w:szCs w:val="14"/>
                <w:color w:val="auto"/>
              </w:rPr>
            </w:pPr>
          </w:p>
        </w:tc>
      </w:tr>
      <w:tr>
        <w:trPr>
          <w:trHeight w:val="23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Private Placement Warrants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6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FF0FC"/>
          </w:tcPr>
          <w:p>
            <w:pPr>
              <w:spacing w:after="0"/>
              <w:rPr>
                <w:sz w:val="20"/>
                <w:szCs w:val="20"/>
                <w:color w:val="auto"/>
              </w:rPr>
            </w:pPr>
          </w:p>
        </w:tc>
      </w:tr>
      <w:tr>
        <w:trPr>
          <w:trHeight w:val="440"/>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Level 3 Liabilities (unaudited)</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6"/>
          </w:tcPr>
          <w:p>
            <w:pPr>
              <w:jc w:val="center"/>
              <w:ind w:left="1221"/>
              <w:spacing w:after="0"/>
              <w:rPr>
                <w:sz w:val="20"/>
                <w:szCs w:val="20"/>
                <w:color w:val="auto"/>
              </w:rPr>
            </w:pPr>
            <w:r>
              <w:rPr>
                <w:rFonts w:ascii="Arial" w:cs="Arial" w:eastAsia="Arial" w:hAnsi="Arial"/>
                <w:sz w:val="14"/>
                <w:szCs w:val="14"/>
                <w:b w:val="1"/>
                <w:bCs w:val="1"/>
                <w:color w:val="auto"/>
                <w:w w:val="93"/>
              </w:rPr>
              <w:t>For the Three Months Ended September 30, 2022</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580" w:type="dxa"/>
            <w:vAlign w:val="bottom"/>
          </w:tcPr>
          <w:p>
            <w:pPr>
              <w:jc w:val="right"/>
              <w:ind w:right="241"/>
              <w:spacing w:after="0"/>
              <w:rPr>
                <w:sz w:val="20"/>
                <w:szCs w:val="20"/>
                <w:color w:val="auto"/>
              </w:rPr>
            </w:pPr>
            <w:r>
              <w:rPr>
                <w:rFonts w:ascii="Arial" w:cs="Arial" w:eastAsia="Arial" w:hAnsi="Arial"/>
                <w:sz w:val="14"/>
                <w:szCs w:val="14"/>
                <w:b w:val="1"/>
                <w:bCs w:val="1"/>
                <w:color w:val="auto"/>
                <w:w w:val="98"/>
              </w:rPr>
              <w:t>Beginning 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 in Fair Value</w:t>
            </w:r>
          </w:p>
        </w:tc>
        <w:tc>
          <w:tcPr>
            <w:tcW w:w="400" w:type="dxa"/>
            <w:vAlign w:val="bottom"/>
          </w:tcPr>
          <w:p>
            <w:pPr>
              <w:spacing w:after="0"/>
              <w:rPr>
                <w:sz w:val="14"/>
                <w:szCs w:val="14"/>
                <w:color w:val="auto"/>
              </w:rPr>
            </w:pPr>
          </w:p>
        </w:tc>
        <w:tc>
          <w:tcPr>
            <w:tcW w:w="1520" w:type="dxa"/>
            <w:vAlign w:val="bottom"/>
          </w:tcPr>
          <w:p>
            <w:pPr>
              <w:jc w:val="right"/>
              <w:ind w:right="399"/>
              <w:spacing w:after="0"/>
              <w:rPr>
                <w:sz w:val="20"/>
                <w:szCs w:val="20"/>
                <w:color w:val="auto"/>
              </w:rPr>
            </w:pPr>
            <w:r>
              <w:rPr>
                <w:rFonts w:ascii="Arial" w:cs="Arial" w:eastAsia="Arial" w:hAnsi="Arial"/>
                <w:sz w:val="14"/>
                <w:szCs w:val="14"/>
                <w:b w:val="1"/>
                <w:bCs w:val="1"/>
                <w:color w:val="auto"/>
                <w:w w:val="97"/>
              </w:rPr>
              <w:t>Ending Balance</w:t>
            </w:r>
          </w:p>
        </w:tc>
        <w:tc>
          <w:tcPr>
            <w:tcW w:w="100" w:type="dxa"/>
            <w:vAlign w:val="bottom"/>
          </w:tcPr>
          <w:p>
            <w:pPr>
              <w:spacing w:after="0"/>
              <w:rPr>
                <w:sz w:val="14"/>
                <w:szCs w:val="14"/>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Private Placement Warrants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5,287</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CFF0FC"/>
          </w:tcPr>
          <w:p>
            <w:pPr>
              <w:spacing w:after="0"/>
              <w:rPr>
                <w:sz w:val="20"/>
                <w:szCs w:val="20"/>
                <w:color w:val="auto"/>
              </w:rPr>
            </w:pPr>
          </w:p>
        </w:tc>
      </w:tr>
      <w:tr>
        <w:trPr>
          <w:trHeight w:val="418"/>
        </w:trPr>
        <w:tc>
          <w:tcPr>
            <w:tcW w:w="4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6"/>
          </w:tcPr>
          <w:p>
            <w:pPr>
              <w:jc w:val="center"/>
              <w:ind w:left="1221"/>
              <w:spacing w:after="0"/>
              <w:rPr>
                <w:sz w:val="20"/>
                <w:szCs w:val="20"/>
                <w:color w:val="auto"/>
              </w:rPr>
            </w:pPr>
            <w:r>
              <w:rPr>
                <w:rFonts w:ascii="Arial" w:cs="Arial" w:eastAsia="Arial" w:hAnsi="Arial"/>
                <w:sz w:val="14"/>
                <w:szCs w:val="14"/>
                <w:b w:val="1"/>
                <w:bCs w:val="1"/>
                <w:color w:val="auto"/>
                <w:w w:val="93"/>
              </w:rPr>
              <w:t>For the Nine Months Ended September 30, 2022</w:t>
            </w: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580" w:type="dxa"/>
            <w:vAlign w:val="bottom"/>
          </w:tcPr>
          <w:p>
            <w:pPr>
              <w:jc w:val="right"/>
              <w:ind w:right="241"/>
              <w:spacing w:after="0"/>
              <w:rPr>
                <w:sz w:val="20"/>
                <w:szCs w:val="20"/>
                <w:color w:val="auto"/>
              </w:rPr>
            </w:pPr>
            <w:r>
              <w:rPr>
                <w:rFonts w:ascii="Arial" w:cs="Arial" w:eastAsia="Arial" w:hAnsi="Arial"/>
                <w:sz w:val="14"/>
                <w:szCs w:val="14"/>
                <w:b w:val="1"/>
                <w:bCs w:val="1"/>
                <w:color w:val="auto"/>
                <w:w w:val="98"/>
              </w:rPr>
              <w:t>Beginning 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 in Fair Value</w:t>
            </w:r>
          </w:p>
        </w:tc>
        <w:tc>
          <w:tcPr>
            <w:tcW w:w="400" w:type="dxa"/>
            <w:vAlign w:val="bottom"/>
          </w:tcPr>
          <w:p>
            <w:pPr>
              <w:spacing w:after="0"/>
              <w:rPr>
                <w:sz w:val="14"/>
                <w:szCs w:val="14"/>
                <w:color w:val="auto"/>
              </w:rPr>
            </w:pPr>
          </w:p>
        </w:tc>
        <w:tc>
          <w:tcPr>
            <w:tcW w:w="1520" w:type="dxa"/>
            <w:vAlign w:val="bottom"/>
          </w:tcPr>
          <w:p>
            <w:pPr>
              <w:jc w:val="right"/>
              <w:ind w:right="399"/>
              <w:spacing w:after="0"/>
              <w:rPr>
                <w:sz w:val="20"/>
                <w:szCs w:val="20"/>
                <w:color w:val="auto"/>
              </w:rPr>
            </w:pPr>
            <w:r>
              <w:rPr>
                <w:rFonts w:ascii="Arial" w:cs="Arial" w:eastAsia="Arial" w:hAnsi="Arial"/>
                <w:sz w:val="14"/>
                <w:szCs w:val="14"/>
                <w:b w:val="1"/>
                <w:bCs w:val="1"/>
                <w:color w:val="auto"/>
                <w:w w:val="97"/>
              </w:rPr>
              <w:t>Ending Balance</w:t>
            </w:r>
          </w:p>
        </w:tc>
        <w:tc>
          <w:tcPr>
            <w:tcW w:w="100" w:type="dxa"/>
            <w:vAlign w:val="bottom"/>
          </w:tcPr>
          <w:p>
            <w:pPr>
              <w:spacing w:after="0"/>
              <w:rPr>
                <w:sz w:val="14"/>
                <w:szCs w:val="14"/>
                <w:color w:val="auto"/>
              </w:rPr>
            </w:pPr>
          </w:p>
        </w:tc>
      </w:tr>
      <w:tr>
        <w:trPr>
          <w:trHeight w:val="23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Private Placement Warrants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4,070</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CONTINGENT LIABILITIES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2022, the Company and certain of its current and former officers and directors were named as defendants in securities class action complaints filed in the United States District Court for the Southern District of New York under the case headings: (1) Baron v. Talkspace et al., No. 22-cv-00163 (S.D.N.Y.) and (2) Valdez v. Talkspace et al., No. 22-cv-00840 (S.D.N.Y.), which were subsequently consolidated under the caption </w:t>
      </w:r>
      <w:r>
        <w:rPr>
          <w:rFonts w:ascii="Arial" w:cs="Arial" w:eastAsia="Arial" w:hAnsi="Arial"/>
          <w:sz w:val="17"/>
          <w:szCs w:val="17"/>
          <w:i w:val="1"/>
          <w:iCs w:val="1"/>
          <w:color w:val="auto"/>
        </w:rPr>
        <w:t>In re Talkspace, Inc.</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Litigation</w:t>
      </w:r>
      <w:r>
        <w:rPr>
          <w:rFonts w:ascii="Arial" w:cs="Arial" w:eastAsia="Arial" w:hAnsi="Arial"/>
          <w:sz w:val="17"/>
          <w:szCs w:val="17"/>
          <w:color w:val="auto"/>
        </w:rPr>
        <w:t>, No. 22-cv-00163 (S.D.N.Y) (the “Securities Action”). The Securities Action asserts violations of sections 10(b), 14(a) and 20(a)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Exchange Act of 1934 and SEC Rules 10b-5 and 14a-9 promulgated thereunder. These actions generally relate to public disclosures and statements by the Company in connection with its merger with Hudson Executive Investment Corp. (“HEIC”).</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2022, the Company’s subsidiary Tailwind Merger Sub II, LLC, certain of the Company’s current and former directors and officers, and others were named as defendants in a putative class action complaint filed in the Delaware Court of Chancery under the case caption </w:t>
      </w:r>
      <w:r>
        <w:rPr>
          <w:rFonts w:ascii="Arial" w:cs="Arial" w:eastAsia="Arial" w:hAnsi="Arial"/>
          <w:sz w:val="18"/>
          <w:szCs w:val="18"/>
          <w:i w:val="1"/>
          <w:iCs w:val="1"/>
          <w:color w:val="auto"/>
        </w:rPr>
        <w:t>Valdez v. Braunstein, et al.,</w:t>
      </w:r>
      <w:r>
        <w:rPr>
          <w:rFonts w:ascii="Arial" w:cs="Arial" w:eastAsia="Arial" w:hAnsi="Arial"/>
          <w:sz w:val="18"/>
          <w:szCs w:val="18"/>
          <w:color w:val="auto"/>
        </w:rPr>
        <w:t xml:space="preserve"> C.A. No. 2022-1148 (Del. Ch.) (the “Delaware Action”). The Delaware Action asserts claims for breach of fiduciary duty and aiding and abetting breach of fiduciary duty relating to the merger with HEIC, among other things, based on many of the same facts at issue in the Securities Action. The complaint seeks, among other things, damages on behalf of putative class members who did not redeem their shares in connection with the Company’s merger with HEIC.</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2023, the Company resolved the Securities Action and the Delaware Action through mediation. The settlement resolves these litigations with respect to all named defendants (the "Securities Settlement"). On June 30, 2023, the court entered an order preliminarily approving the Securities Settlement. On October 30, 2023, the court granted final approval to the Securities Settlement in all respects. The defendants have not admitted any liability or wrongdoing in connection with the Securities Settlement and have entered into the Securities Settlement solely to avoid the costs, risks, distraction, and uncertainties of continued litigation of the Securities Action and Delaware Action.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and July 2022, two individuals filed stockholder derivative lawsuits on behalf of Talkspace in the United States District Court for the Southern District of New York under the case captions: (1) </w:t>
      </w:r>
      <w:r>
        <w:rPr>
          <w:rFonts w:ascii="Arial" w:cs="Arial" w:eastAsia="Arial" w:hAnsi="Arial"/>
          <w:sz w:val="18"/>
          <w:szCs w:val="18"/>
          <w:i w:val="1"/>
          <w:iCs w:val="1"/>
          <w:color w:val="auto"/>
        </w:rPr>
        <w:t>Odsvall v. Oren Frank et al.,</w:t>
      </w:r>
      <w:r>
        <w:rPr>
          <w:rFonts w:ascii="Arial" w:cs="Arial" w:eastAsia="Arial" w:hAnsi="Arial"/>
          <w:sz w:val="18"/>
          <w:szCs w:val="18"/>
          <w:color w:val="auto"/>
        </w:rPr>
        <w:t xml:space="preserve"> No. 22-cv-05016 (S.D.N.Y.) and (2) </w:t>
      </w:r>
      <w:r>
        <w:rPr>
          <w:rFonts w:ascii="Arial" w:cs="Arial" w:eastAsia="Arial" w:hAnsi="Arial"/>
          <w:sz w:val="18"/>
          <w:szCs w:val="18"/>
          <w:i w:val="1"/>
          <w:iCs w:val="1"/>
          <w:color w:val="auto"/>
        </w:rPr>
        <w:t>Nayman v. Berg, et al.,</w:t>
      </w:r>
      <w:r>
        <w:rPr>
          <w:rFonts w:ascii="Arial" w:cs="Arial" w:eastAsia="Arial" w:hAnsi="Arial"/>
          <w:sz w:val="18"/>
          <w:szCs w:val="18"/>
          <w:color w:val="auto"/>
        </w:rPr>
        <w:t xml:space="preserve"> No. 22-cv-06258 (S.D.N.Y.), which were subsequently consolidated under the caption </w:t>
      </w:r>
      <w:r>
        <w:rPr>
          <w:rFonts w:ascii="Arial" w:cs="Arial" w:eastAsia="Arial" w:hAnsi="Arial"/>
          <w:sz w:val="18"/>
          <w:szCs w:val="18"/>
          <w:i w:val="1"/>
          <w:iCs w:val="1"/>
          <w:color w:val="auto"/>
        </w:rPr>
        <w:t>In re Talkspace Stockholder Derivative Litigation</w:t>
      </w:r>
      <w:r>
        <w:rPr>
          <w:rFonts w:ascii="Arial" w:cs="Arial" w:eastAsia="Arial" w:hAnsi="Arial"/>
          <w:sz w:val="18"/>
          <w:szCs w:val="18"/>
          <w:color w:val="auto"/>
        </w:rPr>
        <w:t>, No. 22-cv-05016 (S.D.N.Y.) in September 2022 (the “Derivative Action”). The Derivative Action named certain of the Company’s current and former officers and directors as defendants and the Company as a nominal defendant. The Derivative Action asserted claims for violations of federal securities laws, breach of fiduciary duty, and aiding and abetting breaches of fiduciary duty relating to the merger with HEIC, among other things, based on many of the same facts at issue in the Securities Action.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2023 the parties reached an agreement in principle to resolve the Derivative Action with respect to all named defendants in exchange for certain changes to the Company’s Corporate Governance environment, including the declassification of the Company’s board of directors, creation of a management-level disclosure committee, enhancements to the responsibilities and duties of the Company’s Audit Committee, the addition of independent directors, enhancements to employee compliance training and retention of an internal controls consultant. In addition, the Company agreed to pay or cause to be paid $550,000 in attorney’s fees and expenses. On May 18, 2023, the parties entered into a Stipulation of Settlement and Release Agreement (the “Stipulation”) that sets forth the terms and conditions for the proposed settlement and dismissal with prejudice of the Derivative Action (the “Derivative Settlement”). On June 30, 2023, the court entered an order preliminarily approving the Stipulation and proposed Derivative Settlement and scheduling a hearing for August 16, 2023 to determine whether to give final approval to the Derivative Settlement. On August 16, 2023, the court granted final approval to the Derivative Settlement in all respects. The defendants have not admitted any liability or wrongdoing in connection with the Derivative Settlement and have entered into the Derivative Settlement solely to avoid the costs, risks, distraction, and uncertainties of continued litigation of the Derivative Action.</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foregoing, 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Warranties and Indemnification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CAPITAL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and December 31, 2022 there were outstanding 12,780,000 Private Placement Warrants and 21,350,000 Public Warrants to purchase the Company’s common stock at an exercise price of $11.50 per share. As of September 30, 2023 and December 31, 2022, no shares of preferred stock were issued or outstanding.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2021, the Company adopted the 2021 Incentive Award Plan (the “2021 Plan”) under which the Company may grant cash and equity incentive awards to officers, employees, directors, consultants and service providers in order to attract, motivate and retain the talent. The 2021 Plan replaced the Company's previous stock compensation plan.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2021, the Company also adopted the 2021 Employee Stock Purchase Plan (the “2021 ESPP”) under which employees of the Company and its participating subsidiaries are provided with the opportunity to purchase Talkspace common stock at a discount through accumulated payroll deductions during successive offering periods. As of September 30, 2023, no employee stock purchases have been made under the 2021 ESPP.</w:t>
      </w:r>
    </w:p>
    <w:p>
      <w:pPr>
        <w:spacing w:after="0" w:line="16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All stock-based awards are measured based on the grant date fair value and are generally recognized on a straight-line basis in the Company’s condensed consolidated statement of operations over the period during which the employee is required to perform services in exchange for the award (generally requiring a four-year vesting period).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total stock-based compensation expense related to stock options and restricted stock units included in the respective components of operating expenses in the condensed consolidated statements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5"/>
              </w:rPr>
              <w:t>Three Months Ended September 30,</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169"/>
        </w:trPr>
        <w:tc>
          <w:tcPr>
            <w:tcW w:w="5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net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FF0FC"/>
          </w:tcPr>
          <w:p>
            <w:pPr>
              <w:spacing w:after="0"/>
              <w:rPr>
                <w:sz w:val="21"/>
                <w:szCs w:val="2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Clinical operations, net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r>
      <w:tr>
        <w:trPr>
          <w:trHeight w:val="24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FF0FC"/>
          </w:tcPr>
          <w:p>
            <w:pPr>
              <w:spacing w:after="0"/>
              <w:rPr>
                <w:sz w:val="21"/>
                <w:szCs w:val="2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0"/>
                <w:szCs w:val="20"/>
                <w:color w:val="auto"/>
              </w:rPr>
            </w:pPr>
          </w:p>
        </w:tc>
      </w:tr>
      <w:tr>
        <w:trPr>
          <w:trHeight w:val="277"/>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3,179</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6,401</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loss per share attributable to common stockholders for the periods presented: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1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w:t>
            </w: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41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(4,414 )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(17,983 )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(17,876 )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(61,365 )</w:t>
            </w:r>
          </w:p>
        </w:tc>
      </w:tr>
      <w:tr>
        <w:trPr>
          <w:trHeight w:val="215"/>
        </w:trPr>
        <w:tc>
          <w:tcPr>
            <w:tcW w:w="4160" w:type="dxa"/>
            <w:vAlign w:val="bottom"/>
          </w:tcPr>
          <w:p>
            <w:pPr>
              <w:ind w:left="20"/>
              <w:spacing w:after="0"/>
              <w:rPr>
                <w:sz w:val="20"/>
                <w:szCs w:val="20"/>
                <w:color w:val="auto"/>
              </w:rPr>
            </w:pPr>
            <w:r>
              <w:rPr>
                <w:rFonts w:ascii="Arial" w:cs="Arial" w:eastAsia="Arial" w:hAnsi="Arial"/>
                <w:sz w:val="18"/>
                <w:szCs w:val="18"/>
                <w:color w:val="auto"/>
                <w:w w:val="93"/>
              </w:rPr>
              <w:t>Weighted-average shares used to compute net loss per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Basic and Diluted</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166,570,673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158,330,684</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164,215,802</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156,056,900</w:t>
            </w:r>
          </w:p>
        </w:tc>
        <w:tc>
          <w:tcPr>
            <w:tcW w:w="100" w:type="dxa"/>
            <w:vAlign w:val="bottom"/>
            <w:shd w:val="clear" w:color="auto" w:fill="CFF0FC"/>
          </w:tcPr>
          <w:p>
            <w:pPr>
              <w:spacing w:after="0"/>
              <w:rPr>
                <w:sz w:val="21"/>
                <w:szCs w:val="21"/>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Net loss per share: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Basic and 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(0.03 )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(0.11 )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(0.11 )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(0.39 )</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and nine months ended September 30, 2023, the following were excluded from the calculation of diluted net loss per share since each would have had an anti-dilutive effect: 11,812,822 vested and non-vested stock options outstanding, 9,609,252 non-vested and outstanding restricted stock units, 12,780,000 Private Placement Warrants and 21,350,000 Public Warrants to purchase the Company’s common stock.</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and nine months ended September 30, 2022, the following were excluded from the calculation of diluted income per share since each would have had an anti-dilutive effect: 17,746,401 vested and non-vested stock options outstanding, 6,670,934 non-vested and outstanding restricted stock units, 12,780,000 Private Placement Warrants and 21,350,000 Public Warrants to purchase the Company’s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amounts included within accrued expenses and other current liabilities as of September 30, 2023 and December 31,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September 30, 2023</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right"/>
              <w:ind w:right="635"/>
              <w:spacing w:after="0"/>
              <w:rPr>
                <w:sz w:val="20"/>
                <w:szCs w:val="20"/>
                <w:color w:val="auto"/>
              </w:rPr>
            </w:pPr>
            <w:r>
              <w:rPr>
                <w:rFonts w:ascii="Arial" w:cs="Arial" w:eastAsia="Arial" w:hAnsi="Arial"/>
                <w:sz w:val="14"/>
                <w:szCs w:val="14"/>
                <w:i w:val="1"/>
                <w:iCs w:val="1"/>
                <w:color w:val="auto"/>
              </w:rPr>
              <w:t>Unaudited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compensation</w:t>
            </w:r>
          </w:p>
        </w:tc>
        <w:tc>
          <w:tcPr>
            <w:tcW w:w="2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5,258</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User acquisition</w:t>
            </w: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1,660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Professional fees</w:t>
            </w:r>
          </w:p>
        </w:tc>
        <w:tc>
          <w:tcPr>
            <w:tcW w:w="2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Litigation costs</w:t>
            </w:r>
          </w:p>
        </w:tc>
        <w:tc>
          <w:tcPr>
            <w:tcW w:w="2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10,717</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16,502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80" w:type="dxa"/>
            <w:vAlign w:val="bottom"/>
            <w:vMerge w:val="restart"/>
          </w:tcPr>
          <w:p>
            <w:pPr>
              <w:jc w:val="right"/>
              <w:ind w:right="89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4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-668020</wp:posOffset>
            </wp:positionV>
            <wp:extent cx="7747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VARIABLE INTEREST ENTITIES ("VIEs")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holds a variable interest in Talkspace Provider Network, PA (“TPN”) and eight affiliated professional corporations (“PC entities”). TPN and the PC entities are VIEs. Under the provisions of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determined that it is able to direct the activities of TPN and the PC entities that most significantly impact their economic performance and it funds and absorbs all losses of these VIEs resulting in the Company being the primary beneficiary of these entities. Accordingly, the Company consolidates these VIEs.</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table details the assets and liabilities of the Company's consolidated VIEs as of September 30, 2023 and December 31, 2022. The assets and liabilities in the table below are presented prior to consolidation and thus a portion of these assets and liabilities are eliminated in consolidation.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7"/>
              </w:rPr>
              <w:t>September 30, 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535"/>
              <w:spacing w:after="0"/>
              <w:rPr>
                <w:sz w:val="20"/>
                <w:szCs w:val="20"/>
                <w:color w:val="auto"/>
              </w:rPr>
            </w:pPr>
            <w:r>
              <w:rPr>
                <w:rFonts w:ascii="Arial" w:cs="Arial" w:eastAsia="Arial" w:hAnsi="Arial"/>
                <w:sz w:val="14"/>
                <w:szCs w:val="14"/>
                <w:i w:val="1"/>
                <w:iCs w:val="1"/>
                <w:color w:val="auto"/>
              </w:rPr>
              <w:t>Unaudited</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343</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2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8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10,017</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4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8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3,117</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20" w:type="dxa"/>
            <w:vAlign w:val="bottom"/>
            <w:vMerge w:val="restart"/>
          </w:tcPr>
          <w:p>
            <w:pPr>
              <w:jc w:val="right"/>
              <w:ind w:right="1430"/>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-882015</wp:posOffset>
            </wp:positionV>
            <wp:extent cx="1388745"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88745" cy="1797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-548005</wp:posOffset>
            </wp:positionV>
            <wp:extent cx="7747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in this section as to “Talkspace,” the “Company,” “we,” “us” or “our” refer to the business of Talkspace, Inc. and its consolidated subsidiaries.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2022.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2022 and “Forward-Looking Statements” sections and elsewhere in this Quarterly Report, our actual results may differ materially from those anticipated in these forward-looking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this section is to discuss and analyze our consolidated financial condition, liquidity and capital resources and results of operations for the three and nine months ended September 30,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Talkspace is a healthcare company offering its members convenient and affordable access to a fully-credentialed network of highly qualified providers. We are a leading virtual behavioral health company and, since Talkspace’s founding, we have connected millions of patients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business-to-business (“B2B”) channel, comprised of large health plans and employee assistance programs (“Payors”) such as Aetna, Cigna, Premera and Optum and large enterprise clients (“DTE”) such as Google and the University of Kentucky, (collectively, our “clients”), who offer their insured members and employees access to our platform at in-network reimbursement rates, or while their employer is under an active contract with Talkspace, where applicable, and our business-to-consumer (“Consumer”) channel, comprised of individual consumers who subscribe directly to our platform.</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2023, we had approximately 113 million B2B eligible lives and approximately 13,300 consumer active members compared to 86 million B2B eligible lives and 17,900 consumer active members as of September 30, 2022. For the three and nine months ended September 30, 2023, our clinicians completed 228,600 and 600,800 B2B sessions, respectively, related to members covered under our health plan clients, as compared to 111,400 and 298,000 completed B2B sessions for the three and nine months ended September 30, 2022. Please refer to the “Key Business Metrics” section below for a description of active members and B2B eligible lives.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External Factors that Affect our Business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to a number of external factors that may adversely affect our business and the price of our securities. These factors, and other factors, are discussed below and under the heading “Forward-Looking Statements,” and in Part I—Item 1A—Risk Factors in our Annual Report on Form 10-K for the year ended December 31, 2022 and in Item 1A—“Risk Factors” in this Quarterly Report on Form 10-Q for the quarterly period ended September 30, 2023.</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 I—Item 1A—Risk Factors—General Risk Factors in our Annual Report on Form 10-K for the year ended December 31, 2022, we discussed how general worldwide economic conditions, uncertainty and downturns could disproportionately affect the demand for our solution and negatively impact our results of operations. The demand for our service is dependent on the general economy, which is in turn affected by geopolitical conditions and the stability of the global credit markets. The ongoing and potential future impacts of escalating global conflicts, including those between Russia and Ukraine and in the Middle East, has heightened global economic and geopolitical uncertainty.</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we have a small back-office presence in Israel, none of our global operations are dependent on those operations and we can use other locations and employees to fully supplement the work conducted in Israel. Any impact of this conflict on our business is limited to the conflict’s impact on global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as a single segment and as one reporting unit, which is how the chief operating decision maker (who is the chief executive officer) reviews financial performance and allocates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460" w:type="dxa"/>
            <w:vAlign w:val="bottom"/>
            <w:gridSpan w:val="3"/>
          </w:tcPr>
          <w:p>
            <w:pPr>
              <w:jc w:val="center"/>
              <w:ind w:left="977"/>
              <w:spacing w:after="0"/>
              <w:rPr>
                <w:sz w:val="20"/>
                <w:szCs w:val="20"/>
                <w:color w:val="auto"/>
              </w:rPr>
            </w:pPr>
            <w:r>
              <w:rPr>
                <w:rFonts w:ascii="Arial" w:cs="Arial" w:eastAsia="Arial" w:hAnsi="Arial"/>
                <w:sz w:val="14"/>
                <w:szCs w:val="14"/>
                <w:b w:val="1"/>
                <w:bCs w:val="1"/>
                <w:color w:val="auto"/>
                <w:w w:val="94"/>
              </w:rPr>
              <w:t>Nine Months Ended</w:t>
            </w:r>
          </w:p>
        </w:tc>
        <w:tc>
          <w:tcPr>
            <w:tcW w:w="1060" w:type="dxa"/>
            <w:vAlign w:val="bottom"/>
          </w:tcPr>
          <w:p>
            <w:pPr>
              <w:spacing w:after="0"/>
              <w:rPr>
                <w:sz w:val="14"/>
                <w:szCs w:val="14"/>
                <w:color w:val="auto"/>
              </w:rPr>
            </w:pPr>
          </w:p>
        </w:tc>
      </w:tr>
      <w:tr>
        <w:trPr>
          <w:trHeight w:val="185"/>
        </w:trPr>
        <w:tc>
          <w:tcPr>
            <w:tcW w:w="7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w:t>
            </w:r>
          </w:p>
        </w:tc>
        <w:tc>
          <w:tcPr>
            <w:tcW w:w="2460" w:type="dxa"/>
            <w:vAlign w:val="bottom"/>
            <w:tcBorders>
              <w:bottom w:val="single" w:sz="8" w:color="auto"/>
            </w:tcBorders>
            <w:gridSpan w:val="3"/>
          </w:tcPr>
          <w:p>
            <w:pPr>
              <w:jc w:val="center"/>
              <w:ind w:left="977"/>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number of health plan and enterprise clients or otherwise indicated)</w:t>
            </w:r>
          </w:p>
        </w:tc>
        <w:tc>
          <w:tcPr>
            <w:tcW w:w="16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Number of B2B eligible lives at period end </w:t>
            </w:r>
            <w:r>
              <w:rPr>
                <w:rFonts w:ascii="Arial" w:cs="Arial" w:eastAsia="Arial" w:hAnsi="Arial"/>
                <w:sz w:val="18"/>
                <w:szCs w:val="18"/>
                <w:i w:val="1"/>
                <w:iCs w:val="1"/>
                <w:color w:val="auto"/>
              </w:rPr>
              <w:t>(in millions)</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Number of completed B2B sessions during the period</w:t>
            </w:r>
          </w:p>
        </w:tc>
        <w:tc>
          <w:tcPr>
            <w:tcW w:w="1680" w:type="dxa"/>
            <w:vAlign w:val="bottom"/>
          </w:tcPr>
          <w:p>
            <w:pPr>
              <w:jc w:val="right"/>
              <w:spacing w:after="0"/>
              <w:rPr>
                <w:sz w:val="20"/>
                <w:szCs w:val="20"/>
                <w:color w:val="auto"/>
              </w:rPr>
            </w:pPr>
            <w:r>
              <w:rPr>
                <w:rFonts w:ascii="Arial" w:cs="Arial" w:eastAsia="Arial" w:hAnsi="Arial"/>
                <w:sz w:val="18"/>
                <w:szCs w:val="18"/>
                <w:color w:val="auto"/>
              </w:rPr>
              <w:t>600.8</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298.0</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health plan clients at period end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Number of enterprise clients at period end</w:t>
            </w:r>
          </w:p>
        </w:tc>
        <w:tc>
          <w:tcPr>
            <w:tcW w:w="1680" w:type="dxa"/>
            <w:vAlign w:val="bottom"/>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Consumer active members at period end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B2B Eligible Lives: </w:t>
      </w:r>
      <w:r>
        <w:rPr>
          <w:rFonts w:ascii="Arial" w:cs="Arial" w:eastAsia="Arial" w:hAnsi="Arial"/>
          <w:sz w:val="18"/>
          <w:szCs w:val="18"/>
          <w:color w:val="auto"/>
        </w:rPr>
        <w:t>We consider B2B lives “eligible” if such persons are eligible to receive treatment on the Talkspace platform, in the case of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plan 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B2B eligible lives calculation, which may cause this amount to reflect a higher number of B2B eligible lives than we actually serve.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Active Members: </w:t>
      </w:r>
      <w:r>
        <w:rPr>
          <w:rFonts w:ascii="Arial" w:cs="Arial" w:eastAsia="Arial" w:hAnsi="Arial"/>
          <w:sz w:val="17"/>
          <w:szCs w:val="17"/>
          <w:color w:val="auto"/>
        </w:rPr>
        <w:t>We consider members “active”, in the case of our Consumer members, commencing on the date such member initiates contact with a</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 on our platform until the term of their monthly, quarterly or bi-annual subscription plan expires, unless terminated early.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contract with health insurance plans, employee assistance organizations and enterprises to provide services to individuals who are qualified to receive access to the Company’s services through the Company’s commercial arrangements. We generate revenues from payments from insured members and claims paid by their respective insurance companies and from contracted platform access fees paid to us by our enterprise clients for the delivery of therapy services to their members or employees. We recognize revenues from services provided to insured members at a point in time, as virtual therapy or psychiatry session is rendered. We recognize revenue from our enterprise clients ratably over the contractual term based primarily on a per-member-per-month access fee model.</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generate revenues from the sale of monthly, quarterly, bi-annual and annual membership subscriptions to the Company's therapy platform as well as supplementary a la carte offerings directly to individual consumers through a subscription plan. We recognize member subscription revenues ratably over the subscription period, beginning when therapy services commence. We recognize revenues from supplementary a la carte offerings at a point in time, as virtual therapy session is rendered. Members may cancel their subscription at any time and will receive a pro-rata refund for the subscription price.</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Revenue growth is generated from increasing our eligible covered lives through contracting with health plans, increasing utilization within eligible covered lives, expanding enterprise clients, and increasing membership subscriptions.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revenues is comprised primarily of therapist payments. Cost of revenues is largely driven by number of sessions and the size of our provider network that is required to service the growth of our health plan and enterprise clients, in addition to the growth of our customer base.</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In addition, our network supervisors have authority to approve the payment of incentive bonuses to providers with certain licenses during periods of higher demand for providers with such licenses. For our employee providers, they receive a fixed-salary and discretionary bonuses, where applicable, all of which is included in cost of revenues.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expect to make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factors as well as pricing fluctuations.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consist of research and development, clinical operations, sales and marketing, and general and administrative expenses.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Operations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Clinical operations expenses are associated with the management of our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expenses consist primarily of employee-related expenses, including salaries, benefits, commissions, travel and stock-based compensation costs for our employees engaged in sales and account management.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health plan and enterprise clients.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consist primarily of personnel costs, including salaries, benefits, bonuses and stock-based compensation expense for certain executives, finance, accounting, legal and human resources functions, as well as professional fees, occupancy costs, and other general overhead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net</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Financial income, net includes the impact from (i) non-cash changes in the fair value of our warrant liabilities, (ii) interest earned on cash equivalents deposited in our money market accounts and (iii) other financial expenses in connection with bank charges.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Immaterial taxes on income consists primarily of foreign income taxes related to income generated by our subsidiary organized under the laws of Israel.</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results of operations for the three and nine months ended September 30, 2023 and 2022 and the dollar and percentage change between the respective periods: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5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6"/>
                <w:szCs w:val="16"/>
                <w:color w:val="auto"/>
              </w:rPr>
            </w:pPr>
          </w:p>
        </w:tc>
        <w:tc>
          <w:tcPr>
            <w:tcW w:w="11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9"/>
              </w:rPr>
              <w:t>Variance</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6"/>
                <w:szCs w:val="16"/>
                <w:color w:val="auto"/>
              </w:rPr>
            </w:pPr>
          </w:p>
        </w:tc>
        <w:tc>
          <w:tcPr>
            <w:tcW w:w="11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9"/>
              </w:rPr>
              <w:t>Variance</w:t>
            </w:r>
          </w:p>
        </w:tc>
        <w:tc>
          <w:tcPr>
            <w:tcW w:w="500" w:type="dxa"/>
            <w:vAlign w:val="bottom"/>
            <w:tcBorders>
              <w:bottom w:val="single" w:sz="8" w:color="auto"/>
            </w:tcBorders>
          </w:tcPr>
          <w:p>
            <w:pPr>
              <w:spacing w:after="0"/>
              <w:rPr>
                <w:sz w:val="16"/>
                <w:szCs w:val="16"/>
                <w:color w:val="auto"/>
              </w:rPr>
            </w:pPr>
          </w:p>
        </w:tc>
      </w:tr>
      <w:tr>
        <w:trPr>
          <w:trHeight w:val="169"/>
        </w:trPr>
        <w:tc>
          <w:tcPr>
            <w:tcW w:w="2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w:t>
            </w:r>
          </w:p>
        </w:tc>
        <w:tc>
          <w:tcPr>
            <w:tcW w:w="122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r>
      <w:tr>
        <w:trPr>
          <w:trHeight w:val="223"/>
        </w:trPr>
        <w:tc>
          <w:tcPr>
            <w:tcW w:w="2400" w:type="dxa"/>
            <w:vAlign w:val="bottom"/>
          </w:tcPr>
          <w:p>
            <w:pPr>
              <w:ind w:left="20"/>
              <w:spacing w:after="0"/>
              <w:rPr>
                <w:sz w:val="20"/>
                <w:szCs w:val="20"/>
                <w:color w:val="auto"/>
              </w:rPr>
            </w:pPr>
            <w:r>
              <w:rPr>
                <w:rFonts w:ascii="Arial" w:cs="Arial" w:eastAsia="Arial" w:hAnsi="Arial"/>
                <w:sz w:val="14"/>
                <w:szCs w:val="14"/>
                <w:color w:val="auto"/>
              </w:rPr>
              <w:t>Revenue:</w:t>
            </w: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r>
      <w:tr>
        <w:trPr>
          <w:trHeight w:val="176"/>
        </w:trPr>
        <w:tc>
          <w:tcPr>
            <w:tcW w:w="2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Payor revenue</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$22,112</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$9,513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12,599</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$55,462</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$25,503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29,959</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w:t>
            </w:r>
          </w:p>
        </w:tc>
      </w:tr>
      <w:tr>
        <w:trPr>
          <w:trHeight w:val="176"/>
        </w:trPr>
        <w:tc>
          <w:tcPr>
            <w:tcW w:w="2400" w:type="dxa"/>
            <w:vAlign w:val="bottom"/>
          </w:tcPr>
          <w:p>
            <w:pPr>
              <w:ind w:left="240"/>
              <w:spacing w:after="0"/>
              <w:rPr>
                <w:sz w:val="20"/>
                <w:szCs w:val="20"/>
                <w:color w:val="auto"/>
              </w:rPr>
            </w:pPr>
            <w:r>
              <w:rPr>
                <w:rFonts w:ascii="Arial" w:cs="Arial" w:eastAsia="Arial" w:hAnsi="Arial"/>
                <w:sz w:val="14"/>
                <w:szCs w:val="14"/>
                <w:color w:val="auto"/>
              </w:rPr>
              <w:t>DTE revenue</w:t>
            </w:r>
          </w:p>
        </w:tc>
        <w:tc>
          <w:tcPr>
            <w:tcW w:w="1220" w:type="dxa"/>
            <w:vAlign w:val="bottom"/>
          </w:tcPr>
          <w:p>
            <w:pPr>
              <w:jc w:val="right"/>
              <w:spacing w:after="0"/>
              <w:rPr>
                <w:sz w:val="20"/>
                <w:szCs w:val="20"/>
                <w:color w:val="auto"/>
              </w:rPr>
            </w:pPr>
            <w:r>
              <w:rPr>
                <w:rFonts w:ascii="Arial" w:cs="Arial" w:eastAsia="Arial" w:hAnsi="Arial"/>
                <w:sz w:val="14"/>
                <w:szCs w:val="14"/>
                <w:color w:val="auto"/>
              </w:rPr>
              <w:t>8,002</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7,280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722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9.9</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24,717</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19,626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5,091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25.9</w:t>
            </w:r>
          </w:p>
        </w:tc>
      </w:tr>
      <w:tr>
        <w:trPr>
          <w:trHeight w:val="175"/>
        </w:trPr>
        <w:tc>
          <w:tcPr>
            <w:tcW w:w="24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Total B2B revenue</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30,114</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16,793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13,321</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79.3</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80,179</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45,129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35,050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w:t>
            </w:r>
          </w:p>
        </w:tc>
      </w:tr>
      <w:tr>
        <w:trPr>
          <w:trHeight w:val="176"/>
        </w:trPr>
        <w:tc>
          <w:tcPr>
            <w:tcW w:w="2400" w:type="dxa"/>
            <w:vAlign w:val="bottom"/>
          </w:tcPr>
          <w:p>
            <w:pPr>
              <w:ind w:left="100"/>
              <w:spacing w:after="0"/>
              <w:rPr>
                <w:sz w:val="20"/>
                <w:szCs w:val="20"/>
                <w:color w:val="auto"/>
              </w:rPr>
            </w:pPr>
            <w:r>
              <w:rPr>
                <w:rFonts w:ascii="Arial" w:cs="Arial" w:eastAsia="Arial" w:hAnsi="Arial"/>
                <w:sz w:val="14"/>
                <w:szCs w:val="14"/>
                <w:color w:val="auto"/>
              </w:rPr>
              <w:t>Consumer revenue</w:t>
            </w:r>
          </w:p>
        </w:tc>
        <w:tc>
          <w:tcPr>
            <w:tcW w:w="1220" w:type="dxa"/>
            <w:vAlign w:val="bottom"/>
          </w:tcPr>
          <w:p>
            <w:pPr>
              <w:jc w:val="right"/>
              <w:spacing w:after="0"/>
              <w:rPr>
                <w:sz w:val="20"/>
                <w:szCs w:val="20"/>
                <w:color w:val="auto"/>
              </w:rPr>
            </w:pPr>
            <w:r>
              <w:rPr>
                <w:rFonts w:ascii="Arial" w:cs="Arial" w:eastAsia="Arial" w:hAnsi="Arial"/>
                <w:sz w:val="14"/>
                <w:szCs w:val="14"/>
                <w:color w:val="auto"/>
              </w:rPr>
              <w:t>8,532</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12,539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(4,007)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(32.0)</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27,448</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44,197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(16,749)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175"/>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revenue</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38,646</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29,332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9,314</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107,627</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89,326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18,301</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w:t>
            </w:r>
          </w:p>
        </w:tc>
      </w:tr>
      <w:tr>
        <w:trPr>
          <w:trHeight w:val="176"/>
        </w:trPr>
        <w:tc>
          <w:tcPr>
            <w:tcW w:w="240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1220" w:type="dxa"/>
            <w:vAlign w:val="bottom"/>
          </w:tcPr>
          <w:p>
            <w:pPr>
              <w:jc w:val="right"/>
              <w:spacing w:after="0"/>
              <w:rPr>
                <w:sz w:val="20"/>
                <w:szCs w:val="20"/>
                <w:color w:val="auto"/>
              </w:rPr>
            </w:pPr>
            <w:r>
              <w:rPr>
                <w:rFonts w:ascii="Arial" w:cs="Arial" w:eastAsia="Arial" w:hAnsi="Arial"/>
                <w:sz w:val="14"/>
                <w:szCs w:val="14"/>
                <w:color w:val="auto"/>
              </w:rPr>
              <w:t>19,797</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14,737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5,060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34.3</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54,218</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45,163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9,055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176"/>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Gross profit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18,849</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14,595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4,254</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53,409</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44,163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9,246</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w:t>
            </w:r>
          </w:p>
        </w:tc>
      </w:tr>
      <w:tr>
        <w:trPr>
          <w:trHeight w:val="175"/>
        </w:trPr>
        <w:tc>
          <w:tcPr>
            <w:tcW w:w="2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Research and development, net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4,180</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6,073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(1,893)</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13,704</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16,869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(3,165)</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w:t>
            </w:r>
          </w:p>
        </w:tc>
      </w:tr>
      <w:tr>
        <w:trPr>
          <w:trHeight w:val="175"/>
        </w:trPr>
        <w:tc>
          <w:tcPr>
            <w:tcW w:w="2400" w:type="dxa"/>
            <w:vAlign w:val="bottom"/>
          </w:tcPr>
          <w:p>
            <w:pPr>
              <w:ind w:left="20"/>
              <w:spacing w:after="0"/>
              <w:rPr>
                <w:sz w:val="20"/>
                <w:szCs w:val="20"/>
                <w:color w:val="auto"/>
              </w:rPr>
            </w:pPr>
            <w:r>
              <w:rPr>
                <w:rFonts w:ascii="Arial" w:cs="Arial" w:eastAsia="Arial" w:hAnsi="Arial"/>
                <w:sz w:val="14"/>
                <w:szCs w:val="14"/>
                <w:color w:val="auto"/>
              </w:rPr>
              <w:t>Clinical operations, net</w:t>
            </w:r>
          </w:p>
        </w:tc>
        <w:tc>
          <w:tcPr>
            <w:tcW w:w="1220" w:type="dxa"/>
            <w:vAlign w:val="bottom"/>
          </w:tcPr>
          <w:p>
            <w:pPr>
              <w:jc w:val="right"/>
              <w:spacing w:after="0"/>
              <w:rPr>
                <w:sz w:val="20"/>
                <w:szCs w:val="20"/>
                <w:color w:val="auto"/>
              </w:rPr>
            </w:pPr>
            <w:r>
              <w:rPr>
                <w:rFonts w:ascii="Arial" w:cs="Arial" w:eastAsia="Arial" w:hAnsi="Arial"/>
                <w:sz w:val="14"/>
                <w:szCs w:val="14"/>
                <w:color w:val="auto"/>
              </w:rPr>
              <w:t>1,405</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2,387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(982)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(41.1)</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4,681</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6,257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(1,576)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(25.2)</w:t>
            </w:r>
          </w:p>
        </w:tc>
      </w:tr>
      <w:tr>
        <w:trPr>
          <w:trHeight w:val="176"/>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Sales and marketing</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13,184</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18,511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(5,327)</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39,698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60,098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(20,400)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w:t>
            </w:r>
          </w:p>
        </w:tc>
      </w:tr>
      <w:tr>
        <w:trPr>
          <w:trHeight w:val="175"/>
        </w:trPr>
        <w:tc>
          <w:tcPr>
            <w:tcW w:w="24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220" w:type="dxa"/>
            <w:vAlign w:val="bottom"/>
          </w:tcPr>
          <w:p>
            <w:pPr>
              <w:jc w:val="right"/>
              <w:spacing w:after="0"/>
              <w:rPr>
                <w:sz w:val="20"/>
                <w:szCs w:val="20"/>
                <w:color w:val="auto"/>
              </w:rPr>
            </w:pPr>
            <w:r>
              <w:rPr>
                <w:rFonts w:ascii="Arial" w:cs="Arial" w:eastAsia="Arial" w:hAnsi="Arial"/>
                <w:sz w:val="14"/>
                <w:szCs w:val="14"/>
                <w:color w:val="auto"/>
              </w:rPr>
              <w:t>5,259</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7,475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(2,216)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(29.6)</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15,952</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23,066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(7,114)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176"/>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operating expenses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24,028</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34,446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(10,418)</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74,035</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106,290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(32,255)</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w:t>
            </w:r>
          </w:p>
        </w:tc>
      </w:tr>
      <w:tr>
        <w:trPr>
          <w:trHeight w:val="176"/>
        </w:trPr>
        <w:tc>
          <w:tcPr>
            <w:tcW w:w="240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220" w:type="dxa"/>
            <w:vAlign w:val="bottom"/>
          </w:tcPr>
          <w:p>
            <w:pPr>
              <w:jc w:val="right"/>
              <w:spacing w:after="0"/>
              <w:rPr>
                <w:sz w:val="20"/>
                <w:szCs w:val="20"/>
                <w:color w:val="auto"/>
              </w:rPr>
            </w:pPr>
            <w:r>
              <w:rPr>
                <w:rFonts w:ascii="Arial" w:cs="Arial" w:eastAsia="Arial" w:hAnsi="Arial"/>
                <w:sz w:val="14"/>
                <w:szCs w:val="14"/>
                <w:color w:val="auto"/>
              </w:rPr>
              <w:t>(5,179)</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(19,851)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14,672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73.9</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(20,626)</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(62,127)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41,501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66.8</w:t>
            </w:r>
          </w:p>
        </w:tc>
      </w:tr>
      <w:tr>
        <w:trPr>
          <w:trHeight w:val="175"/>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Financial (income), net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(1,885)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1,106</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(2,915)</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(889)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(2,026)</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227.9</w:t>
            </w:r>
          </w:p>
        </w:tc>
      </w:tr>
      <w:tr>
        <w:trPr>
          <w:trHeight w:val="176"/>
        </w:trPr>
        <w:tc>
          <w:tcPr>
            <w:tcW w:w="2400" w:type="dxa"/>
            <w:vAlign w:val="bottom"/>
          </w:tcPr>
          <w:p>
            <w:pPr>
              <w:ind w:left="20"/>
              <w:spacing w:after="0"/>
              <w:rPr>
                <w:sz w:val="20"/>
                <w:szCs w:val="20"/>
                <w:color w:val="auto"/>
              </w:rPr>
            </w:pPr>
            <w:r>
              <w:rPr>
                <w:rFonts w:ascii="Arial" w:cs="Arial" w:eastAsia="Arial" w:hAnsi="Arial"/>
                <w:sz w:val="14"/>
                <w:szCs w:val="14"/>
                <w:color w:val="auto"/>
              </w:rPr>
              <w:t>Loss before taxes on income</w:t>
            </w:r>
          </w:p>
        </w:tc>
        <w:tc>
          <w:tcPr>
            <w:tcW w:w="1220" w:type="dxa"/>
            <w:vAlign w:val="bottom"/>
          </w:tcPr>
          <w:p>
            <w:pPr>
              <w:jc w:val="right"/>
              <w:spacing w:after="0"/>
              <w:rPr>
                <w:sz w:val="20"/>
                <w:szCs w:val="20"/>
                <w:color w:val="auto"/>
              </w:rPr>
            </w:pPr>
            <w:r>
              <w:rPr>
                <w:rFonts w:ascii="Arial" w:cs="Arial" w:eastAsia="Arial" w:hAnsi="Arial"/>
                <w:sz w:val="14"/>
                <w:szCs w:val="14"/>
                <w:color w:val="auto"/>
              </w:rPr>
              <w:t>(4,400)</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(17,966)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13,566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75.5</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(17,711)</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(61,238)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43,527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71.1</w:t>
            </w:r>
          </w:p>
        </w:tc>
      </w:tr>
      <w:tr>
        <w:trPr>
          <w:trHeight w:val="175"/>
        </w:trPr>
        <w:tc>
          <w:tcPr>
            <w:tcW w:w="2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Taxes on income</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w:t>
            </w:r>
          </w:p>
        </w:tc>
      </w:tr>
      <w:tr>
        <w:trPr>
          <w:trHeight w:val="182"/>
        </w:trPr>
        <w:tc>
          <w:tcPr>
            <w:tcW w:w="2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$(4,414)</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$(17,983)</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$13,569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75.5</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$(17,876)</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$(61,365)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$43,489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70.9</w:t>
            </w:r>
          </w:p>
        </w:tc>
      </w:tr>
    </w:tbl>
    <w:p>
      <w:pPr>
        <w:spacing w:after="0" w:line="2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Revenues increased by $9.3 million, or 31.8% to $38.6 million for the three months ended September 30, 2023 from $29.3 million for the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September 30, 2022. The increase was principally due to a 79.3% growth in B2B revenue driven by a higher number of completed B2B sessions and an increase in covered lives from health plan clients ("Payors"), partially offset by a 32.0% decline in consumer subscription revenue. Revenue from our health plan clients increased by $12.6 million, or 132.4%, to $22.1 million for the three months ended September 30, 2023 from $9.5 million for the three months ended September 30, 2022. DTE revenue increased by $0.7 million, or 9.9% to $8.0 million for the three months ended September 30, 2023 from $7.3 million for the three months ended September 30, 2022. Consumer subscriptions revenue decreased by $4.0 million, or 32.0%, to $8.5 million for the three months ended September 30, 2023 from $12.5 million for the three months ended September 30, 2022, due to the Company's intentional and strategic decision to reduce marketing spend related to this service.</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by $18.3 million, or 20.5% to $107.6 million for the nine months ended September 30, 2023 from $89.3 million for the nine months ended September 30, 2022. The increase was principally due to a 77.7% growth in B2B revenue driven by a higher number of completed B2B sessions and an increase in covered lives from Payors, partially offset by a 37.9% decline in consumer subscription revenue. Revenue from our health plan clients increased by $30.0 million, or 117.5%, to $55.5 million for the nine months ended September 30, 2023 from $25.5 million for the nine months ended September 30, 2022. DTE revenue increased by $5.1 million, or 25.9% to $24.7 million for the nine months ended September 30, 2023 from $19.6 million for the nine months ended September 30, 2022. Consumer subscriptions revenue decreased by $16.7 million, or 37.9%, to $27.4 million for the nine months ended September 30, 2023 from $44.2 million for the nine months ended September 30, 2022, due to the Company's intentional and strategic decision to reduce marketing spend related to this service.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6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Costs of revenues. </w:t>
      </w:r>
      <w:r>
        <w:rPr>
          <w:rFonts w:ascii="Arial" w:cs="Arial" w:eastAsia="Arial" w:hAnsi="Arial"/>
          <w:sz w:val="17"/>
          <w:szCs w:val="17"/>
          <w:color w:val="auto"/>
        </w:rPr>
        <w:t>Cost of revenues increased by $5.1 million, or 34.3%, to $19.8 million for the three months ended September 30, 2023 from $14.7</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for the three months ended September 30, 2022, and increased by $9.1 million, or 20.0%, to $54.2 million for the nine months ended September 30, 2023 from $45.2 million for the nine months ended September 30, 2022. The increase in cost of revenues for the three and nine months ended September 30, 2023, was primarily due to increased hours worked by therapists to meet strong customer engagement.</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Gross profit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Gross profit increased by $4.3 million, or 29.1%, to $18.8 million for the three months ended September 30, 2023 from $14.6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September 30, 2022. Gross profit increased by $9.2 million, or 20.9%, to $53.4 million for the nine months ended September 30, 2023 from $44.2 million for the nine months ended September 30, 2022. The increase in gross profit for the three months ended September 30, 2023 was primarily driven by an increase in B2B revenues. The increase in gross profit for the nine months ended September 30, 2023 was primarily driven by an increase in B2B revenues and higher provider network productivity.</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Gross margin was 48.8% for the three months ended September 30, 2023, compared to 49.8% during the three months ended September 30, 2022. Gross margin was 49.6% for the nine months ended September 30, 2023, compared to 49.4% during the nine months ended September 30, 2022. The decrease in gross margin for the three months ended September 30, 2023 was primarily driven by a shift in revenue mix towards Payor. The increase in gross margin for the nine months ended September 30, 2023 was primarily due to higher B2B revenues, partially offset by a shift in revenue mix towards payor revenue.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Overall, our operating expenses for the three and nine months ended September 30, 2023 have decreased due to our efficiency initiatives in order to optimize for profitability.</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Research and development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expenses decreased by $1.9 million, or 31.2% to $4.2 million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2023 from $6.1 million for the three months ended September 30, 2022, and decreased by $3.2 million, or 18.8% to $13.7 million for the nine months ended September 30, 2023 from $16.9 million for the nine months ended September 30, 2022. The decrease in research and development expenses for the three and nine months ended September 30, 2023 was primarily due to a decrease in employee-related costs, inclusive of non-cash stock compensation expense.</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Clinical operations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operations expenses decreased by $1.0 million, or 41.1% to $1.4 million for the three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2023 from $2.4 million for the three months ended September 30, 2022, and decreased by $1.6 million, or 25.2% to $4.7 million for the nine months ended September 30, 2023 from $6.3 million for the nine months ended September 30, 2022. The decrease in clinical operations expenses for the three months ended September 30, 2023 was primarily due to lower provider recruitment costs and employee-related costs, inclusive of non-cash stock compensation expense. The decrease in clinical operations expenses for the nine months ended September 30, 2023 was primarily due to lower provider recruitment costs.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Sales and marketing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marketing expenses decreased by $5.3 million, or 28.8%, to $13.2 million for the three months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2023 from $18.5 million for the three months ended September 30, 2022, and decreased by $20.4 million, or 33.9%, to $39.7 million for the nine months ended September 30, 2023 from $60.1 million for the nine months ended September 30, 2022. The decrease in sales and marketing expenses for the three and nine months ended September 30, 2023 was primarily driven by a decrease in direct marketing and promotional costs, subcontractor costs and employee-related costs, inclusive of non-cash stock compensation expense.</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General and administrative expenses decreased by $2.2 million, or 29.6%, to $5.3 million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2023 from $7.5 million for the three months ended September 30, 2022, and decreased by $7.1 million, or 30.8%, to $16.0 million for the nine months ended September 30, 2023 from $23.1 million for the nine months ended September 30, 2022. The decrease in general and administrative expenses for the three and nine months ended September 30, 2023 was primarily due to a decrease in professional fees, subcontractor costs and employee-related costs, inclusive of non-cash stock compensation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Financial income, net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income, net was $0.8 million for the three months ended September 30, 2023, compared to financial income, net of $1.9</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for the three months ended September 30, 2022. For the three months ended September 30, 2023 financial income, net was primarily driven by interest income earned on our money market accounts of $1.6 million partially offset by $0.8 million in non-cash losses resulting from the remeasurement of warrant liabilities. For the three months ended September 30, 2022 financial income, net primarily consisted of $1.6 million in non-cash gains resulting from the remeasurement of warrant liabilities and interest income earned on our money market accounts of $0.3 million.</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Financial income, net was $2.9 million for the nine months ended September 30, 2023, compared to financial income, net of $0.9 million for the nine months ended September 30, 2022. For the nine months ended September 30, 2023 financial income, net was primarily driven by interest income earned on our money market accounts of $3.7 million partially offset by $0.6 million in non-cash losses resulting from the remeasurement of warrant liabilities. For the nine months ended September 30, 2022 financial income, net was primarily driven by $0.4 million of non-cash gains resulting from the remeasurement of warrant liabilities and interest income earned on our money market accounts of $0.4 million.</w:t>
      </w:r>
    </w:p>
    <w:p>
      <w:pPr>
        <w:spacing w:after="0" w:line="17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Taxes on income. </w:t>
      </w:r>
      <w:r>
        <w:rPr>
          <w:rFonts w:ascii="Arial" w:cs="Arial" w:eastAsia="Arial" w:hAnsi="Arial"/>
          <w:sz w:val="18"/>
          <w:szCs w:val="18"/>
          <w:color w:val="auto"/>
        </w:rPr>
        <w:t>Immaterial taxes on income consists primarily of foreign income taxes related to income generated by our subsidiary organized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Israel.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our financial results determined in accordance with GAAP, we believe adjusted EBITDA, a non-GAAP measure, is useful in evaluating our operating performance and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 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loss before income taxes, net loss, loss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reconciliation is provided below for adjusted EBITDA to net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calculate adjusted EBITDA as net loss income adjusted to exclude (i) depreciation and amortization, (ii) interest and other expenses (income), net, (iii) tax benefit and expense, (iv) stock-based compensation expense, (v) and certain non-recurring expenses, where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from the most comparable GAAP measure, net loss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140" w:type="dxa"/>
            <w:vAlign w:val="bottom"/>
            <w:gridSpan w:val="3"/>
          </w:tcPr>
          <w:p>
            <w:pPr>
              <w:jc w:val="center"/>
              <w:ind w:left="804"/>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85"/>
        </w:trPr>
        <w:tc>
          <w:tcPr>
            <w:tcW w:w="4960" w:type="dxa"/>
            <w:vAlign w:val="bottom"/>
          </w:tcPr>
          <w:p>
            <w:pPr>
              <w:spacing w:after="0"/>
              <w:rPr>
                <w:sz w:val="16"/>
                <w:szCs w:val="16"/>
                <w:color w:val="auto"/>
              </w:rPr>
            </w:pPr>
          </w:p>
        </w:tc>
        <w:tc>
          <w:tcPr>
            <w:tcW w:w="2060" w:type="dxa"/>
            <w:vAlign w:val="bottom"/>
            <w:tcBorders>
              <w:bottom w:val="single" w:sz="8" w:color="auto"/>
            </w:tcBorders>
            <w:gridSpan w:val="3"/>
          </w:tcPr>
          <w:p>
            <w:pPr>
              <w:jc w:val="center"/>
              <w:ind w:left="895"/>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78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49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w:t>
            </w:r>
          </w:p>
        </w:tc>
        <w:tc>
          <w:tcPr>
            <w:tcW w:w="14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4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2022</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$(17,983)</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$(17,876)</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$(61,365)</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Add:</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w:t>
            </w:r>
          </w:p>
        </w:tc>
      </w:tr>
      <w:tr>
        <w:trPr>
          <w:trHeight w:val="243"/>
        </w:trPr>
        <w:tc>
          <w:tcPr>
            <w:tcW w:w="49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Financial (income), net </w:t>
            </w:r>
            <w:r>
              <w:rPr>
                <w:rFonts w:ascii="Arial" w:cs="Arial" w:eastAsia="Arial" w:hAnsi="Arial"/>
                <w:sz w:val="24"/>
                <w:szCs w:val="24"/>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on income</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80" w:type="dxa"/>
            <w:vAlign w:val="bottom"/>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6,401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9,386</w:t>
            </w:r>
          </w:p>
        </w:tc>
      </w:tr>
      <w:tr>
        <w:trPr>
          <w:trHeight w:val="249"/>
        </w:trPr>
        <w:tc>
          <w:tcPr>
            <w:tcW w:w="4960" w:type="dxa"/>
            <w:vAlign w:val="bottom"/>
            <w:tcBorders>
              <w:bottom w:val="single" w:sz="8" w:color="CFF0FC"/>
            </w:tcBorders>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Non-recurring expenses </w:t>
            </w:r>
            <w:r>
              <w:rPr>
                <w:rFonts w:ascii="Arial" w:cs="Arial" w:eastAsia="Arial" w:hAnsi="Arial"/>
                <w:sz w:val="24"/>
                <w:szCs w:val="24"/>
                <w:color w:val="auto"/>
                <w:vertAlign w:val="superscript"/>
              </w:rPr>
              <w:t>(2)</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48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$(15,463)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$(50,835)</w:t>
            </w:r>
          </w:p>
        </w:tc>
      </w:tr>
      <w:tr>
        <w:trPr>
          <w:trHeight w:val="20"/>
        </w:trPr>
        <w:tc>
          <w:tcPr>
            <w:tcW w:w="49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-187960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13716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4" w:lineRule="auto"/>
        <w:tabs>
          <w:tab w:leader="none" w:pos="170" w:val="left"/>
        </w:tabs>
        <w:numPr>
          <w:ilvl w:val="0"/>
          <w:numId w:val="4"/>
        </w:numPr>
        <w:rPr>
          <w:rFonts w:ascii="Arial" w:cs="Arial" w:eastAsia="Arial" w:hAnsi="Arial"/>
          <w:sz w:val="15"/>
          <w:szCs w:val="15"/>
          <w:color w:val="auto"/>
        </w:rPr>
      </w:pPr>
      <w:r>
        <w:rPr>
          <w:rFonts w:ascii="Arial" w:cs="Arial" w:eastAsia="Arial" w:hAnsi="Arial"/>
          <w:sz w:val="15"/>
          <w:szCs w:val="15"/>
          <w:color w:val="auto"/>
        </w:rPr>
        <w:t>For the three months ended September 30, 2023, financial (income), net, primarily consisted of $1.6 million of interest income from our money market accounts partially offset by $0.8 million in losses resulting from the remeasurement of warrant liabilities. For the nine months ended September 30, 2023, financial (income), net, primarily consisted of $3.7 million of interest income from our money market accounts partially offset by $0.6 million in losses resulting from the remeasurement of warrant liabilities. For the three and nine months ended September 30, 2022, financial (income) net, primarily consisted of $1.6 million and $0.4 million, respectively, in gains resulting from the remeasurement of warrant liabilities.</w:t>
      </w:r>
    </w:p>
    <w:p>
      <w:pPr>
        <w:spacing w:after="0" w:line="77" w:lineRule="exact"/>
        <w:rPr>
          <w:rFonts w:ascii="Arial" w:cs="Arial" w:eastAsia="Arial" w:hAnsi="Arial"/>
          <w:sz w:val="15"/>
          <w:szCs w:val="15"/>
          <w:color w:val="auto"/>
        </w:rPr>
      </w:pPr>
    </w:p>
    <w:p>
      <w:pPr>
        <w:ind w:firstLine="8"/>
        <w:spacing w:after="0" w:line="291" w:lineRule="auto"/>
        <w:tabs>
          <w:tab w:leader="none" w:pos="168"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2023, non-recurring expenses primarily consisted of $0.1 million in losses resulting from the disposition of fixed assets. For the three and nine months ended September 30, 2022, non-recurring expenses consisted of $0.6 million in legal fees and $0.3 million in general and administrative expenses.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we had $125.3 million of cash and cash equivalents ($138.5 million as of December 31, 2022), which we use to finance our operations and support a variety of growth initiatives and investments. We had no debt as of September 30, 2023.</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cash needs are to fund operating activities.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anticipate to be able to fund our cash needs for at least the next 12 months and thereafter for the foreseeable future using available cash and cash equivalent balances as of September 30, 2023.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summary condensed consolidated cash flow information for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Unaudited</w:t>
            </w:r>
          </w:p>
        </w:tc>
        <w:tc>
          <w:tcPr>
            <w:tcW w:w="4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(14,863</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0"/>
                <w:szCs w:val="20"/>
                <w:color w:val="auto"/>
              </w:rPr>
            </w:pPr>
          </w:p>
        </w:tc>
        <w:tc>
          <w:tcPr>
            <w:tcW w:w="1760" w:type="dxa"/>
            <w:vAlign w:val="bottom"/>
            <w:gridSpan w:val="2"/>
          </w:tcPr>
          <w:p>
            <w:pPr>
              <w:jc w:val="right"/>
              <w:ind w:right="170"/>
              <w:spacing w:after="0"/>
              <w:rPr>
                <w:sz w:val="20"/>
                <w:szCs w:val="20"/>
                <w:color w:val="auto"/>
              </w:rPr>
            </w:pPr>
            <w:r>
              <w:rPr>
                <w:rFonts w:ascii="Arial" w:cs="Arial" w:eastAsia="Arial" w:hAnsi="Arial"/>
                <w:sz w:val="18"/>
                <w:szCs w:val="18"/>
                <w:color w:val="auto"/>
              </w:rPr>
              <w:t>(10 )</w:t>
            </w:r>
          </w:p>
        </w:tc>
        <w:tc>
          <w:tcPr>
            <w:tcW w:w="6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(254 )</w:t>
            </w:r>
          </w:p>
        </w:tc>
      </w:tr>
      <w:tr>
        <w:trPr>
          <w:trHeight w:val="243"/>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3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10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70"/>
              <w:spacing w:after="0"/>
              <w:rPr>
                <w:sz w:val="20"/>
                <w:szCs w:val="20"/>
                <w:color w:val="auto"/>
              </w:rPr>
            </w:pPr>
            <w:r>
              <w:rPr>
                <w:rFonts w:ascii="Arial" w:cs="Arial" w:eastAsia="Arial" w:hAnsi="Arial"/>
                <w:sz w:val="18"/>
                <w:szCs w:val="18"/>
                <w:color w:val="auto"/>
              </w:rPr>
              <w:t>(13,213 )</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(45,617 )</w:t>
            </w:r>
          </w:p>
        </w:tc>
      </w:tr>
      <w:tr>
        <w:trPr>
          <w:trHeight w:val="20"/>
        </w:trPr>
        <w:tc>
          <w:tcPr>
            <w:tcW w:w="7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-187960</wp:posOffset>
            </wp:positionV>
            <wp:extent cx="7683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decrease in net cash used in operating activities was primarily driven by a lower net loss for the nine months ended September 30, 2023 compared to the nine months ended September 30, 2022, partially offset by unfavorable timing of payments of account payables and accrued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net cash used in investing activities was driven primarily by a decrease in the purchases of computer equipment and software.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cash provided by financing activities was approximately $0.2 million for the nine months ended September 30,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As of September 30, 2023, we did not have any short-term or long-term debt, or significant long-term liabilities. As of September 30, 2023, we have a non-material long-term operating lease for our office space in New York, 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reached settlements for certain class action lawsuits in February 2023 ending ongoing litigation, see Note 5, “Commitments and Contingent Liabilities” in the notes to the condensed consolidated financial statements for further details. In addition, 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 See Note 5, “Commitments and Contingent Liabilities” in the notes to the condensed consolidated financial statements for further details.</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commercial contract arrangements generally include certain provisions requiring us to indemnify clients against liabilities if there is a breach of a client’s data or if our service infringes a third party’s intellectual property rights. To date, we have not incurred any material costs as a result of such indemnifications.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2022.</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accounting policies are essential to understanding and interpreting the financial results reported on the condensed consolidated financial statements. The significant accounting policies used in the preparation of the Company’s consolidated financial statements are summarized in Note 2 to those financial statements in the Company’s Annual Report on Form 10-K for the year ended December 31, 2022.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there were no material changes to matters discussed under the heading “Critical Accounting Policies and Estimates” in Part II, Item 7 of the Company’s Annual Report on Form 10-K for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regarding recent accounting developments and their impact on our results can be found in Note 2, “Summary of Significant Accounting Policies and Estimates” in the audited consolidated financial statements included in the Company's Annual Report on Form 10-K for the year ended December 31, 2022 and in Note 2, “Significant Accounting Policies” in the notes to the condensed consolidated financial statements of this Quarterly Report on Form 10-Q.</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forward-looking statements in this Quarterly Report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of the Company's Annual Report on Form 10-K for the fiscal year ended December 31, 2022. The forward-looking statements in this Quarterly Report are based upon information available to us as of the date of this Quarterly,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should read this Quarterly Report and the risk factors discussed in Part I, Item 1A, “Risk Factors” of the Company’s Annual Report on Form 10-K for the fiscal year ended December 31, 2022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on Form 10-Q or any forward-looking statements we may publicly make from time-to-time, whether as a result of any new information, future events or otherwise.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there were no material changes to the information contained in Part II, Item 7A of the Company’s Annual Report on Form 10-K for the year ended December 31,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preparation of this report, an evaluation was carried out under the supervision, and with the participation of, our management including our Chief Executive Officer (“CEO”) and Chief Financial Officer (“CFO”), of the effectiveness of the design and operation of our disclosure controls and procedures (as defined in Rules 13a-15(e) and 15d-15(e) under the Exchange Act of 1934, as amended (the “Act”)) as of September 30, 2023. Based upon the evaluation and although management has made significant progress in the design and implementation of IT and business process controls, our CEO and CFO concluded our disclosure controls and procedures are not effective as of such date solely due to material weaknesses in internal controls over financial reporting that were disclosed in our Annual Report on Form 10-K for the fiscal year ended December 31, 2022 and are discussed below.</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described in Part II, Item 9A of our Annual Report on Form 10-K for the fiscal year ended December 31, 2022, we concluded that our internal control over financial reporting was not effective solely due to the existence of the following material weaknesses described in our Annual Report on Form 10-K for the fiscal year ended December 31, 2022:</w:t>
      </w:r>
    </w:p>
    <w:p>
      <w:pPr>
        <w:spacing w:after="0" w:line="76" w:lineRule="exact"/>
        <w:rPr>
          <w:sz w:val="20"/>
          <w:szCs w:val="20"/>
          <w:color w:val="auto"/>
        </w:rPr>
      </w:pPr>
    </w:p>
    <w:p>
      <w:pPr>
        <w:jc w:val="both"/>
        <w:ind w:left="1020" w:hanging="503"/>
        <w:spacing w:after="0" w:line="25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was able to complete the design and establish effective information technology general controls (ITGCs) for the majority of tested ITGCs; however, some ineffective ITGC controls existed at December 31, 2022. As a result, business process controls (automated and IT-dependent manual controls) that are dependent on the ineffective ITGCs, or that use data produced from systems impacted by the ineffective ITGCs were deemed ineffective; and</w:t>
      </w:r>
    </w:p>
    <w:p>
      <w:pPr>
        <w:spacing w:after="0" w:line="7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did not have an adequate process in place to monitor and provide oversight over the completion of its testing and assessment of the design and operating effectiveness of internal control over financial reporting in a timely manner.</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material weaknesses did not result in any identified misstatements to the financial statements, and there were no changes to previously released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for the Material Weakness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committed to the remediation of the material weakness described above, as well as the continued improvement of the Company’s internal control over financial reporting. Management has implemented and continues to implement measures designed to ensure that control deficiencies contributing to the material weakness are remediated, such that these controls are designed, implemented and operating effectively.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Remediation efforts include but are not limited to, (a) hiring additional personnel with appropriate technical skill sets, (b) developing an execution plan and resources to test controls and providing timely feedback of any deficiencies noted to complete remediation (c) establishing a training program for the entire organization to support ongoing execution of internal controls and adherence to control activities and (d) actively monitoring corrective actions and providing status reporting to leadership on the progress. Management will test and evaluate the implementation of internal controls and revised processes to ascertain whether they are designed and operating effectively to provide reasonable assurance that they will prevent or detect a material error in our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once these actions have been completed, it will remediate the material weakness. The material weakness will not be considered remediated, however, until the applicable controls operate for a sufficient period of time and management has concluded, through testing, that controls are operating effectively.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Other than changes made to remediate the material weaknesses described above, there have been no changes in the Company’s internal control over financial reporting during the nine months ended September 30, 2023 which have materially affected, or are reasonably likely to materially affect, the Company’s internal control over financial reporting.</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enhance the Company’s internal control over financial reporting, during the nine months ended September 30, 2023, management has (a) hired additional personnel with appropriate technical skill sets, (b) developed an execution plan and engaged resources to test controls and provide timely feedback of any deficiencies noted, (c) provided training to the organization to support ongoing execution of internal controls and adherence to control activities, and (d) implemented status reporting to leadership on the progress of the assessment of the design and operating effectiveness of internal control over financial reporting.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reached settlements for certain class action lawsuits in February 2023 ending ongoing litigation. These settlements have been approved or are in the process of being approved by the court. The Company has not admitted any liability or wrongdoing in connection with these settlements and has entered into these settlements solely to avoid the costs, risks, distraction, and uncertainties of continued litigation. See Note 5, “Commitments and Contingent Liabilities” in the notes to the condensed consolidated financial statements for further details.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foregoing, 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factors discussed under Part I, Item 1A. “Risk Factors” in the Company’s Annual Report on Form 10-K for the year ended December 31, 2022.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nine months ended September 30, 2023, there were no material changes to the information contained in Part I, Item 1A of the Company's Annual Report on Form 10-K for the year ended December 31, 2022.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4"/>
              </w:rPr>
              <w:t>Filed/</w:t>
            </w:r>
          </w:p>
        </w:tc>
      </w:tr>
      <w:tr>
        <w:trPr>
          <w:trHeight w:val="225"/>
        </w:trPr>
        <w:tc>
          <w:tcPr>
            <w:tcW w:w="1020" w:type="dxa"/>
            <w:vAlign w:val="bottom"/>
            <w:gridSpan w:val="2"/>
          </w:tcPr>
          <w:p>
            <w:pPr>
              <w:ind w:left="20"/>
              <w:spacing w:after="0"/>
              <w:rPr>
                <w:sz w:val="20"/>
                <w:szCs w:val="20"/>
                <w:color w:val="auto"/>
              </w:rPr>
            </w:pPr>
            <w:r>
              <w:rPr>
                <w:rFonts w:ascii="Arial" w:cs="Arial" w:eastAsia="Arial" w:hAnsi="Arial"/>
                <w:sz w:val="17"/>
                <w:szCs w:val="17"/>
                <w:b w:val="1"/>
                <w:bCs w:val="1"/>
                <w:color w:val="auto"/>
              </w:rPr>
              <w:t>Exhibit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89"/>
              </w:rPr>
              <w:t>Furnished</w:t>
            </w:r>
          </w:p>
        </w:tc>
      </w:tr>
      <w:tr>
        <w:trPr>
          <w:trHeight w:val="231"/>
        </w:trPr>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gridSpan w:val="3"/>
          </w:tcPr>
          <w:p>
            <w:pPr>
              <w:ind w:left="3640"/>
              <w:spacing w:after="0"/>
              <w:rPr>
                <w:sz w:val="20"/>
                <w:szCs w:val="20"/>
                <w:color w:val="auto"/>
              </w:rPr>
            </w:pPr>
            <w:r>
              <w:rPr>
                <w:rFonts w:ascii="Arial" w:cs="Arial" w:eastAsia="Arial" w:hAnsi="Arial"/>
                <w:sz w:val="17"/>
                <w:szCs w:val="17"/>
                <w:b w:val="1"/>
                <w:bCs w:val="1"/>
                <w:color w:val="auto"/>
              </w:rPr>
              <w:t>Exhibit Description</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Herewith</w:t>
            </w:r>
          </w:p>
        </w:tc>
      </w:tr>
      <w:tr>
        <w:trPr>
          <w:trHeight w:val="405"/>
        </w:trPr>
        <w:tc>
          <w:tcPr>
            <w:tcW w:w="340" w:type="dxa"/>
            <w:vAlign w:val="bottom"/>
          </w:tcPr>
          <w:p>
            <w:pPr>
              <w:ind w:left="20"/>
              <w:spacing w:after="0"/>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40" w:type="dxa"/>
            <w:vAlign w:val="bottom"/>
            <w:gridSpan w:val="4"/>
          </w:tcPr>
          <w:p>
            <w:pPr>
              <w:ind w:left="20"/>
              <w:spacing w:after="0"/>
              <w:rPr>
                <w:sz w:val="20"/>
                <w:szCs w:val="20"/>
                <w:color w:val="auto"/>
              </w:rPr>
            </w:pPr>
            <w:r>
              <w:rPr>
                <w:rFonts w:ascii="Arial" w:cs="Arial" w:eastAsia="Arial" w:hAnsi="Arial"/>
                <w:sz w:val="17"/>
                <w:szCs w:val="17"/>
                <w:color w:val="0000FF"/>
              </w:rPr>
              <w:t>Certification of Chief Executive Officer pursuant to Rule 13a-14(a)/15d-14(a).</w:t>
            </w:r>
          </w:p>
        </w:tc>
        <w:tc>
          <w:tcPr>
            <w:tcW w:w="1360" w:type="dxa"/>
            <w:vAlign w:val="bottom"/>
            <w:gridSpan w:val="2"/>
          </w:tcPr>
          <w:p>
            <w:pPr>
              <w:jc w:val="center"/>
              <w:ind w:left="15"/>
              <w:spacing w:after="0"/>
              <w:rPr>
                <w:sz w:val="20"/>
                <w:szCs w:val="20"/>
                <w:color w:val="auto"/>
              </w:rPr>
            </w:pPr>
            <w:r>
              <w:rPr>
                <w:rFonts w:ascii="Arial" w:cs="Arial" w:eastAsia="Arial" w:hAnsi="Arial"/>
                <w:sz w:val="17"/>
                <w:szCs w:val="17"/>
                <w:color w:val="auto"/>
              </w:rPr>
              <w:t>*</w:t>
            </w: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tcBorders>
              <w:left w:val="single" w:sz="8" w:color="0000FF"/>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10"/>
        </w:trPr>
        <w:tc>
          <w:tcPr>
            <w:tcW w:w="340" w:type="dxa"/>
            <w:vAlign w:val="bottom"/>
          </w:tcPr>
          <w:p>
            <w:pPr>
              <w:ind w:left="20"/>
              <w:spacing w:after="0"/>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40" w:type="dxa"/>
            <w:vAlign w:val="bottom"/>
            <w:gridSpan w:val="4"/>
          </w:tcPr>
          <w:p>
            <w:pPr>
              <w:ind w:left="20"/>
              <w:spacing w:after="0"/>
              <w:rPr>
                <w:sz w:val="20"/>
                <w:szCs w:val="20"/>
                <w:color w:val="auto"/>
              </w:rPr>
            </w:pPr>
            <w:r>
              <w:rPr>
                <w:rFonts w:ascii="Arial" w:cs="Arial" w:eastAsia="Arial" w:hAnsi="Arial"/>
                <w:sz w:val="17"/>
                <w:szCs w:val="17"/>
                <w:color w:val="0000FF"/>
              </w:rPr>
              <w:t>Certification of Chief Financial Officer pursuant to Rule 13a-14(a)/15d-14(a).</w:t>
            </w:r>
          </w:p>
        </w:tc>
        <w:tc>
          <w:tcPr>
            <w:tcW w:w="1360" w:type="dxa"/>
            <w:vAlign w:val="bottom"/>
            <w:gridSpan w:val="2"/>
          </w:tcPr>
          <w:p>
            <w:pPr>
              <w:jc w:val="center"/>
              <w:ind w:left="15"/>
              <w:spacing w:after="0"/>
              <w:rPr>
                <w:sz w:val="20"/>
                <w:szCs w:val="20"/>
                <w:color w:val="auto"/>
              </w:rPr>
            </w:pPr>
            <w:r>
              <w:rPr>
                <w:rFonts w:ascii="Arial" w:cs="Arial" w:eastAsia="Arial" w:hAnsi="Arial"/>
                <w:sz w:val="17"/>
                <w:szCs w:val="17"/>
                <w:color w:val="auto"/>
              </w:rPr>
              <w:t>*</w:t>
            </w: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09"/>
        </w:trPr>
        <w:tc>
          <w:tcPr>
            <w:tcW w:w="340" w:type="dxa"/>
            <w:vAlign w:val="bottom"/>
          </w:tcPr>
          <w:p>
            <w:pPr>
              <w:ind w:left="20"/>
              <w:spacing w:after="0"/>
              <w:rPr>
                <w:sz w:val="20"/>
                <w:szCs w:val="20"/>
                <w:color w:val="auto"/>
              </w:rPr>
            </w:pPr>
            <w:r>
              <w:rPr>
                <w:rFonts w:ascii="Arial" w:cs="Arial" w:eastAsia="Arial" w:hAnsi="Arial"/>
                <w:sz w:val="17"/>
                <w:szCs w:val="17"/>
                <w:color w:val="0000FF"/>
                <w:w w:val="84"/>
              </w:rPr>
              <w:t>32.</w:t>
            </w:r>
            <w:r>
              <w:rPr>
                <w:rFonts w:ascii="Arial" w:cs="Arial" w:eastAsia="Arial" w:hAnsi="Arial"/>
                <w:sz w:val="17"/>
                <w:szCs w:val="17"/>
                <w:u w:val="single" w:color="auto"/>
                <w:color w:val="0000FF"/>
                <w:w w:val="84"/>
              </w:rPr>
              <w:t>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40" w:type="dxa"/>
            <w:vAlign w:val="bottom"/>
            <w:gridSpan w:val="4"/>
          </w:tcPr>
          <w:p>
            <w:pPr>
              <w:ind w:left="20"/>
              <w:spacing w:after="0"/>
              <w:rPr>
                <w:sz w:val="20"/>
                <w:szCs w:val="20"/>
                <w:color w:val="auto"/>
              </w:rPr>
            </w:pPr>
            <w:r>
              <w:rPr>
                <w:rFonts w:ascii="Arial" w:cs="Arial" w:eastAsia="Arial" w:hAnsi="Arial"/>
                <w:sz w:val="17"/>
                <w:szCs w:val="17"/>
                <w:color w:val="0000FF"/>
              </w:rPr>
              <w:t>Certification of Chief Executive Officer pursuant to 18 U.S.C. Section 1350.</w:t>
            </w:r>
          </w:p>
        </w:tc>
        <w:tc>
          <w:tcPr>
            <w:tcW w:w="1360" w:type="dxa"/>
            <w:vAlign w:val="bottom"/>
            <w:gridSpan w:val="2"/>
          </w:tcPr>
          <w:p>
            <w:pPr>
              <w:jc w:val="center"/>
              <w:ind w:left="15"/>
              <w:spacing w:after="0"/>
              <w:rPr>
                <w:sz w:val="20"/>
                <w:szCs w:val="20"/>
                <w:color w:val="auto"/>
              </w:rPr>
            </w:pPr>
            <w:r>
              <w:rPr>
                <w:rFonts w:ascii="Arial" w:cs="Arial" w:eastAsia="Arial" w:hAnsi="Arial"/>
                <w:sz w:val="17"/>
                <w:szCs w:val="17"/>
                <w:color w:val="auto"/>
              </w:rPr>
              <w:t>**</w:t>
            </w: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09"/>
        </w:trPr>
        <w:tc>
          <w:tcPr>
            <w:tcW w:w="340" w:type="dxa"/>
            <w:vAlign w:val="bottom"/>
          </w:tcPr>
          <w:p>
            <w:pPr>
              <w:ind w:left="20"/>
              <w:spacing w:after="0"/>
              <w:rPr>
                <w:sz w:val="20"/>
                <w:szCs w:val="20"/>
                <w:color w:val="auto"/>
              </w:rPr>
            </w:pPr>
            <w:r>
              <w:rPr>
                <w:rFonts w:ascii="Arial" w:cs="Arial" w:eastAsia="Arial" w:hAnsi="Arial"/>
                <w:sz w:val="17"/>
                <w:szCs w:val="17"/>
                <w:color w:val="0000FF"/>
                <w:w w:val="84"/>
              </w:rPr>
              <w:t>32.</w:t>
            </w:r>
            <w:r>
              <w:rPr>
                <w:rFonts w:ascii="Arial" w:cs="Arial" w:eastAsia="Arial" w:hAnsi="Arial"/>
                <w:sz w:val="17"/>
                <w:szCs w:val="17"/>
                <w:u w:val="single" w:color="auto"/>
                <w:color w:val="0000FF"/>
                <w:w w:val="84"/>
              </w:rPr>
              <w:t>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40" w:type="dxa"/>
            <w:vAlign w:val="bottom"/>
            <w:gridSpan w:val="4"/>
          </w:tcPr>
          <w:p>
            <w:pPr>
              <w:ind w:left="20"/>
              <w:spacing w:after="0"/>
              <w:rPr>
                <w:sz w:val="20"/>
                <w:szCs w:val="20"/>
                <w:color w:val="auto"/>
              </w:rPr>
            </w:pPr>
            <w:r>
              <w:rPr>
                <w:rFonts w:ascii="Arial" w:cs="Arial" w:eastAsia="Arial" w:hAnsi="Arial"/>
                <w:sz w:val="17"/>
                <w:szCs w:val="17"/>
                <w:color w:val="0000FF"/>
              </w:rPr>
              <w:t>Certification of Chief Financial Officer pursuant to 18 U.S.C. Section 1350.</w:t>
            </w:r>
          </w:p>
        </w:tc>
        <w:tc>
          <w:tcPr>
            <w:tcW w:w="1360" w:type="dxa"/>
            <w:vAlign w:val="bottom"/>
            <w:gridSpan w:val="2"/>
          </w:tcPr>
          <w:p>
            <w:pPr>
              <w:jc w:val="center"/>
              <w:ind w:left="15"/>
              <w:spacing w:after="0"/>
              <w:rPr>
                <w:sz w:val="20"/>
                <w:szCs w:val="20"/>
                <w:color w:val="auto"/>
              </w:rPr>
            </w:pPr>
            <w:r>
              <w:rPr>
                <w:rFonts w:ascii="Arial" w:cs="Arial" w:eastAsia="Arial" w:hAnsi="Arial"/>
                <w:sz w:val="17"/>
                <w:szCs w:val="17"/>
                <w:color w:val="auto"/>
              </w:rPr>
              <w:t>**</w:t>
            </w: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32"/>
        </w:trPr>
        <w:tc>
          <w:tcPr>
            <w:tcW w:w="1020" w:type="dxa"/>
            <w:vAlign w:val="bottom"/>
            <w:gridSpan w:val="2"/>
          </w:tcPr>
          <w:p>
            <w:pPr>
              <w:ind w:left="20"/>
              <w:spacing w:after="0"/>
              <w:rPr>
                <w:sz w:val="20"/>
                <w:szCs w:val="20"/>
                <w:color w:val="auto"/>
              </w:rPr>
            </w:pPr>
            <w:r>
              <w:rPr>
                <w:rFonts w:ascii="Arial" w:cs="Arial" w:eastAsia="Arial" w:hAnsi="Arial"/>
                <w:sz w:val="17"/>
                <w:szCs w:val="17"/>
                <w:color w:val="auto"/>
              </w:rPr>
              <w:t>101.INS</w:t>
            </w:r>
          </w:p>
        </w:tc>
        <w:tc>
          <w:tcPr>
            <w:tcW w:w="120" w:type="dxa"/>
            <w:vAlign w:val="bottom"/>
          </w:tcPr>
          <w:p>
            <w:pPr>
              <w:spacing w:after="0"/>
              <w:rPr>
                <w:sz w:val="20"/>
                <w:szCs w:val="20"/>
                <w:color w:val="auto"/>
              </w:rPr>
            </w:pPr>
          </w:p>
        </w:tc>
        <w:tc>
          <w:tcPr>
            <w:tcW w:w="8740" w:type="dxa"/>
            <w:vAlign w:val="bottom"/>
            <w:gridSpan w:val="4"/>
          </w:tcPr>
          <w:p>
            <w:pPr>
              <w:ind w:left="20"/>
              <w:spacing w:after="0"/>
              <w:rPr>
                <w:sz w:val="20"/>
                <w:szCs w:val="20"/>
                <w:color w:val="auto"/>
              </w:rPr>
            </w:pPr>
            <w:r>
              <w:rPr>
                <w:rFonts w:ascii="Arial" w:cs="Arial" w:eastAsia="Arial" w:hAnsi="Arial"/>
                <w:sz w:val="17"/>
                <w:szCs w:val="17"/>
                <w:color w:val="auto"/>
                <w:w w:val="93"/>
              </w:rPr>
              <w:t>Inline XBRL Instance Document - the instance document does not appear in the Interactive Data file because its XBRL tags</w:t>
            </w:r>
          </w:p>
        </w:tc>
        <w:tc>
          <w:tcPr>
            <w:tcW w:w="1360" w:type="dxa"/>
            <w:vAlign w:val="bottom"/>
            <w:gridSpan w:val="2"/>
          </w:tcPr>
          <w:p>
            <w:pPr>
              <w:jc w:val="center"/>
              <w:ind w:left="15"/>
              <w:spacing w:after="0"/>
              <w:rPr>
                <w:sz w:val="20"/>
                <w:szCs w:val="20"/>
                <w:color w:val="auto"/>
              </w:rPr>
            </w:pPr>
            <w:r>
              <w:rPr>
                <w:rFonts w:ascii="Arial" w:cs="Arial" w:eastAsia="Arial" w:hAnsi="Arial"/>
                <w:sz w:val="17"/>
                <w:szCs w:val="17"/>
                <w:color w:val="auto"/>
              </w:rPr>
              <w:t>*</w:t>
            </w: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40" w:type="dxa"/>
            <w:vAlign w:val="bottom"/>
            <w:gridSpan w:val="4"/>
          </w:tcPr>
          <w:p>
            <w:pPr>
              <w:ind w:left="20"/>
              <w:spacing w:after="0"/>
              <w:rPr>
                <w:sz w:val="20"/>
                <w:szCs w:val="20"/>
                <w:color w:val="auto"/>
              </w:rPr>
            </w:pPr>
            <w:r>
              <w:rPr>
                <w:rFonts w:ascii="Arial" w:cs="Arial" w:eastAsia="Arial" w:hAnsi="Arial"/>
                <w:sz w:val="17"/>
                <w:szCs w:val="17"/>
                <w:color w:val="auto"/>
              </w:rPr>
              <w:t>are embedded within the Inline XBRL document.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1020" w:type="dxa"/>
            <w:vAlign w:val="bottom"/>
            <w:gridSpan w:val="2"/>
          </w:tcPr>
          <w:p>
            <w:pPr>
              <w:ind w:left="20"/>
              <w:spacing w:after="0"/>
              <w:rPr>
                <w:sz w:val="20"/>
                <w:szCs w:val="20"/>
                <w:color w:val="auto"/>
              </w:rPr>
            </w:pPr>
            <w:r>
              <w:rPr>
                <w:rFonts w:ascii="Arial" w:cs="Arial" w:eastAsia="Arial" w:hAnsi="Arial"/>
                <w:sz w:val="17"/>
                <w:szCs w:val="17"/>
                <w:color w:val="auto"/>
              </w:rPr>
              <w:t>101.SCH</w:t>
            </w: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Arial" w:cs="Arial" w:eastAsia="Arial" w:hAnsi="Arial"/>
                <w:sz w:val="17"/>
                <w:szCs w:val="17"/>
                <w:color w:val="auto"/>
              </w:rPr>
              <w:t>Inline XBRL Taxonomy Extension Schema Document.</w:t>
            </w:r>
          </w:p>
        </w:tc>
        <w:tc>
          <w:tcPr>
            <w:tcW w:w="1360" w:type="dxa"/>
            <w:vAlign w:val="bottom"/>
            <w:gridSpan w:val="2"/>
          </w:tcPr>
          <w:p>
            <w:pPr>
              <w:jc w:val="center"/>
              <w:ind w:left="15"/>
              <w:spacing w:after="0"/>
              <w:rPr>
                <w:sz w:val="20"/>
                <w:szCs w:val="20"/>
                <w:color w:val="auto"/>
              </w:rPr>
            </w:pPr>
            <w:r>
              <w:rPr>
                <w:rFonts w:ascii="Arial" w:cs="Arial" w:eastAsia="Arial" w:hAnsi="Arial"/>
                <w:sz w:val="17"/>
                <w:szCs w:val="17"/>
                <w:color w:val="auto"/>
              </w:rPr>
              <w:t>*</w:t>
            </w:r>
          </w:p>
        </w:tc>
      </w:tr>
      <w:tr>
        <w:trPr>
          <w:trHeight w:val="229"/>
        </w:trPr>
        <w:tc>
          <w:tcPr>
            <w:tcW w:w="1020" w:type="dxa"/>
            <w:vAlign w:val="bottom"/>
            <w:gridSpan w:val="2"/>
          </w:tcPr>
          <w:p>
            <w:pPr>
              <w:ind w:left="20"/>
              <w:spacing w:after="0"/>
              <w:rPr>
                <w:sz w:val="20"/>
                <w:szCs w:val="20"/>
                <w:color w:val="auto"/>
              </w:rPr>
            </w:pPr>
            <w:r>
              <w:rPr>
                <w:rFonts w:ascii="Arial" w:cs="Arial" w:eastAsia="Arial" w:hAnsi="Arial"/>
                <w:sz w:val="17"/>
                <w:szCs w:val="17"/>
                <w:color w:val="auto"/>
              </w:rPr>
              <w:t>101.CAL</w:t>
            </w: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Arial" w:cs="Arial" w:eastAsia="Arial" w:hAnsi="Arial"/>
                <w:sz w:val="17"/>
                <w:szCs w:val="17"/>
                <w:color w:val="auto"/>
              </w:rPr>
              <w:t>Inline XBRL Taxonomy Extension Calculation Linkbase Document.</w:t>
            </w:r>
          </w:p>
        </w:tc>
        <w:tc>
          <w:tcPr>
            <w:tcW w:w="1360" w:type="dxa"/>
            <w:vAlign w:val="bottom"/>
            <w:gridSpan w:val="2"/>
          </w:tcPr>
          <w:p>
            <w:pPr>
              <w:jc w:val="center"/>
              <w:ind w:left="15"/>
              <w:spacing w:after="0"/>
              <w:rPr>
                <w:sz w:val="20"/>
                <w:szCs w:val="20"/>
                <w:color w:val="auto"/>
              </w:rPr>
            </w:pPr>
            <w:r>
              <w:rPr>
                <w:rFonts w:ascii="Arial" w:cs="Arial" w:eastAsia="Arial" w:hAnsi="Arial"/>
                <w:sz w:val="17"/>
                <w:szCs w:val="17"/>
                <w:color w:val="auto"/>
              </w:rPr>
              <w:t>*</w:t>
            </w:r>
          </w:p>
        </w:tc>
      </w:tr>
      <w:tr>
        <w:trPr>
          <w:trHeight w:val="230"/>
        </w:trPr>
        <w:tc>
          <w:tcPr>
            <w:tcW w:w="1020" w:type="dxa"/>
            <w:vAlign w:val="bottom"/>
            <w:gridSpan w:val="2"/>
          </w:tcPr>
          <w:p>
            <w:pPr>
              <w:ind w:left="20"/>
              <w:spacing w:after="0"/>
              <w:rPr>
                <w:sz w:val="20"/>
                <w:szCs w:val="20"/>
                <w:color w:val="auto"/>
              </w:rPr>
            </w:pPr>
            <w:r>
              <w:rPr>
                <w:rFonts w:ascii="Arial" w:cs="Arial" w:eastAsia="Arial" w:hAnsi="Arial"/>
                <w:sz w:val="17"/>
                <w:szCs w:val="17"/>
                <w:color w:val="auto"/>
              </w:rPr>
              <w:t>101.DEF</w:t>
            </w: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Arial" w:cs="Arial" w:eastAsia="Arial" w:hAnsi="Arial"/>
                <w:sz w:val="17"/>
                <w:szCs w:val="17"/>
                <w:color w:val="auto"/>
              </w:rPr>
              <w:t>Inline XBRL Taxonomy Extension Definition Linkbase Document.</w:t>
            </w:r>
          </w:p>
        </w:tc>
        <w:tc>
          <w:tcPr>
            <w:tcW w:w="1360" w:type="dxa"/>
            <w:vAlign w:val="bottom"/>
            <w:gridSpan w:val="2"/>
          </w:tcPr>
          <w:p>
            <w:pPr>
              <w:jc w:val="center"/>
              <w:ind w:left="15"/>
              <w:spacing w:after="0"/>
              <w:rPr>
                <w:sz w:val="20"/>
                <w:szCs w:val="20"/>
                <w:color w:val="auto"/>
              </w:rPr>
            </w:pPr>
            <w:r>
              <w:rPr>
                <w:rFonts w:ascii="Arial" w:cs="Arial" w:eastAsia="Arial" w:hAnsi="Arial"/>
                <w:sz w:val="17"/>
                <w:szCs w:val="17"/>
                <w:color w:val="auto"/>
              </w:rPr>
              <w:t>*</w:t>
            </w:r>
          </w:p>
        </w:tc>
      </w:tr>
      <w:tr>
        <w:trPr>
          <w:trHeight w:val="229"/>
        </w:trPr>
        <w:tc>
          <w:tcPr>
            <w:tcW w:w="1020" w:type="dxa"/>
            <w:vAlign w:val="bottom"/>
            <w:gridSpan w:val="2"/>
          </w:tcPr>
          <w:p>
            <w:pPr>
              <w:ind w:left="20"/>
              <w:spacing w:after="0"/>
              <w:rPr>
                <w:sz w:val="20"/>
                <w:szCs w:val="20"/>
                <w:color w:val="auto"/>
              </w:rPr>
            </w:pPr>
            <w:r>
              <w:rPr>
                <w:rFonts w:ascii="Arial" w:cs="Arial" w:eastAsia="Arial" w:hAnsi="Arial"/>
                <w:sz w:val="17"/>
                <w:szCs w:val="17"/>
                <w:color w:val="auto"/>
              </w:rPr>
              <w:t>101.LAB</w:t>
            </w: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Arial" w:cs="Arial" w:eastAsia="Arial" w:hAnsi="Arial"/>
                <w:sz w:val="17"/>
                <w:szCs w:val="17"/>
                <w:color w:val="auto"/>
              </w:rPr>
              <w:t>Inline XBRL Taxonomy Extension Label Linkbase Document.</w:t>
            </w:r>
          </w:p>
        </w:tc>
        <w:tc>
          <w:tcPr>
            <w:tcW w:w="1360" w:type="dxa"/>
            <w:vAlign w:val="bottom"/>
            <w:gridSpan w:val="2"/>
          </w:tcPr>
          <w:p>
            <w:pPr>
              <w:jc w:val="center"/>
              <w:ind w:left="15"/>
              <w:spacing w:after="0"/>
              <w:rPr>
                <w:sz w:val="20"/>
                <w:szCs w:val="20"/>
                <w:color w:val="auto"/>
              </w:rPr>
            </w:pPr>
            <w:r>
              <w:rPr>
                <w:rFonts w:ascii="Arial" w:cs="Arial" w:eastAsia="Arial" w:hAnsi="Arial"/>
                <w:sz w:val="17"/>
                <w:szCs w:val="17"/>
                <w:color w:val="auto"/>
              </w:rPr>
              <w:t>*</w:t>
            </w:r>
          </w:p>
        </w:tc>
      </w:tr>
      <w:tr>
        <w:trPr>
          <w:trHeight w:val="229"/>
        </w:trPr>
        <w:tc>
          <w:tcPr>
            <w:tcW w:w="1020" w:type="dxa"/>
            <w:vAlign w:val="bottom"/>
            <w:gridSpan w:val="2"/>
          </w:tcPr>
          <w:p>
            <w:pPr>
              <w:ind w:left="20"/>
              <w:spacing w:after="0"/>
              <w:rPr>
                <w:sz w:val="20"/>
                <w:szCs w:val="20"/>
                <w:color w:val="auto"/>
              </w:rPr>
            </w:pPr>
            <w:r>
              <w:rPr>
                <w:rFonts w:ascii="Arial" w:cs="Arial" w:eastAsia="Arial" w:hAnsi="Arial"/>
                <w:sz w:val="17"/>
                <w:szCs w:val="17"/>
                <w:color w:val="auto"/>
              </w:rPr>
              <w:t>101.PRE</w:t>
            </w: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Arial" w:cs="Arial" w:eastAsia="Arial" w:hAnsi="Arial"/>
                <w:sz w:val="17"/>
                <w:szCs w:val="17"/>
                <w:color w:val="auto"/>
              </w:rPr>
              <w:t>Inline XBRL Taxonomy Extension Presentation Linkbase Document.</w:t>
            </w:r>
          </w:p>
        </w:tc>
        <w:tc>
          <w:tcPr>
            <w:tcW w:w="1360" w:type="dxa"/>
            <w:vAlign w:val="bottom"/>
            <w:gridSpan w:val="2"/>
          </w:tcPr>
          <w:p>
            <w:pPr>
              <w:jc w:val="center"/>
              <w:ind w:left="15"/>
              <w:spacing w:after="0"/>
              <w:rPr>
                <w:sz w:val="20"/>
                <w:szCs w:val="20"/>
                <w:color w:val="auto"/>
              </w:rPr>
            </w:pPr>
            <w:r>
              <w:rPr>
                <w:rFonts w:ascii="Arial" w:cs="Arial" w:eastAsia="Arial" w:hAnsi="Arial"/>
                <w:sz w:val="17"/>
                <w:szCs w:val="17"/>
                <w:color w:val="auto"/>
              </w:rPr>
              <w:t>*</w:t>
            </w:r>
          </w:p>
        </w:tc>
      </w:tr>
      <w:tr>
        <w:trPr>
          <w:trHeight w:val="230"/>
        </w:trPr>
        <w:tc>
          <w:tcPr>
            <w:tcW w:w="340" w:type="dxa"/>
            <w:vAlign w:val="bottom"/>
          </w:tcPr>
          <w:p>
            <w:pPr>
              <w:ind w:left="20"/>
              <w:spacing w:after="0"/>
              <w:rPr>
                <w:sz w:val="20"/>
                <w:szCs w:val="20"/>
                <w:color w:val="auto"/>
              </w:rPr>
            </w:pPr>
            <w:r>
              <w:rPr>
                <w:rFonts w:ascii="Arial" w:cs="Arial" w:eastAsia="Arial" w:hAnsi="Arial"/>
                <w:sz w:val="17"/>
                <w:szCs w:val="17"/>
                <w:color w:val="auto"/>
                <w:w w:val="98"/>
              </w:rPr>
              <w:t>104</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Arial" w:cs="Arial" w:eastAsia="Arial" w:hAnsi="Arial"/>
                <w:sz w:val="17"/>
                <w:szCs w:val="17"/>
                <w:color w:val="auto"/>
              </w:rPr>
              <w:t>Cover Page Interactive Data File (as formatted as Inline XBRL and contained in Exhibit 101).</w:t>
            </w:r>
          </w:p>
        </w:tc>
        <w:tc>
          <w:tcPr>
            <w:tcW w:w="1360" w:type="dxa"/>
            <w:vAlign w:val="bottom"/>
            <w:gridSpan w:val="2"/>
          </w:tcPr>
          <w:p>
            <w:pPr>
              <w:jc w:val="center"/>
              <w:ind w:left="15"/>
              <w:spacing w:after="0"/>
              <w:rPr>
                <w:sz w:val="20"/>
                <w:szCs w:val="20"/>
                <w:color w:val="auto"/>
              </w:rPr>
            </w:pPr>
            <w:r>
              <w:rPr>
                <w:rFonts w:ascii="Arial" w:cs="Arial" w:eastAsia="Arial" w:hAnsi="Arial"/>
                <w:sz w:val="17"/>
                <w:szCs w:val="17"/>
                <w:color w:val="auto"/>
              </w:rPr>
              <w:t>*</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 Filed herewith.</w:t>
      </w:r>
    </w:p>
    <w:p>
      <w:pPr>
        <w:spacing w:after="0" w:line="231" w:lineRule="auto"/>
        <w:rPr>
          <w:sz w:val="20"/>
          <w:szCs w:val="20"/>
          <w:color w:val="auto"/>
        </w:rPr>
      </w:pPr>
      <w:r>
        <w:rPr>
          <w:rFonts w:ascii="Arial" w:cs="Arial" w:eastAsia="Arial" w:hAnsi="Arial"/>
          <w:sz w:val="15"/>
          <w:szCs w:val="15"/>
          <w:color w:val="auto"/>
        </w:rPr>
        <w:t>** Furnished herewith.</w:t>
      </w: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1740"/>
              <w:spacing w:after="0"/>
              <w:rPr>
                <w:sz w:val="20"/>
                <w:szCs w:val="20"/>
                <w:color w:val="auto"/>
              </w:rPr>
            </w:pPr>
            <w:r>
              <w:rPr>
                <w:rFonts w:ascii="Arial" w:cs="Arial" w:eastAsia="Arial" w:hAnsi="Arial"/>
                <w:sz w:val="18"/>
                <w:szCs w:val="18"/>
                <w:b w:val="1"/>
                <w:bCs w:val="1"/>
                <w:color w:val="auto"/>
              </w:rPr>
              <w:t>Talkspace, Inc.</w:t>
            </w:r>
          </w:p>
        </w:tc>
      </w:tr>
      <w:tr>
        <w:trPr>
          <w:trHeight w:val="473"/>
        </w:trPr>
        <w:tc>
          <w:tcPr>
            <w:tcW w:w="360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560" w:type="dxa"/>
            <w:vAlign w:val="bottom"/>
          </w:tcPr>
          <w:p>
            <w:pPr>
              <w:ind w:left="174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 Cohen</w:t>
            </w:r>
          </w:p>
        </w:tc>
      </w:tr>
      <w:tr>
        <w:trPr>
          <w:trHeight w:val="209"/>
        </w:trPr>
        <w:tc>
          <w:tcPr>
            <w:tcW w:w="36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Jon Cohen</w:t>
            </w:r>
          </w:p>
        </w:tc>
      </w:tr>
      <w:tr>
        <w:trPr>
          <w:trHeight w:val="230"/>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73"/>
        </w:trPr>
        <w:tc>
          <w:tcPr>
            <w:tcW w:w="360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560" w:type="dxa"/>
            <w:vAlign w:val="bottom"/>
          </w:tcPr>
          <w:p>
            <w:pPr>
              <w:ind w:left="174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Fulk</w:t>
            </w:r>
          </w:p>
        </w:tc>
      </w:tr>
      <w:tr>
        <w:trPr>
          <w:trHeight w:val="209"/>
        </w:trPr>
        <w:tc>
          <w:tcPr>
            <w:tcW w:w="36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Jennifer Fulk</w:t>
            </w:r>
          </w:p>
        </w:tc>
      </w:tr>
      <w:tr>
        <w:trPr>
          <w:trHeight w:val="230"/>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445"/>
        </w:trPr>
        <w:tc>
          <w:tcPr>
            <w:tcW w:w="3600" w:type="dxa"/>
            <w:vAlign w:val="bottom"/>
          </w:tcPr>
          <w:p>
            <w:pPr>
              <w:spacing w:after="0"/>
              <w:rPr>
                <w:sz w:val="24"/>
                <w:szCs w:val="24"/>
                <w:color w:val="auto"/>
              </w:rPr>
            </w:pP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27</w:t>
            </w:r>
          </w:p>
        </w:tc>
        <w:tc>
          <w:tcPr>
            <w:tcW w:w="508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 Cohen, certify that:</w:t>
      </w:r>
    </w:p>
    <w:p>
      <w:pPr>
        <w:spacing w:after="0" w:line="225"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Talkspace, Inc.;</w:t>
      </w:r>
    </w:p>
    <w:p>
      <w:pPr>
        <w:spacing w:after="0" w:line="225"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hanging="512"/>
        <w:spacing w:after="0" w:line="26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20" w:hanging="503"/>
        <w:spacing w:after="0" w:line="342" w:lineRule="auto"/>
        <w:tabs>
          <w:tab w:leader="none" w:pos="102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0" w:hanging="512"/>
        <w:spacing w:after="0" w:line="308"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hanging="503"/>
        <w:spacing w:after="0" w:line="308" w:lineRule="auto"/>
        <w:tabs>
          <w:tab w:leader="none" w:pos="102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hanging="503"/>
        <w:spacing w:after="0" w:line="277"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2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540" w:type="dxa"/>
            <w:vAlign w:val="bottom"/>
          </w:tcPr>
          <w:p>
            <w:pPr>
              <w:ind w:left="17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 Cohen</w:t>
            </w:r>
          </w:p>
        </w:tc>
      </w:tr>
      <w:tr>
        <w:trPr>
          <w:trHeight w:val="209"/>
        </w:trPr>
        <w:tc>
          <w:tcPr>
            <w:tcW w:w="36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Jon Cohen</w:t>
            </w:r>
          </w:p>
        </w:tc>
      </w:tr>
      <w:tr>
        <w:trPr>
          <w:trHeight w:val="230"/>
        </w:trPr>
        <w:tc>
          <w:tcPr>
            <w:tcW w:w="36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60"/>
        </w:trPr>
        <w:tc>
          <w:tcPr>
            <w:tcW w:w="36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Jennifer Fulk, certify that:</w:t>
      </w:r>
    </w:p>
    <w:p>
      <w:pPr>
        <w:spacing w:after="0" w:line="225"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Talkspace, Inc.;</w:t>
      </w:r>
    </w:p>
    <w:p>
      <w:pPr>
        <w:spacing w:after="0" w:line="225"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hanging="512"/>
        <w:spacing w:after="0" w:line="263"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20" w:hanging="503"/>
        <w:spacing w:after="0" w:line="342" w:lineRule="auto"/>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0" w:hanging="512"/>
        <w:spacing w:after="0" w:line="308"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hanging="503"/>
        <w:spacing w:after="0" w:line="308" w:lineRule="auto"/>
        <w:tabs>
          <w:tab w:leader="none" w:pos="102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hanging="503"/>
        <w:spacing w:after="0" w:line="277"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0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560" w:type="dxa"/>
            <w:vAlign w:val="bottom"/>
          </w:tcPr>
          <w:p>
            <w:pPr>
              <w:ind w:left="180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Fulk</w:t>
            </w:r>
          </w:p>
        </w:tc>
      </w:tr>
      <w:tr>
        <w:trPr>
          <w:trHeight w:val="209"/>
        </w:trPr>
        <w:tc>
          <w:tcPr>
            <w:tcW w:w="36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Jennifer Fulk</w:t>
            </w:r>
          </w:p>
        </w:tc>
      </w:tr>
      <w:tr>
        <w:trPr>
          <w:trHeight w:val="230"/>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60"/>
        </w:trPr>
        <w:tc>
          <w:tcPr>
            <w:tcW w:w="3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connection with the Quarterly Report on Form 10-Q of Talkspace, Inc. (the “Company”) for the period ended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00" w:hanging="35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40" w:hanging="479"/>
        <w:spacing w:after="0" w:line="277"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8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580" w:type="dxa"/>
            <w:vAlign w:val="bottom"/>
          </w:tcPr>
          <w:p>
            <w:pPr>
              <w:ind w:left="178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Cohen</w:t>
            </w:r>
          </w:p>
        </w:tc>
      </w:tr>
      <w:tr>
        <w:trPr>
          <w:trHeight w:val="209"/>
        </w:trPr>
        <w:tc>
          <w:tcPr>
            <w:tcW w:w="3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Jon Cohen</w:t>
            </w:r>
          </w:p>
        </w:tc>
      </w:tr>
      <w:tr>
        <w:trPr>
          <w:trHeight w:val="230"/>
        </w:trPr>
        <w:tc>
          <w:tcPr>
            <w:tcW w:w="3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61"/>
        </w:trPr>
        <w:tc>
          <w:tcPr>
            <w:tcW w:w="35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connection with the Quarterly Report on Form 10-Q of Talkspace, Inc. (the “Company”) for the period ended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00" w:hanging="35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40" w:hanging="479"/>
        <w:spacing w:after="0" w:line="277"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0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560" w:type="dxa"/>
            <w:vAlign w:val="bottom"/>
          </w:tcPr>
          <w:p>
            <w:pPr>
              <w:ind w:left="180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Fulk</w:t>
            </w:r>
          </w:p>
        </w:tc>
      </w:tr>
      <w:tr>
        <w:trPr>
          <w:trHeight w:val="209"/>
        </w:trPr>
        <w:tc>
          <w:tcPr>
            <w:tcW w:w="36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Jennifer Fulk</w:t>
            </w:r>
          </w:p>
        </w:tc>
      </w:tr>
      <w:tr>
        <w:trPr>
          <w:trHeight w:val="230"/>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777"/>
        </w:trPr>
        <w:tc>
          <w:tcPr>
            <w:tcW w:w="36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2023-11-07T07:20:31Z</dcterms:created>
  <dcterms:modified xsi:type="dcterms:W3CDTF">2023-11-07T07:20:31Z</dcterms:modified>
</cp:coreProperties>
</file>