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201930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ind w:left="480" w:hanging="459"/>
        <w:spacing w:after="0" w:line="216" w:lineRule="auto"/>
        <w:tabs>
          <w:tab w:leader="none" w:pos="480" w:val="left"/>
        </w:tabs>
        <w:numPr>
          <w:ilvl w:val="0"/>
          <w:numId w:val="1"/>
        </w:numPr>
        <w:rPr>
          <w:rFonts w:ascii="MS PGothic" w:cs="MS PGothic" w:eastAsia="MS PGothic" w:hAnsi="MS PGothic"/>
          <w:sz w:val="31"/>
          <w:szCs w:val="31"/>
          <w:color w:val="auto"/>
          <w:highlight w:val="black"/>
          <w:vertAlign w:val="superscript"/>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6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83" w:lineRule="exact"/>
        <w:rPr>
          <w:sz w:val="24"/>
          <w:szCs w:val="24"/>
          <w:color w:val="auto"/>
        </w:rPr>
      </w:pPr>
    </w:p>
    <w:p>
      <w:pPr>
        <w:ind w:left="480" w:right="260" w:hanging="459"/>
        <w:spacing w:after="0" w:line="220" w:lineRule="auto"/>
        <w:tabs>
          <w:tab w:leader="none" w:pos="480" w:val="left"/>
        </w:tabs>
        <w:numPr>
          <w:ilvl w:val="0"/>
          <w:numId w:val="2"/>
        </w:numPr>
        <w:rPr>
          <w:rFonts w:ascii="MS PGothic" w:cs="MS PGothic" w:eastAsia="MS PGothic" w:hAnsi="MS PGothic"/>
          <w:sz w:val="32"/>
          <w:szCs w:val="32"/>
          <w:color w:val="auto"/>
          <w:highlight w:val="black"/>
          <w:vertAlign w:val="superscript"/>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19" w:lineRule="exact"/>
        <w:rPr>
          <w:sz w:val="24"/>
          <w:szCs w:val="24"/>
          <w:color w:val="auto"/>
        </w:rPr>
      </w:pPr>
    </w:p>
    <w:p>
      <w:pPr>
        <w:ind w:left="4040"/>
        <w:spacing w:after="0"/>
        <w:tabs>
          <w:tab w:leader="none" w:pos="7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242570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TALKSPACE, INC.</w:t>
      </w:r>
    </w:p>
    <w:p>
      <w:pPr>
        <w:sectPr>
          <w:pgSz w:w="11900" w:h="16838" w:orient="portrait"/>
          <w:cols w:equalWidth="0" w:num="1">
            <w:col w:w="11240"/>
          </w:cols>
          <w:pgMar w:left="320" w:top="877" w:right="339" w:bottom="1440" w:gutter="0" w:footer="0" w:header="0"/>
        </w:sectPr>
      </w:pPr>
    </w:p>
    <w:p>
      <w:pPr>
        <w:spacing w:after="0" w:line="6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197485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84-4636604</w:t>
      </w:r>
    </w:p>
    <w:p>
      <w:pPr>
        <w:spacing w:after="0" w:line="4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2">
            <w:col w:w="7460" w:space="400"/>
            <w:col w:w="3380"/>
          </w:cols>
          <w:pgMar w:left="320" w:top="877" w:right="339" w:bottom="1440" w:gutter="0" w:footer="0" w:header="0"/>
          <w:type w:val="continuous"/>
        </w:sectPr>
      </w:pPr>
    </w:p>
    <w:tbl>
      <w:tblPr>
        <w:tblLayout w:type="fixed"/>
        <w:tblInd w:w="1500" w:type="dxa"/>
        <w:tblCellMar>
          <w:top w:w="0" w:type="dxa"/>
          <w:left w:w="0" w:type="dxa"/>
          <w:bottom w:w="0" w:type="dxa"/>
          <w:right w:w="0" w:type="dxa"/>
        </w:tblCellMar>
      </w:tblPr>
      <w:tr>
        <w:trPr>
          <w:trHeight w:val="252"/>
        </w:trPr>
        <w:tc>
          <w:tcPr>
            <w:tcW w:w="460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w w:val="98"/>
              </w:rPr>
              <w:t>622 Third Avenue, New York, NY</w:t>
            </w:r>
          </w:p>
        </w:tc>
        <w:tc>
          <w:tcPr>
            <w:tcW w:w="266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193"/>
        </w:trPr>
        <w:tc>
          <w:tcPr>
            <w:tcW w:w="460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jc w:val="center"/>
              <w:ind w:left="191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23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00" w:type="dxa"/>
            <w:vAlign w:val="bottom"/>
          </w:tcPr>
          <w:p>
            <w:pPr>
              <w:spacing w:after="0"/>
              <w:rPr>
                <w:sz w:val="21"/>
                <w:szCs w:val="21"/>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1"/>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TALK</w:t>
            </w:r>
          </w:p>
        </w:tc>
        <w:tc>
          <w:tcPr>
            <w:tcW w:w="1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to purchase common stock</w:t>
            </w:r>
          </w:p>
        </w:tc>
        <w:tc>
          <w:tcPr>
            <w:tcW w:w="12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TALKW</w:t>
            </w:r>
          </w:p>
        </w:tc>
        <w:tc>
          <w:tcPr>
            <w:tcW w:w="1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(Title of class)</w:t>
      </w:r>
    </w:p>
    <w:p>
      <w:pPr>
        <w:spacing w:after="0" w:line="151" w:lineRule="exact"/>
        <w:rPr>
          <w:sz w:val="24"/>
          <w:szCs w:val="24"/>
          <w:color w:val="auto"/>
        </w:rPr>
      </w:pPr>
    </w:p>
    <w:p>
      <w:pPr>
        <w:ind w:right="1540"/>
        <w:spacing w:after="0" w:line="340"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1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30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10"/>
        </w:trPr>
        <w:tc>
          <w:tcPr>
            <w:tcW w:w="2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17"/>
        </w:trPr>
        <w:tc>
          <w:tcPr>
            <w:tcW w:w="212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52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4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0"/>
          <w:szCs w:val="20"/>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17"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6"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76" w:lineRule="exact"/>
        <w:rPr>
          <w:sz w:val="20"/>
          <w:szCs w:val="20"/>
          <w:color w:val="auto"/>
        </w:rPr>
      </w:pPr>
    </w:p>
    <w:p>
      <w:pPr>
        <w:spacing w:after="0" w:line="207" w:lineRule="exact"/>
        <w:tabs>
          <w:tab w:leader="none" w:pos="83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common stock held by non-affiliates of the Company on June 30, 2023 was $181.8 million based on the per share closing price of the Company's common stock on June 30, 2023 of $1.27.</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outstanding on March 12, 2024 was 168,903,571.</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Company's definitive Proxy Statement for the 2024 Annual Meeting of Stockholders to be filed by the Company pursuant to Regulation 14A is incorporated into Items 10, 11, 12, 13 and 14 of Part III of this Form 10-K.</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Auditor Firm Id:</w:t>
            </w:r>
          </w:p>
        </w:tc>
        <w:tc>
          <w:tcPr>
            <w:tcW w:w="90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1281</w:t>
            </w:r>
          </w:p>
        </w:tc>
        <w:tc>
          <w:tcPr>
            <w:tcW w:w="6340" w:type="dxa"/>
            <w:vAlign w:val="bottom"/>
          </w:tcPr>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Auditor Name:   </w:t>
            </w:r>
            <w:r>
              <w:rPr>
                <w:rFonts w:ascii="Times New Roman" w:cs="Times New Roman" w:eastAsia="Times New Roman" w:hAnsi="Times New Roman"/>
                <w:sz w:val="15"/>
                <w:szCs w:val="15"/>
                <w:color w:val="auto"/>
              </w:rPr>
              <w:t>Kost Forer Gabbay &amp; Kasierer, a member of Ernst &amp;</w:t>
            </w:r>
            <w:r>
              <w:rPr>
                <w:rFonts w:ascii="Times New Roman" w:cs="Times New Roman" w:eastAsia="Times New Roman" w:hAnsi="Times New Roman"/>
                <w:sz w:val="15"/>
                <w:szCs w:val="15"/>
                <w:b w:val="1"/>
                <w:bCs w:val="1"/>
                <w:color w:val="auto"/>
              </w:rPr>
              <w:t xml:space="preserve">  Auditor Location:</w:t>
            </w:r>
          </w:p>
        </w:tc>
        <w:tc>
          <w:tcPr>
            <w:tcW w:w="2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Tel-Aviv, Israel</w:t>
            </w:r>
          </w:p>
        </w:tc>
      </w:tr>
      <w:tr>
        <w:trPr>
          <w:trHeight w:val="198"/>
        </w:trPr>
        <w:tc>
          <w:tcPr>
            <w:tcW w:w="1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340" w:type="dxa"/>
            <w:vAlign w:val="bottom"/>
          </w:tcPr>
          <w:p>
            <w:pPr>
              <w:ind w:left="1660"/>
              <w:spacing w:after="0"/>
              <w:rPr>
                <w:sz w:val="20"/>
                <w:szCs w:val="20"/>
                <w:color w:val="auto"/>
              </w:rPr>
            </w:pPr>
            <w:r>
              <w:rPr>
                <w:rFonts w:ascii="Times New Roman" w:cs="Times New Roman" w:eastAsia="Times New Roman" w:hAnsi="Times New Roman"/>
                <w:sz w:val="15"/>
                <w:szCs w:val="15"/>
                <w:color w:val="auto"/>
              </w:rPr>
              <w:t>Young Global</w:t>
            </w:r>
          </w:p>
        </w:tc>
        <w:tc>
          <w:tcPr>
            <w:tcW w:w="2680" w:type="dxa"/>
            <w:vAlign w:val="bottom"/>
          </w:tcPr>
          <w:p>
            <w:pPr>
              <w:spacing w:after="0"/>
              <w:rPr>
                <w:sz w:val="17"/>
                <w:szCs w:val="17"/>
                <w:color w:val="auto"/>
              </w:rPr>
            </w:pPr>
          </w:p>
        </w:tc>
      </w:tr>
      <w:tr>
        <w:trPr>
          <w:trHeight w:val="157"/>
        </w:trPr>
        <w:tc>
          <w:tcPr>
            <w:tcW w:w="1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3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tcPr>
          <w:p>
            <w:pPr>
              <w:spacing w:after="0"/>
              <w:rPr>
                <w:sz w:val="13"/>
                <w:szCs w:val="13"/>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3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r>
        <w:trPr>
          <w:trHeight w:val="1175"/>
        </w:trPr>
        <w:tc>
          <w:tcPr>
            <w:tcW w:w="13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3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30" w:type="dxa"/>
        <w:tblCellMar>
          <w:top w:w="0" w:type="dxa"/>
          <w:left w:w="0" w:type="dxa"/>
          <w:bottom w:w="0" w:type="dxa"/>
          <w:right w:w="0" w:type="dxa"/>
        </w:tblCellMar>
      </w:tblPr>
      <w:tr>
        <w:trPr>
          <w:trHeight w:val="262"/>
        </w:trPr>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920" w:type="dxa"/>
            <w:vAlign w:val="bottom"/>
            <w:gridSpan w:val="9"/>
          </w:tcPr>
          <w:p>
            <w:pPr>
              <w:ind w:left="2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6"/>
        </w:trPr>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5"/>
        </w:trPr>
        <w:tc>
          <w:tcPr>
            <w:tcW w:w="126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60" w:type="dxa"/>
            <w:vAlign w:val="bottom"/>
            <w:gridSpan w:val="3"/>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1C.</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75"/>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gridSpan w:val="3"/>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6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475"/>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gridSpan w:val="3"/>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6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475"/>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gridSpan w:val="3"/>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6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12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92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439"/>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 Index</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help people everywhere to heal.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Talkspace, Inc. together with its consolidated subsidiaries (referred to herein as the “Company”, “we”, “our”, “us” or “Talkspace”) is a leading behavioral healthcare company that offers convenient and affordable access to a fully-credentialed network of licensed therapists, psychologists, and psychiatrists. Founded in 2012, and enabled by a purpose-built technology platform, we have connected millions of patients, who we refer to as our “members” with licensed mental health providers through messaging, video and audio.</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Talkspace was originally incorporated as Hudson Executive Investment Corp. (“HEC”), a special purpose acquisition company, for the purpose of entering into a business combination with one or more businesses or entities. On January 12, 2021, HEC, entered into an Agreement and Plan of Merger, dated as of January 12, 2021 (the “Merger Agreement”), with Groop Internet Platform, Inc. (“Old Talkspace”), Tailwind Merger Sub I, Inc., a Delaware corporation and a direct wholly owned subsidiary of HEC (“First Merger Sub”), and Tailwind Merger Sub II, LLC, a Delaware limited liability company (“Second Merger Sub”). On June 22, 2021, as contemplated by the Merger Agreement, First Merger Sub merged with and into Old Talkspace (the “First Merger”) with Old Talkspace surviving the First Merger, and immediately following the First Merger and as part of the same overall transaction as the First Merger, Old Talkspace merged with and into Second Merger Sub, with Second Merger Sub surviving the merger as a wholly owned subsidiary of HEC. The Company refers to this transaction as the Business Combination. In connection with the Business Combination, HEC filed the Certificate of Incorporation and changed its name to “Talkspace, Inc.”</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our platform, we serve our payor clients ("Payor"), comprised of health plans and employee assistance programs such as Aetna, Cigna, and Optum, who offer their insured members access to our platform at in-network reimbursement rates, our Direct-to-Enterprise clients ("DTE"), comprised of enterprises such as Google and the University of Kentucky who offer their enterprise members access to our platform while their enterprise is under an active contract with Talkspace, and individual subscribers ("Consumer") who subscribe directly to our platform; (collectively, our "clients").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our psychotherapy offerings, our licensed therapists and counselors treat mental health conditions in over 21 specializations, such as depression, anxiety, trauma and other fields of human challenges. Through our psychiatry offerings, our board-certified psychiatrists and prescription-eligible nurse practitioners treat a higher acuity patient demographic, including those who may have pharmacological needs. Our psychiatry clinicians, may in their discretion, refer the member to a primary care provider or face-to-face psychiatrist if the clinical need arises, including to address potential needs for “controlled substances.” Talkspace does not prescribe controlled substances in accordance with the Drug Enforcement Administration (“DEA”) Ryan Haight Act.</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vast nationwide network of fully-credentialed providers across all 50 U.S. states. Our network is sustained and enhanced by an attractive value proposition to providers, including flexibility, convenience, efficiency, professional development opportunities and income. We also believe that our platform provides other benefits to providers through expanded reach, steady access to member leads, reduced administrative burdens, more efficient time utilization and data-driven insights. We designed our provider network to be scalable and to leverage a hybrid model of both employee providers and independently contracted providers to support multiple growth scenarios.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network has the power to deliver an enhanced care journey, higher member lifetime engagement and meaningful outcomes for our clients, as well as generally greater margins when compared to face-to-face treatment. In pursuing our mission of helping people everywhere to heal, we aim to provide our members with high-quality behavioral healthcare via coverage through a health plan, employee access program, or enterprise benefit or whether they are paying for the service directly.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our revenues were $150.0 million compared to $119.6 million for the year ended December 31, 2022. As of December 31, 2023, we had approximately 131 million eligible lives through our Payor and DTE clients and approximately 11,700 Consumer active members compared to 92 million eligible lives and 15,400 Consumer active members as of December 31, 2022. Completed sessions for members covered under our Payor clients during the year ended December 31, 2023 were approximately 850,600 compared to 426,400 completed sessions for the year ended December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Offerings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seeking to eliminate barriers in accessing and utilizing mental healthcare and offering providers technology-enabled tools to provide high-quality clinical care with a data-driven approach to treatment, we offer our members a robust ecosystem for end-to-end behavioral healthcare. Our offerings include psychotherapy and psychiatry services.</w:t>
      </w:r>
    </w:p>
    <w:p>
      <w:pPr>
        <w:spacing w:after="0" w:line="1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Psychotherapy</w:t>
      </w:r>
      <w:r>
        <w:rPr>
          <w:rFonts w:ascii="Times New Roman" w:cs="Times New Roman" w:eastAsia="Times New Roman" w:hAnsi="Times New Roman"/>
          <w:sz w:val="18"/>
          <w:szCs w:val="18"/>
          <w:color w:val="auto"/>
        </w:rPr>
        <w:t>: In psychotherapy, or “talk therapy,” members work with a licensed therapist or counselor to treat specific mental health conditions like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depression or anxiety, trauma and other human challenges, including by developing positive thinking and coping skills. We offer text, audio and video-based psychotherapy from licensed therapists.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Psychiatry</w:t>
      </w:r>
      <w:r>
        <w:rPr>
          <w:rFonts w:ascii="Times New Roman" w:cs="Times New Roman" w:eastAsia="Times New Roman" w:hAnsi="Times New Roman"/>
          <w:sz w:val="18"/>
          <w:szCs w:val="18"/>
          <w:color w:val="auto"/>
        </w:rPr>
        <w:t>: In psychiatry, members receive personalized, expert care from a prescriber who specializes in mental healthcare and prescription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 packages include one initial video consultation, with follow-up video appointments as needed. Like the traditional face-to-face model, Talkspace providers can prescribe medication they deem necessary up and until the point, that in the providers discretion, the member requires a face-to-face provider for potential need of those prescriptions labeled a “controlled substance” under the federal Controlled Substances Act. Our psychiatry services are comprised of board-certified psychiatrists, as well as prescription-eligible nurse practitioners who may supplement the psychiatrist in follow-up visits and act in a medication management capacity.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pursuit of our mission to expand access to all individuals in need of behavioral services, we strive to deliver effective care to a broad range of customers.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Talkspace Behavioral Health plan ("BH") and Talkspace Employee Assistance Program ("EAP) or Payor, we contract with a number of U.S. health plans to provide online therapy to insured members. Through Talkspace for Business or DTE, enterprise members access our platform services on a benefit plan paid by their enterprise.</w:t>
      </w:r>
    </w:p>
    <w:p>
      <w:pPr>
        <w:spacing w:after="0" w:line="68" w:lineRule="exact"/>
        <w:rPr>
          <w:sz w:val="20"/>
          <w:szCs w:val="20"/>
          <w:color w:val="auto"/>
        </w:rPr>
      </w:pPr>
    </w:p>
    <w:p>
      <w:pPr>
        <w:jc w:val="both"/>
        <w:ind w:left="76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Payor clients: Through our BH offering, our members receive care directly covered through their individual health plan where our providers are considered in-network. Through our EAP offering, we contract with major Payor clients who are contracted with enterprises to deliver care. Through this solution, we are able to provide therapy and psychiatry services to our clients’ members, who then pay a flat rate per session or interaction, of which we receive a portion of the fee. A representative sample of our health plan clients include Aetna, Cigna and Optum.</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DTE clients: Through our DTE offering, we contract directly with enterprises to provide their enterprise members unlimited synchronous and asynchronous care primarily on a per-member-per-month (“PMPM”) basis. Enterprises can include employers, academic organizations, higher education, and government entities. Through our contracts we provide mental health solutions to enterprise members which includes employees, teens, students and student athletes. A representative sample of our enterprise clients include Google, the University of Kentucky and the New York City Department of Health and Mental Hygiene.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2023, we had approximately 131 million eligible lives within our Payor and DTE clients. See Note 2, “Summary of Significant Accounting Policies and Estimates” in the notes to the consolidated financial statements for more details on the Company's contractual agreements.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Within our Consumer members, we serve a diverse customer base, with members from all socioeconomic backgrounds, ages, genders, ethnicities, geographies and income level. Further, with both psychotherapy and psychiatry professionals, along with a comprehensive suite of self-help tools, our platform is designed to address the needs of members across a broad range of acuities. As of December 31, 2023, we had approximately 11,700 Consumer active members located across all 50 U.S. states and select international markets. Consumer active members may cancel their subscription at any time and will receive a pro-rata refund for the subscription price.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Platform</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virtual therapy offers an attractive opportunity to improve behavioral health through data science and machine learning. Through digital phenotyping and predictive modeling, the data imprint left by interactions on our platform opens a new, quantitative viewpoint into the behavioral condition of our members. By securely leveraging our unique dataset to identify patterns, which is augmented by advanced, data-driven tools to personalize care, we believe we are able to optimize clinical outcomes. We have designed our technology platform and information practices to achieve and maintain compliance with HIPAA and other legal requirements regarding the confidentiality of patient information. We maintain a written privacy and information security management program, led by designated subject matter experts, in order to (i) limit how we use and disclose protected health information of the members who utilize our technology platform or therapeutic services, (ii) implement reasonable administrative, physical, and technical safeguards to protect such information from misuse or cyber-attacks, and (iii) assist our customers with certain duties such as access to information under the privacy standards, among other program elements. We require our agents and subcontractors who have access to such information to enter into written agreements that require them to meet the same standards for security and privacy. We obtain third-party examinations of our controls relating to security and data privacy. In particular, we regularly obtain a Type II Service Organization Control SOC 2 report (Reporting on Controls at a Service Organization relevant to security, availability and privacy). We also retain outside consultants to regularly assess our vulnerability through penetration testing and analysis of our compliance with the HIPAA Security Rule.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depicts the technology-enabled process flow that supports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154305</wp:posOffset>
            </wp:positionV>
            <wp:extent cx="4877435" cy="2082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77435"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Matching algorithm</w:t>
      </w:r>
      <w:r>
        <w:rPr>
          <w:rFonts w:ascii="Times New Roman" w:cs="Times New Roman" w:eastAsia="Times New Roman" w:hAnsi="Times New Roman"/>
          <w:sz w:val="18"/>
          <w:szCs w:val="18"/>
          <w:color w:val="auto"/>
        </w:rPr>
        <w:t>: We utilize machine learning to predict a provider’s efficacy at onboarding. Our matching algorithm combines information from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structured and unstructured sources to predict which therapists have the greatest chance of success with each patient. Our matching model concurrently gathers client and therapist data and screens the therapists’ population to match the patient’s characteristics, clinical needs and preferences. Our machine learning technology also enables us to track the frequency and quality of clinical interactions, allowing us to provide a better therapist match should the patient request a new clinician.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Robust data ecosystem</w:t>
      </w:r>
      <w:r>
        <w:rPr>
          <w:rFonts w:ascii="Times New Roman" w:cs="Times New Roman" w:eastAsia="Times New Roman" w:hAnsi="Times New Roman"/>
          <w:sz w:val="18"/>
          <w:szCs w:val="18"/>
          <w:color w:val="auto"/>
        </w:rPr>
        <w:t>: We have a closed-loop data ecosystem providing a multi-dimensional view of the individuals who seek treatment on our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data provides a holistic picture of each user – the problems they manifest, diagnoses, treatment plans, medical history, personal history, and clinical outcomes. Our data contains over 7.2 billion words sent by millions of users over 127 million anonymized messages. We have approximately 5 million completed psychological assessments. Our data contains information about members collected by therapists, including approximately 1 million diagnoses and over 2.8 million progress and psychotherapy notes. Our data also contains information about therapists reported by members, including over 2.1 million therapist ratings. We believe the size and depth of our clinical data is vast relative to the industry and is a differentiating element of our digitally-native modality.</w:t>
      </w:r>
    </w:p>
    <w:p>
      <w:pPr>
        <w:spacing w:after="0" w:line="1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Empowering providers to deliver enhanced care</w:t>
      </w:r>
      <w:r>
        <w:rPr>
          <w:rFonts w:ascii="Times New Roman" w:cs="Times New Roman" w:eastAsia="Times New Roman" w:hAnsi="Times New Roman"/>
          <w:sz w:val="18"/>
          <w:szCs w:val="18"/>
          <w:color w:val="auto"/>
        </w:rPr>
        <w:t>: Our providers are equipped with tools that allow them to optimize time utilization and improve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One of the leading challenges in behavioral healthcare is a patient’s premature termination of engagement with the provider and, thus, a core focus of our machine learning strategy is to drive member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engagement and increase care continuity, helping members to continue treatment long enough to reap its benefits. In order to extend the lifetime duration of our member base, we provide our providers insights on their patients’ needs and behaviors and offer techniques and suggestions that we believe are likely to maximize their patients’ satisfaction and engagement. These insights, delivered through our fully-integrated data intelligence platform, help providers to deliver effective treatments to their patients, and raise members’ awareness when tracking their own clinical progress.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Performance tracking and feedback</w:t>
      </w:r>
      <w:r>
        <w:rPr>
          <w:rFonts w:ascii="Times New Roman" w:cs="Times New Roman" w:eastAsia="Times New Roman" w:hAnsi="Times New Roman"/>
          <w:sz w:val="18"/>
          <w:szCs w:val="18"/>
          <w:color w:val="auto"/>
        </w:rPr>
        <w:t>: Our “Intro and Expectations” system detects whether providers have followed best practices in the crucial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introductory phase of the therapy relationship and reminds them to do so if they have not. Our “Crisis Risk system” monitors all incoming members’ messages for linguistic features associated with potential danger or self-harm and draws providers’ attention to these cases. Our “Session Highlights system” provides a weekly digest of patient messages and helps therapists draft notes on clinical progress.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view as competitors those companies whose primary business is developing and marketing telehealth and virtual behavioral health platforms and services. Competition focuses on, among other factors, technology, breadth and depth of functionality, range of associated services, operational experience, customer support, extent of client and member bases, and reputation. Our key competitors in the telehealth and teletherapy markets are American Well Corporation, Teladoc, Lyra Health and Spring Health, among other small industry participants.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large, well-financed health systems and health plans have in some cases developed their own virtual behavioral health tools and may provide these solutions to their consumers at discounted prices. In the future we may face competition from large technology companies, such as Apple, Amazon, Meta, Verizon, or Microsoft, who may wish to develop their own virtual behavioral health solutions, as well as from large retailers like Amazon or Walmart. We believe that the breadth of our existing client and member bases, the depth of our technology platform, and our business-to-business focus on promoting existing healthcare brands and integrating freely with multiple platforms increases the likelihood that stakeholders seeking to develop virtual behavioral healthcare solutions will choose instead to collaborate with Talkspace.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Therapists, Physicians and Healthcare Professionals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second quarter of 2022, we completed the transition of our structure with respect to our relationships with healthcare providers, transitioning to a structure where Talkspace LLC, our wholly-owned subsidiary, has entered into various agreements with Talkspace Provider Network, PA ("TPN"), a Texas professional association entity, which in turn contracts with our other affiliated professional entities ("PC entities"), physicians, therapists, and other licensed professionals for clinical and professional services provided to our members. As part of this transition, Talkspace LLC is party to various Management Services Agreements (“MSAs”) with TPN and the PC entities. Pursuant to the MSAs, Talkspace LLC is the managing entity (the “Manager”) and provides management and administrative resources and services essential to the operations of these entities and receives a management fee for these services and reimbursement of expenses incurred. TPN and the PC entities in turn have the obligation under the MSAs to engage all licensed physicians and other health professionals to provide behavioral healthcare services to our members.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transition to a structure where we operate under various MSAs with professional associations and professional corporations authorized by state law to contract with affiliated professionals to delivery teletherapy services to its members helps ensure we are able to comply with all applicable regulatory requirements, including the corporate practice of medicine and fee-splitting laws, that are necessarily implicated by engaging in telehealth care that can only be delivered by physicians. The Company is continuing to transition its current agreements with its clients, members and other business partners to TPN and/or the PC entities, where applicable.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“Variable Interest Entities” in the notes to the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Overview</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workforce is critical to the creation and delivery of its services and the success of the company. Our ability to attract, develop and retain talented employees with the skills and capabilities needed by our business is a key component of our long-term growth and our mission of providing more people with convenient access to quality, affordable behavioral healthcare.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views full-time employees and independently contracted providers as its total workforce, and each are eligible for the various formal and informal programs and resources to support, recruit, train and retain its workforce. The Company's human capital network includes, but is not limited to, employee and independently contracted providers (licensed therapists, psychologists, psychiatrists), as well as employees in various support functions throughout the Company. The human capital needs and strategy of our business is overseen by the Company's Board of Directors and Chief Executive Officer and supported by the Company’s Human Resources Department, which reports directly to the Chief Executive Officer.</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we had 472 employees comprised of 252 providers and 220 professionals supporting the accounting, finance, technology, sales, marketing and other support functions and 5,235 independently contracted providers. With providers comprising a considerable segment of the Company’s workforce, they are a significant human capital resource for the Company, and, accordingly, we view their recruitment, retention, compensation and productivity as important to the success of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Culture and Values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Tone at the top is what drives us. We are committed to maintaining a respectful, secure and supportive workplace culture with open communication and accessible, safe channels for feedback. In addition, all employees are required to complete training and affirm compliance with the Talkspace Code of Business Conduct and Ethics (the “Code”), which confirms the Company’s policy to conduct its affairs in compliance with all applicable laws and regulations and observe the highest standards of business ethics. The Code is reviewed regularly by the Audit Committee and approved by the Board of Directors and is complemented by other policies and training. Any violations of our Code are encouraged to be immediately reported and are kept anonymously.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Talkspace is committed to creating and maintaining a workplace in which all employees have an opportunity to participate and contribute to the success of the business. Talkspace provides equal employment opportunities to all employees and applicants for employment without regard to race, color, ancestry, national origin, gender, sexual orientation, marital status, religion, age, disability, gender identity, results of genetic testing, or service in the military. Equal employment opportunity applies to all terms and conditions of employment, including hiring, placement, promotion, separation, transfers, compensation, and training. The Company is committed to cultivating diversity and broadening opportunities for inclusion across its business through its recruitment practices, employee development and mentoring and inclusivity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committed to hiring the most qualified candidates to fill open positions. Whenever appropriate and possible, open positions are filled with internal candidates to help team members in their career development and enrich a culture of growth. Compensation and benefits programs are focused on attracting, retaining and motivating the top talent necessary to achieve the Company’s mission in ways that reflect its diverse workforce’s needs and priorities. In addition to competitive salaries, the Company and its businesses have established short and long-term incentive programs including stock-based compensation awards and cash-based performance bonus awards, which are designed to motivate and reward performance against key business objectives and facilitate retention. Performance bonus allocations are provided based on the organization meeting its financial goals, the employee achieving goals set by their supervisor, and per the employment agreements and/or any other written agreement. In addition, the Company provides retirement benefits and other comprehensive benefit options to meet the needs of its employees, including healthcare benefits, tax advantaged savings vehicles, life and disability insurance, paid time off, flexible working arrangements, generous parental leave policies and access to wellness programs.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Training and Development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growth mindset culture begins with valuing learning over knowing – seeking out new ideas, driving innovation, embracing challenges, learning from failure, and improving over time. The Company strives to provide mentorship and career development to existing employees to help everyone on the team reach their full potential and employees are encouraged to reach out to their supervisors if further development training is needed. In addition, the Company provides ongoing training in areas related to HIPAA, Cybersecurity, Security and Privacy Controls, Fraud Waste, and Abuse and Anti-Harassment and Discrimination training, among others.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Regulation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are subject to comprehensive United States federal, state and local and international regulation in the jurisdictions in which we do business. Our ability to operate profitably will depend in part upon our ability, and that of our affiliated providers, to maintain all necessary licenses and to operate in compliance with applicable laws and rules. Those laws and rules continue to evolve and can become more restrictive, and we therefore devote significant resources to monitoring developments in healthcare and medical practice regulation. As the applicable laws and rules change, we are likely to make conforming modifications in our business processes from time to time. In some jurisdictions where we operate, neither our current nor our anticipated business model has been the subject of formal judicial or administrative interpretation. We cannot be assured that a review of our business by courts or regulatory authorities will not result in determinations that could adversely affect our operations or that the healthcare regulatory environment will not change in a way that impacts our operations.</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an additional discussion of our regulatory environment, see “Risk Factors—Risk Related to Our Legal and Regulatory Environment” included in Part I, Item 1A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Telehealth and Teletherapy Provider Licensing, Medical Practice, Certification and Related Laws and Guidelines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practice of medicine, including the provision of therapy services, is subject to various federal, state and local certification and licensing laws, regulations, approvals and standards, relating to, among other things, the adequacy of medical care, the practice of medicine and licensed professional services (including the provision of remote care), equipment, personnel, operating policies and procedures and the prerequisites for the prescription of medication and ordering of tests. The application of some of these laws to telehealth and teletherapy is unclear and subject to differing interpretations.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Physicians, therapists and other licensed professionals who provide professional medical and therapy services to a patient via telehealth and teletherapy must, in most instances, hold a valid license to practice medicine or another licensed profession in the state in which the patient is located. We have established systems for ensuring that our affiliated professionals are appropriately licensed under applicable state law and that their provision of telehealth and teletherapy to our members occurs in each instance in compliance with applicable rules governing telehealth and teletherapy. Failure to comply with these laws and regulations could result in licensure actions against the professionals, our services being found to be non-reimbursable, or prior payments being subject to recoupments and can give rise to civil, criminal or administrative penalties.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 Laws in the U.S.; Fee Splitting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contract with physicians or physician owned professional associations, professional corporations and therapists to provide access to our platform and to provide therapy to their patients. We have entered into MSAs with TPN and the PC entities pursuant to which we provide billing, scheduling and a wide range of other administrative and management services in exchange for management and other service fees. These contractual relationships are subject to various state laws that prohibit fee splitting or the corporate practice of medicine or professional services by lay entities or persons and that are intended to prevent unlicensed persons from interfering with or influencing a physician’s or another licensed professional’s clinical judgment. Activities other than those directly related to the delivery of healthcare may be considered an element of the practice of medicine in many states. Under the corporate practice of medicine and other licensed profession restrictions of certain states, decisions and activities such as contracting, setting rates and the hiring and management of personnel may implicate the restrictions on the corporate practice of medicine or other licensed profession.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 corporate practice of medicine or other licensed professions and fee splitting laws and rules vary from state to state. In addition, these requirements are subject to broad interpretation and enforcement by state regulators. Some of these requirements may apply to us even if we do not have a physical presence in the state, based solely on our engagement of a provider licensed in the state or the provision of telehealth and teletherapy to a resident of the state. Thus, regulatory authorities or other parties, including our providers, may assert that, despite these arrangements, we are engaged in the corporate practice of medicine or a licensed profession or that our contractual arrangements with affiliated providers constitute unlawful fee splitting. In such event, failure to comply could lead to adverse judicial or administrative action against us and/or our affiliated providers, civil, criminal or administrative penalties, receipt of cease and desist orders from state regulators, loss of provider licenses, the need to make changes to the terms of engagement of our providers that interfere with our business, and other materially adverse consequences.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and State Fraud and Abuse Laws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our services are not currently reimbursed by government healthcare programs such as Medicare or Medicaid, any future reimbursement from federal and/or state healthcare programs could expose our business to broadly applicable fraud and abuse laws and other healthcare laws and regulations that would regulate the business. Applicable and potentially applicable U.S. federal and state healthcare laws and regulations include, but are not limited to, those discussed below.</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Federal Stark Law</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in the future some of our revenues come from federal healthcare programs, we will be subject to the federal self-referral prohibitions, commonly known as the Stark Law. Where applicable, this law prohibits a physician from referring Medicare patients to an entity providing “designated health services” such as laboratory and other diagnostic services and prescription drugs that are furnished at an entity if the physician or a member of such physician’s immediate family has a “financial relationship” with the entity, unless an exception applies. Sanctions for violating the Stark Law include denial of payment, civil monetary penalties of up to $26,125 per claim submitted and twice the value of each such service and exclusion from the federal healthcare programs. Failure to refund amounts received as a result of a prohibited referral on a timely basis may constitute a false or fraudulent claim and may result in civil penalties and additional penalties under the federal False Claims Act (“FCA”). The statute also provides for a penalty of up to $174,172 for a circumvention scheme. The Stark Law is a strict liability statute, which means proof of specific intent to violate the law is not required. In addition, the government and some courts have taken the position that claims presented in violation of the various statutes, including the Stark Law, can be considered a violation of the FCA (described below) based on the contention that a provider impliedly certifies compliance with all applicable laws, regulations and other rules when submitting claims for reimbursement. A determination of liability under the Stark Law for TPN, the PC entities or our affiliated physicians could have a material adverse effect on our business, financial condition and results of operations.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Federal Anti-Kickback Statute</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will also be subject to the federal Anti-Kickback Statute if any of our services become reimbursable by government healthcare programs. The Anti-Kickback Statute is broadly worded and prohibits the knowing and willful offer, payment, solicitation or receipt of any form of remuneration in return for, or to induce, (i) the referral of a person covered by Medicare, Medicaid or other governmental programs, (ii) the furnishing or arranging for the furnishing of items or services reimbursable under Medicare, Medicaid or other governmental programs or (iii) the purchasing, leasing or ordering or arranging or recommending purchasing, leasing or ordering of any item or service reimbursable under Medicare, Medicaid or other governmental programs. Certain federal courts have held that the Anti-Kickback Statute can be violated if “one purpose” of a payment is to induce referrals. In addition, a person or entity does not need to have actual knowledge of this statute or specific intent to violate it to have committed a violation, making it easier for the government to prove that a defendant had the requisite state of mind or “scienter” required for a violation. Moreover, the government may assert that a claim including items or services resulting from a violation of the Anti-Kickback Statute constitutes a false or fraudulent claim for purposes of the FCA, as discussed below. Violations of the federal Anti-Kickback Statute may result in civil monetary penalties up to $105,563 for each violation, plus up to three times the remuneration involved. Civil penalties for such conduct can further be assessed under the FCA. Violations of the federal Anti-Kickback Statute can also result in criminal penalties, including criminal fines of more than $100,000 and imprisonment of up to 10 years. Similarly, violations can result in exclusion from participation in government healthcare programs, including Medicare and Medicaid. Imposition of any of these remedies could have a material adverse effect on our business, financial condition and results of operations, if in the future we provide services reimbursable by government healthcare programs. In addition to a few statutory exceptions, the Office of Inspector General (“OIG”) has published safe-harbor regulations that outline categories of activities that are deemed protected from prosecution under the Anti-Kickback Statute provided all applicable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criteria are met. The failure of a financial relationship to meet all of the applicable safe harbor criteria does not necessarily mean that the particular arrangement violates the Anti-Kickback Statute. However, conduct and business arrangements that do not fully satisfy each applicable safe harbor may result in increased scrutiny by government enforcement authorities, such as the OIG.</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False Claims Act</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Both federal and state government agencies have continued civil and criminal enforcement efforts as part of numerous ongoing investigations of healthcare companies and their executives and managers. Although there are a number of civil and criminal statutes that can be applied to healthcare providers, a significant number of these investigations involve the FCA. These investigations can be initiated not only by the government but also by a private party asserting direct knowledge of fraud. These “qui tam” whistleblower lawsuits may be initiated against any person or entity alleging such person or entity has knowingly or recklessly presented, or caused to be presented, a false or fraudulent request for payment from the federal government or has made a false statement or used a false record to get a claim approved. In addition, the improper retention of an overpayment for 60 days or more is also a basis for an FCA action, even if the claim was originally submitted appropriately. Penalties for FCA violations include fines ranging from $13,508 to $27,018 for each false claim, plus up to three times the amount of damages sustained by the federal government. An FCA violation may provide the basis for exclusion from the federally funded healthcare programs.</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State Fraud and Abuse Laws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Several states in which we operate have also adopted or may adopt similar self-referral, anti-kickback, fraud, whistleblower and false claims laws as described above. The scope of these laws and the interpretations of them vary by jurisdiction and are enforced by local courts and regulatory authorities, each with broad discretion. Some state fraud and abuse laws apply to items or services reimbursed by Medicaid programs and any third-party payer, including commercial insurers or to any payer, including to funds paid out of pocket by a patient. A determination of liability under such state fraud and abuse laws could result in fines and penalties and restrictions on our ability to operate in these jurisdictions.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FCA established several separate criminal penalties for making false or fraudulent claims to insurance companies and other non-governmental payers of healthcare services. Under FCA, these two additional federal crimes are: “Healthcare Fraud” and “False Statements Relating to Healthcare Matters.” The Healthcare Fraud statute prohibits knowingly and recklessly executing a scheme or artifice to defraud any healthcare benefit program, including private payers. A violation of this statute is a felony and may result in fines, imprisonment, or exclusion from government sponsored programs. The False Statements Relating to Healthcare Matters statute prohibits knowingly and willfully falsifying, concealing, or covering up a material fact by any trick, scheme or device or making any materially false, fictitious, or fraudulent statement in connection with the delivery of or payment for healthcare benefits, items, or services. A violation of this statute is a felony and may result in fines or imprisonment. This statute could be used by the government to assert criminal liability if a healthcare provider knowingly fails to refund an overpayment. These provisions are intended to punish some of the same conduct in the submission of claims to private payers as the federal False Claims Act covers in connection with governmental health programs. In addition, the Civil Monetary Penalties Law imposes civil administrative sanctions for, among other violations, inappropriate billing of services to federally funded healthcare programs and employing or contracting with individuals or entities who are excluded from participation in federally funded healthcare programs. Moreover, a person who offers or transfers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for civil monetary penalties of up to $10,000 for each wrongful act. Furthermore, in certain cases, providers who routinely waive copayments and deductibles for Medicare and Medicaid beneficiaries can also be held liable under the Anti-Kickback Statute and civil False Claims Act, which can impose additional penalties associated with the wrongful act. One of the statutory exceptions to the prohibition is non-routine, unadvertised waivers of copayments or deductible amounts based on individualized determinations of financial need or exhaustion of reasonable collection efforts. The OIG emphasizes, however, that this exception should only be used occasionally to address special financial needs of a particular patient. Although this prohibition applies only to federal healthcare program beneficiaries, the routine waivers of copayments and deductibles offered to patients covered by commercial payers may implicate applicable state laws related to, among other things, unlawful schemes to defraud, excessive fees for services, tortious interference with patient contracts, and statutory or common law fraud.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State and Federal Health Information Privacy and Security Laws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including health information. In particular, HIPAA imposes a number of requirements on covered entities and their business associates relating to the use, disclosure and safeguarding of protected health information. These requirements include uniform standards of common electronic healthcare transactions; privacy and security regulations; and unique identifier rules for employers, health plans and providers. In addition, the Health Information Technology for Economic and Clinical Health Act, or HITECH, provisions of the American Recovery and Reinvestment Act of 2009 and corresponding implementing regulations have imposed additional requirements on the use and disclosure of protected health information such as additional breach notification and reporting requirements, contracting requirements for HIPAA business associate agreements, strengthened enforcement mechanisms and increased penalties for HIPAA violations. Federal consumer protection laws may also apply in some instances to privacy and security practices related to personal information.</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Violations of HIPAA may result in civil and criminal penalties. However, a single breach incident can result in violations of multiple standards. Our management responsibilities to TPN and the PC entities include assisting it with its obligations under HIPAA’s breach notification rule. Under the breach notification rule, covered entities must notify affected individuals without unreasonable delay in the case of a breach of unsecured protected health information (“PHI”), which may compromise the privacy, security or integrity of the PHI. In addition, notification must be provided to the U.S. Department of Health and Human Services (“HHS”) and the local media in cases where a breach affects more than 500 individuals. Breaches affecting fewer than 500 individuals must be reported to HHS on an annual basis. HIPAA also requires a business associate to notify its covered entity clients of breaches by the business associate.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State attorneys general also have the right to prosecute HIPAA violations committed against residents of their states. While HIPAA does not create a private right of action that would allow individuals to sue in civil court for a HIPAA violation, its standards have been used as the basis for the duty of care in state civil suits, such as those for negligence or recklessness in misusing personal information. In addition, HIPAA mandates that HHS conduct periodic compliance audits of HIPAA covered entities and their business associates for compliance. It also tasks HHS with establishing a methodology whereby harmed individuals who were the victims of breaches of unsecured PHI may receive a percentage of the civil monetary penalty fine paid by the violator. In light of the HIPAA Omnibus Final Rule, recent enforcement activity, and statements from HHS, we expect increased federal and state HIPAA privacy and security enforcement efforts.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HIPAA also required HHS to adopt national standards for electronic transactions that all healthcare providers must use when submitting or receiving certain healthcare transactions electronically. On January 16, 2009, HHS released the final rule mandating that everyone covered by HIPAA must implement ICD 10 for medical coding on October 1, 2013, which was subsequently extended to October 1, 2015 and is now in effect.</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states in which we operate and in which our patients reside also have laws that protect the privacy and security of sensitive and personal information, including health information. Moreover, state laws may be similar to or even more protective than HIPAA and other federal privacy laws. For example, the laws of the State of California, in which we operate, are more restrictive than HIPAA. Where state laws are more protective/restrictive than HIPAA, we must comply with the state laws we are subject to, in addition to HIPAA. In certain cases, it may be necessary to modify our existing or planned operations and procedures to comply with these more stringent state laws. Not only may some of these state laws impose fines and penalties upon violators, but, unlike HIPAA, some may afford private rights of action to individuals who believe their personal information has been misused. In addition, state laws could change rapidly, and there is currently a new federal privacy law or federal breach notification law under consideration to which we may be subject.</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HIPAA and state health information privacy laws, we may be subject to other state and federal privacy laws, including laws that prohibit unfair privacy and security acts or practices and deceptive statements about privacy and security and laws that place specific requirements on certain types of activities, such as data security and texting. The FTC and states’ attorneys general have brought enforcement actions and prosecuted some data breach cases as unfair and/or deceptive acts or practices under the FTC Act and similar state laws. Further, the California Consumer Protection Act of 2018 (the “CCPA”), which took effect in 2020 and to which we are subject, imposes obligations and restrictions on businesses regarding their collection, use, and sharing of personal information and provides new and enhanced data privacy rights to California residents, such as affording them the right to access and delete their personal information and to opt out of certain sharing of personal information. Additionally, the California Privacy Rights Act (“CPRA”), which came into effect on January 1, 2023, significantly amends and expands the CCPA, including by providing consumers with additional rights with respect to their personal information. The CPRA also creates a new state agency that will be vested with authority to implement and enforce the CCPA and the CPRA.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Laws similar to the CCPA and CPRA have passed in Virginia, Colorado, Connecticut, Utah and Washington and are expected in other states and at the federal level, reflecting a trend toward more stringent privacy legislation in the United States.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there have been a number of well publicized data breaches involving the improper use and disclosure of personal information and PHI. Many states have responded to these incidents by enacting laws requiring holders of personal information to maintain safeguards and to take certain actions in response to a data breach, such as providing prompt notification of the breach to affected individuals and state officials and providing credit monitoring services and/or other relevant services to impacted individuals. In addition, under HIPAA, breach notification laws and pursuant to the related contracts that we enter into with our clients who are covered entities, we must report breaches of unsecured PHI to our clients following discovery of the breach. Notification must also be made in certain circumstances to affected individuals, federal authorities and others.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important to our business that we establish, protect and enforce our intellectual property. We rely on a combination of patent, copyright, trademark and trade secret laws as well as confidentiality procedures, contractual provisions and other legal rights to establish and enforce our brand, proprietary technology and other intellectual property rights.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March 13, 2024, the Company has been approved for one patent related to “System and Method in Monitoring Engagement” which relates to the tracking of therapeutic progress between therapist and client. We also have one patent that is pending and several other conditional applications in the United States. We intend to continue to apply for additional patents relating to our software and technology. We cannot assure whether any of our patent applications will result in the issuance of a patent or whether the examination process will require us to narrow our claims.</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own and use trademarks and service marks on or in connection with our business and services, including both unregistered marks and registered trademarks in the United States. In addition, we rely on other forms of intellectual property protection including trade secrets, know-how and other unpatented proprietary processes, in each case in support of our business. We make efforts to maintain and protect our intellectual property and the proprietary aspects of our products and technologies, including through the use of nondisclosure agreements and the monitoring of our competitors. Although we take steps to protect our trade secrets and know-how, third parties may independently develop or otherwise gain access to our trade secrets and know-how by lawful means. We require our employees, consultants and certain of our contractors to execute confidentiality agreements in connection with their employment or consulting relationships with us but these agreements may not provide meaningful protection, and we cannot guarantee that we have executed such agreements with all applicable counterparties. Furthermore, these agreements may be breached, and we may not have an adequate remedy for any such breach. We also require our employees and consultants to disclose and assign to us inventions conceived during the term of their employment or engagement while using our property or which relate to our business. We also license certain intellectual property rights that are used in our business from third parties. From time to time, we may become involved in legal proceedings relating to intellectual property arising in the ordinary course of our business, including opposition to our applications for patents, trademarks, challenges to the validity of our intellectual property rights, and claims of intellectual property infringement. We are not presently a party to any such legal proceedings that, in the opinion of our management, would individually or taken together have a material adverse effect on our business, financial condition, results of operations or cash flows.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principal place of business is at 622 Third Avenue, New York, NY 10017 and its telephone number is (212) 284-7206. The Company's website address is talkspace.com. The Company makes available free of charge on the investors section of its website the Annual Reports on Form 10-K, Quarterly Reports on Form 10-Q, Current Reports on Form 8-K, Proxy Statements and other SEC filings and all amendments to those reports filed or furnished to the SEC pursuant to Section 13(a), 14 or 15(d) of the Exchange Act, as soon as reasonably practicable after we file or furnish such materials to the SEC. The SEC also maintains a website (www.sec.gov) that contains these reports, proxy and information statements and other information. The information on our website is not, and will not be deemed to be, a part of this Annual Report on Form 10-K or incorporated into any of our other filings with the SEC, except where we expressly incorporated such information.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 the course of conducting our business operations, we are exposed to a variety of risks. Any of the risk factors we describe below have affected or could materially adversely affect our business, financial condition and results of operations. Certain statements in “Risk Factors” are forward-looking statements, see “Forward-Looking Statements” in Part II Item 7.</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subsection as to “Talkspace,” the “Company,” “we,” “us” or “our” refer to the business of Talkspace, Inc. and its consolidated subsidiaries.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risks known to us. Please carefully consider the following risk factors together with all other information included in this Form 10-K and our other publicly filed documents when investing in our common stock.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Operating Results and Early Stage of Growth</w:t>
      </w:r>
    </w:p>
    <w:p>
      <w:pPr>
        <w:spacing w:after="0" w:line="121"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may never achieve or sustain profitability.</w:t>
      </w:r>
    </w:p>
    <w:p>
      <w:pPr>
        <w:spacing w:after="0" w:line="6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the markets we operate in are rapidly evolving which makes it difficult to evaluate our future prospects and the risks and challenges we may encounter.</w:t>
      </w:r>
    </w:p>
    <w:p>
      <w:pPr>
        <w:spacing w:after="0" w:line="1"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grow at the rates we historically have achieved or at all, even if our key metrics may indicate growth, which could have a material adverse effect on the market price of our common stock.</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managing our growth and expanding our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21"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technological change in our industry presents us with significant risks and challenges.</w:t>
      </w:r>
    </w:p>
    <w:p>
      <w:pPr>
        <w:spacing w:after="0" w:line="6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and if we are not able to compete effectively, our business, financial condition and results of operations will be harmed.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secure clients' contract renewals, our business, financial condition and results of operations will be harmed.</w:t>
      </w:r>
    </w:p>
    <w:p>
      <w:pPr>
        <w:spacing w:after="0" w:line="6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and profitability of our business will depend in large part upon the effectiveness and efficiency of our marketing efforts, and our ability to develop brand awareness cost-effectively.</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achieving broad market education and changing consumer purchasing habits.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third parties that we provide services to.</w:t>
      </w:r>
    </w:p>
    <w:p>
      <w:pPr>
        <w:spacing w:after="0" w:line="6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virtual behavioral healthcare strategies depend on our ability to maintain and expand our network of therapists, psychiatrists and other providers. If we are unable to do so, our future growth would be limited and our business, financial condition and results of operations would be harmed.</w:t>
      </w:r>
    </w:p>
    <w:p>
      <w:pPr>
        <w:spacing w:after="0" w:line="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affecting spending by the healthcare industry could adversely affect our business.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media coverage and social media engagement could adversely affect our business.</w:t>
      </w:r>
    </w:p>
    <w:p>
      <w:pPr>
        <w:spacing w:after="0" w:line="6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medical liability claims, which could cause us to incur significant expenses and may require us to pay significant damages if not covered by insurance.</w:t>
      </w:r>
    </w:p>
    <w:p>
      <w:pPr>
        <w:spacing w:after="0" w:line="1"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prevalence of enterprise-sponsored healthcare or the emergence of new technologies may adversely impact our DTE business or require us to expend significant resources in order to remain competitive.</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platforms such as the Apple Store and the Google Play App Store, to distribute our platform and offerings.</w:t>
      </w:r>
    </w:p>
    <w:p>
      <w:pPr>
        <w:spacing w:after="0" w:line="6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data center providers, Internet infrastructure, bandwidth providers, third-party computer hardware and software, other third parties and our own systems for providing services to our clients and members, and any failure or interruption in the services provided by these third parties or our own systems could expose us to litigation and negatively impact our relationships with clients and members, adversely affecting our bran and our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020" w:right="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or our vendors’ security measures fail or are breached and unauthorized access to a client’s data or information systems is obtained, our services may be perceived as insecure, we may incur significant liabilities, our reputation may be harmed, and we could lose sales, clients and members.</w:t>
      </w:r>
    </w:p>
    <w:p>
      <w:pPr>
        <w:spacing w:after="0" w:line="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adverse tax, legal and other consequences if the employment status of providers on our platform is challenged.</w:t>
      </w:r>
    </w:p>
    <w:p>
      <w:pPr>
        <w:spacing w:after="0" w:line="6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sentiment or laws, rules or regulations regarding the use of cookies, artificial intelligence technologies and other tracking technologies and other privacy matters could have a material adverse effect on our ability to generate net revenues and could adversely affect our ability to collect proprietary data on consumer behavior.</w:t>
      </w:r>
    </w:p>
    <w:p>
      <w:pPr>
        <w:spacing w:after="0" w:line="13"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state and local tax authorities may assert that we have a nexus with such states or localities and may seek to impose state and local income taxes on our income allocated to such state and localities and assert we are required to collect sales and use taxes.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losses and certain other attributes may be subject to certain limitations.</w:t>
      </w:r>
    </w:p>
    <w:p>
      <w:pPr>
        <w:spacing w:after="0" w:line="63"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the loss of one or more of our executive officers or key employees or an inability to attract and retain highly skilled and diverse employees could adversely affect our business.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other companies or technologies, which could divert our management’s attention, result in dilution to our stockholders and otherwise disrupt our operations and we may have difficulty integrating any such acquisitions successfully or realizing the anticipated benefits therefrom, any of which could have a material adverse effect on our business, financial condition and results of operations.</w:t>
      </w:r>
    </w:p>
    <w:p>
      <w:pPr>
        <w:spacing w:after="0" w:line="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increased interest rates may increase our operating and capital costs.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121" w:lineRule="exact"/>
        <w:rPr>
          <w:sz w:val="20"/>
          <w:szCs w:val="20"/>
          <w:color w:val="auto"/>
        </w:rPr>
      </w:pPr>
    </w:p>
    <w:p>
      <w:pPr>
        <w:ind w:left="1020" w:hanging="503"/>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legal challenges to our business model or by actions restricting our ability to provide the full range of our services in certain jurisdictions.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government regulations may result in increased costs or adversely affect our results of operations.</w:t>
      </w:r>
    </w:p>
    <w:p>
      <w:pPr>
        <w:spacing w:after="0" w:line="6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relationships with affiliated professional entities, which we do not own, to provide physician and other professional services, and our business, financial condition and our ability to operate in certain jurisdictions would be adversely affected if those relationships were disrupted or if our arrangements with our providers or clients are found to violate state laws prohibiting the corporate practice of medicine or fee splitting.</w:t>
      </w:r>
    </w:p>
    <w:p>
      <w:pPr>
        <w:spacing w:after="0" w:line="17"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us of ongoing healthcare legislation and other changes in the healthcare industry and in healthcare spending is currently unknown, but may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financial condition, and results of operations.</w:t>
      </w:r>
    </w:p>
    <w:p>
      <w:pPr>
        <w:spacing w:after="0" w:line="1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and disclosure of personal information, including protected health information ("PHI"), personal data, and other health information, is subject to state, federal or other privacy and security regulations, and our failure to comply with those regulations or to adequately secure the information we hold could result in significant liability or reputational harm and, in turn, a material adverse effect on our client base and member bases and revenue.</w:t>
      </w:r>
    </w:p>
    <w:p>
      <w:pPr>
        <w:spacing w:after="0" w:line="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compliance obligations and risks under anti-corruption, export controls and economic sanctions laws and regulations of the United States and applicable non-U.S. jurisdictions, and any instances of noncompliance could have a material adverse effect on our reputation and the results of our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21"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protect, enforce or defend our intellectual property rights could impair our ability to protect our technology and our brand.</w:t>
      </w:r>
    </w:p>
    <w:p>
      <w:pPr>
        <w:spacing w:after="0" w:line="6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challenge the validity of our trademarks and patents or oppose trademark and patent applications. Companies with other patents could require us to stop using or pay to use required technology.</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substantial costs as a result of any claim of infringement of another party’s intellectual property rights.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20" w:right="20" w:hanging="503"/>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software may not operate properly, which could damage our reputation, give rise to claims against us or divert application of our resources from other purposes, any of which could harm out business, financial conditions and results of operations.</w:t>
      </w:r>
    </w:p>
    <w:p>
      <w:pPr>
        <w:spacing w:after="0" w:line="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enter into collaborations, in-licensing arrangements, joint ventures, strategic alliances or partnerships with third-parties that may not result in the development of commercially viable solutions or the generation of significant future revenues.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our Warrants and Operating as a Public Company</w:t>
      </w:r>
    </w:p>
    <w:p>
      <w:pPr>
        <w:spacing w:after="0" w:line="121"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incur costs and devote continued management time as a result of operating as a public company.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effective internal control over financial reporting in the future, our ability to produce accurate and timely financial statements could be impaired, which may adversely affect investor confidence in us and, as a result, the value of our common stock.</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law and our organizational documents contain certain provisions, including anti-takeover provisions that limit the ability of stockholders to take certain actions and could delay or discourage takeover attempts that stockholders may consider favorable.</w:t>
      </w:r>
    </w:p>
    <w:p>
      <w:pPr>
        <w:spacing w:after="0" w:line="5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our certificate of incorporation requiring exclusive forum in certain courts in the State of Delaware or the federal district courts of the United States for certain types of lawsuits may have the effect of discouraging lawsuits against our directors and officers.</w:t>
      </w:r>
    </w:p>
    <w:p>
      <w:pPr>
        <w:spacing w:after="0" w:line="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and resales of our common stock may cause the market price of our securities to drop significantly, even if our business is doing well.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investor’s percentage of ownership in the Company may be diluted in the future.</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cash dividends for the foreseeable future.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only be able to exercise your public warrants on a “cashless basis” under certain circumstances, and if you do so, you will receive fewer shares of common stock from such exercise than if you were to exercise such warrants for cash.</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common stock purchasable upon exercise of a warrant could be decreased, all without your approval.</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us.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redeem your unexpired warrants prior to their exercise at a time that is disadvantageous to you, thereby making your warrants worthless.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OPERATING RESULTS AND EARLY STAGE OF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may never achieve or sustain profitability.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Though our losses have narrowed in 2023, we have incurred significant losses in each period since our inception. These losses and accumulated deficit reflect the substantial investments we made to acquire new clients and members and to develop our technology platform. To date, we have derived a substantial majority of our revenue from clients and members who pay for access to our virtual behavioral health platform, and our longer-term results of operations and continued growth will depend on our ability to successfully grow our revenue from existing clients and members, to acquire new potential future clients and develop and market new virtual behavioral health products and services that are attractive to our clients and members. We intend to continue scaling our business to increase our client, member and provider bases, broaden the scope of services we offer, invest in research and development and expand the applications of our technology through which clients and members can access our services. Accordingly, we expect to make increased investments to support accelerated growth and the required investment 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scale our provider network, we also expect increased efficiencies and economies of scale. These efforts may prove more expensive than we currently anticipate, and we may not succeed in increasing our revenue sufficiently to offset these expenses. In addition, our results of operations would also suffer if our innovations are not responsive to the needs of our clients and members, appropriately timed with market opportunity, effectively brought to market or do not achieve market acceptance. We cannot assure you that we will achieve profitability in the future or that, if we do become profitable, we will be able to sustain or increase profitability. As a result of these factors, we may need to raise additional capital through debt or equity financing in order to fund our operations, and such capital may not be available on reasonable terms, if at all.</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markets we operate in are rapidly evolving, which makes it difficult to evaluate our future prospects and the risks and challenges we may encounter.</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and the markets we operate in are rapidly evolving which makes it difficult to evaluate and assess the success of our business to date, our future prospects, our business strategy and the risks and challenges that we may encounter. These risks and challenges include our ability to:</w:t>
      </w:r>
    </w:p>
    <w:p>
      <w:pPr>
        <w:spacing w:after="0" w:line="54" w:lineRule="exact"/>
        <w:rPr>
          <w:sz w:val="20"/>
          <w:szCs w:val="20"/>
          <w:color w:val="auto"/>
        </w:rPr>
      </w:pPr>
    </w:p>
    <w:p>
      <w:pPr>
        <w:jc w:val="both"/>
        <w:ind w:left="76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our existing clients and members that subscribe to our subscription offerings and utilize our services and to attract new clients and members to our platform and subscription offerings and position our platform as a convenient and accepted way to access therapy and psychiatry;</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convince new and existing clients and members to rapidly adopt new offerings on our platform;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providers for inclusion in our platform;</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existing and new laws and regulations applicable to our business and in our industry, as well as additional laws that may be applicable to new service offerings;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 and industry pricing benchmarks and changes in the markets in which we operate;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challenges from existing and new competitors;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the value of our reputation and brand;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improve the infrastructure underlying our platform, including our apps and websites and with respect to data protection, intellectual property, use of artificial intelligence and cybersecurity;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update our platform, including expanding our platform and offerings into different healthcare products and services, develop and update our software, apps, features, offerings and services to benefit our clients and members and enhance their experience.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fail to understand fully or adequately address the challenges that we are currently encountering or that we may encounter in the future, including those challenges described here and elsewhere in this “Risk Factors” section, our business, financial condition and results of operations could be adversely affected. If the risks and uncertainties that we plan for when operating our business are incorrect or change, if we choose the wrong strategic direction, or if we fail to manage these risks successfully, our results of operations could differ materially from our expectations and our business, financial condition and results of operations could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grow at the rates we historically have achieved or at all, even if our key metrics may indicate growth, which could have a material adverse effect on the market price of our common stock.</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experienced significant growth in the last several years, and therefore our recent revenue growth rate and financial performance should not be considered indicative of our future performance. From 2021 to 2022 and 2022 to 2023, our revenues grew at a compound annual rate of 5.2% and 25.5%, respectively. In addition, as a result of the COVID-19 pandemic, we experienced a significant increase in revenue, which increases we have managed to maintain for the time being. You should not rely on our revenue or key business metrics for any previous quarterly or annual period as any indication of our revenue, revenue growth, key business metrics, or key business metrics growth in future periods. In particular, our revenue growth rate has fluctuated in prior periods. Our future growth will depend, in part, on our ability to grow our revenue from existing clients and members, to acquire potential future clients and members, especially our Payor and DTE clients, and to expand our client, member and provider bases. We can provide no assurances that we will be successful in executing on these growth strategies or that, even if our key metrics would indicate future growth, we will continue to grow our revenue or to generate net income. Our ability to execute on our existing sales pipeline, create additional sales pipelines, and expand our client and member bases depends on, among other things, the attractiveness of our services relative to those offered by our competitors, our ability to demonstrate the value of our existing and future services, and our ability to attract and retain a sufficient number of qualified sales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marketing leadership and support personnel. In addition, our existing clients and members may be slower to adopt our services than we currently anticipate, which could adversely affect our results of operations and growth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our growth and expanding our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to experience significant growth in the scope of our operations. Our ability to manage our operations and future growth will require us to continue to improve our operational, financial and management controls, compliance programs and reporting systems. We may not be able to implement improvements in an efficient or timely manner and may discover deficiencies in existing controls, programs, systems and procedures, which could have an adverse effect on our business, reputation and financial results. If we fail to maintain effective internal control over financial reporting in the future, our ability to produce accurate and timely financial statements could be impaired, which may adversely affect investor confidence in us and, as a result, the value of our common stock. Additionally, rapid growth in our business may place a strain on our human and capital resources as well as our systems and controls.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Rapid technological change in our industry presents us with significant risks and challenges.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virtual behavioral health market is characterized by rapid technological change, changing consumer requirements, short product lifecycles and evolving industry standards. Our success will depend on our ability to enhance our solution with next-generation technologies and to develop or to acquire and market new services to access new client and member populations. There is no guarantee that we will possess the resources, either financial or personnel, for the research, design and development of new applications or services, or that we will be able to utilize these resources successfully and avoid technological or market obsolescence. Further, there can be no assurance that technological advances by one or more of our competitors or future competitors, including advancements in artificial intelligence and machine-learning, will not result in our present or future software-based products and services becoming uncompetitive or obsolete.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and if we are not able to compete effectively, our business, financial condition and results of operations will be harmed.</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virtual behavioral health market is in an early stage of development, it is competitive and we expect it to attract increased competition, which could make it difficult for us to succeed. We currently face competition from a range of companies, including specialized software and solution providers that offer similar solutions and that are continuing to develop additional products and becoming more sophisticated and effective. These competitors include American Well Corporation, Teladoc, Lyra Health and Spring Health, among other small industry participants.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large, well-financed health systems and health plans have in some cases developed their own telehealth and teletherapy tools and may provide these solutions to their consumers at discounted prices. Competition may also increase from large technology companies, such as Apple, Amazon, Meta, Google, Verizon, or Microsoft, who may wish to develop their own virtual behavioral health solutions, as well as from large retailers like Amazon or Walmart. Competition from large software companies or other specialized solution providers, health systems and health plans, communication tools and other parties could result in continued pricing pressures, which is likely to lead to price declines in certain product segments, which could negatively impact our sales, profitability and market share.</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competitors may have greater name recognition, longer operating histories and significantly greater resources than we do. Further, our current or potential competitors may be acquired by third parties with greater available resources. As a result, our competitors may be able to respond more quickly and effectively than we can to new or changing opportunities, technologies, standards or consumer requirements and may have the ability to initiate or withstand substantial price competition. In addition, current and potential competitors have established, and may in the future establish, cooperative relationships with vendors of complementary products, technologies or services to increase the availability of their solutions in the marketplace. Accordingly, new competitors or alliances may emerge that have greater market share, a larger consumer base, more widely adopted proprietary technologies, greater marketing expertise, greater financial resources and larger sales forces than we have, which could put us at a competitive disadvantage.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expect our competitors to continue to improve their technology infrastructure, including with the use of artificial intelligence (“AI”) and machine learning solutions, to interact with clients, members and insurance companies, sell their services, utilize (and even monetize) their data and support and grow their client base. Our ability to innovate our own technology infrastructure and appropriately address user experience will affect our ability to compete.</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healthcare provider organizations are consolidating to create integrated healthcare delivery systems with greater market power. As provider networks and managed care organizations consolidate, thus decreasing the number of market participants, competition to provide products and services like ours could become more intense, and the importance of establishing and maintaining relationships with key industry participants could increase. These industry participants may try to use their market power to negotiate price reductions for our products and services. In light of these factors, even if our solution is more effective than those of our competitors, current or potential clients and members may accept competitive solutions in lieu of purchasing our solution. If we are unable to successfully compete in the virtual behavioral health market, our business, financial condition and results of operations could be materially adversely affected.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risk is amplified by the Company deriving a significant portion of its revenues from a limited number of customers. For the years ended December 31, 2022 and 2023, two customers represented 10% or more of the Company’s total revenue. The loss of business from either of the Company’s significant customers, as a result of competition, customer needs, or other factors beyond the Company’s control, could have a material adverse effect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secure clients' contract renewals, our business, financial condition and results of operations will be harmed.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generate most of our revenues from our Payor and DTE clients which contracts are one to three years in length. Consumer subscriptions generally have stated initial terms of one-to-six months and members may cancel their subscription at any time and will receive a pro-rata refund for the subscription price. Most of our clients and members have no obligation to renew their subscriptions for our services after the initial term expires. In addition, our clients may negotiate terms less advantageous to us upon renewal, which may reduce our revenue from these clients. Additionally, our future results of operations depend, in part, on our ability to expand our services and offerings, including broadening our continuum of care. If our clients and members fail to renew their contracts, renew their contracts upon less favorable terms or at lower fee levels or fail to purchase new products and services from us, our revenue may decline or our future revenue growth may be constrained.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factors that could affect our ability to sell products and services include, but are not limited to:</w:t>
      </w:r>
    </w:p>
    <w:p>
      <w:pPr>
        <w:spacing w:after="0" w:line="117"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performance and functionality of our solution;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price, performance and functionality of competing solutions;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sell complementary products and services;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stability, performance and security of our hosting infrastructure and hosting services;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marketing laws, regulations or trends.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consequences could lower retention and have a material adverse effect on our business, financial condition and results of operations.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growth and profitability of our business will depend in large part upon the effectiveness and efficiency of our marketing efforts, and our ability to develop brand awareness cost-effectively.</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developing and maintaining widespread awareness of our brand in a cost-effective manner is critical to achieving widespread adoption of our solution and attracting new clients and members. Our brand promotion activities may not generate consumer awareness or increase revenue, and even if they do, any increase in revenue may not offset the expenses we incur in building our brand. If we fail to successfully promote and maintain our brand, or incur substantial expenses in doing so, we may fail to attract or retain clients and members necessary to realize a sufficient return on our brand-building efforts or to achieve the widespread brand awareness that is critical for broad adoption of our brands.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achieving broad market education and changing consumer purchasing habits.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and future growth largely depend on our ability to increase consumer awareness of virtual behavioral therapy in general and our platform and offerings, in particular, and on the willingness of current and potential clients and members to utilize our platform to access information and behavioral health services. We believe the vast majority of consumers make purchasing decisions for behavioral health services on the basis of traditional factors, such as insurance coverage. This traditional decision-making process does not always account for restrictive and complex insurance plans, high deductibles, expensive co-pays and other factors, such as discounts or savings available at alternative therapists or practices. To effectively market our platform, we must educate consumers about the various purchase options and the benefits of using Talkspace for behavioral healthcare, including when such services may not be covered by their health insurance benefits. We focus our marketing and education efforts on potential clients, members and other consumers, but also aim to educate and inform healthcare providers and other participants that interact with consumers, including at the point of purchase. However, we cannot assure you that we will be successful in changing consumer purchasing habits or that we will achieve broad market education or awareness among consumers. Even if we are able to raise awareness among consumers, they may be slow in changing their habits and may be hesitant to use our platform for a variety of reasons.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fail to achieve broad market education of our platform and/or the options for purchasing healthcare products and services, or if we are unsuccessful in changing consumer purchasing habits, our business, financial condition and results of operations would be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 that we provide services to.</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grow our business, we anticipate that we will continue to depend on our existing and future relationships with third parties, such as third-party payors, including government agencies, as well as our ability to expand our Payor and DTE business with health plan clients and enterprises that we provide services to. Identifying potential clients, and negotiating and documenting relationships with them, requires significant time and resources. Our competitors may be effective in providing incentives to third parties to favor their products or services or to prevent or reduce subscriptions to, or utilization of, our products and services. In addition, acquisitions of our clients by our competitors could result in a decrease in the number of our current and potential clients and members, as our clients may no longer facilitate the adoption of our applications by potential members. If we are unsuccessful in establishing or maintaining our relationships with third parties that we provide services to, our ability to compete in the marketplace or to grow our revenue could be impaired and our results of operations may suffer. Even if we are successful, we cannot assure you that these relationships will result in increased client use of our services or increased 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virtual behavioral healthcare strategies depend on our ability to maintain and expand our network of therapists, psychiatrists and other providers.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do so, our future growth would be limited and our business, financial condition and results of operations would be harmed.</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is dependent upon our continued ability to grow and maintain a network of highly trained and qualified therapists, psychiatrists and other providers, especially since our providers are generally not exclusive to our platform. If we are unable to recruit and retain licensed therapists, psychiatrists and other providers, it would have a material adverse effect on our business and ability to grow and would adversely affect our results of operations.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any particular market, providers could demand higher payments or take other actions that could result in higher medical costs, less attractive service for our clients or members or difficulty meeting regulatory or accreditation requirements.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ability to develop and maintain satisfactory relationships with providers also may be negatively impacted by other factors not associated with us, such as state therapist or psychiatrist licensing laws and standard of care requirements, and other pressures on healthcare providers and consolidation activity among hospitals, physician groups and healthcare providers. Our failure to maintain or to secure new cost-effective provider contracts may result in a loss of or inability to grow our client and member bases, higher costs, less attractive services for our clients and members and/or difficulty in meeting regulatory or accreditation requirements, any of which could have a material adverse effect on our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affecting spending by the healthcare industry could adversely affect our business.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U.S. healthcare industry has changed significantly in recent years, and we expect that significant changes will continue to occur. General reductions in expenditures by healthcare industry participants could result from, among other things:</w:t>
      </w:r>
    </w:p>
    <w:p>
      <w:pPr>
        <w:spacing w:after="0" w:line="54" w:lineRule="exact"/>
        <w:rPr>
          <w:sz w:val="20"/>
          <w:szCs w:val="20"/>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or private initiatives that affect the manner in which healthcare providers interact with patients, payors or other healthcare industry participants, including changes in pricing or means of delivery of healthcare products and services;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healthcare industry participants;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amendments to, lack of enforcement or development of applicable regulations for, or repeal of The Patient Protection and Affordable Care Act, as amended by the Health Care and Education Reconciliation Act (the “Affordable Care Act” or the “ACA”);</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government funding for healthcare;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business or economic conditions affecting healthcare payors or providers or other healthcare industry participants.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changes in healthcare spending could adversely affect our revenue. Even if general expenditures by industry participants remain the same or increase, developments in the healthcare industry may result in reduced spending in some or all of the specific market segments that we serve now or in the future. We cannot assure you that the demand for our solutions and services will continue to exist at current levels or that we will have adequate technical, financial, and marketing resources to react to changes in the healthcare industry.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media coverage and social media engagement could adversely affect our business.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receive a substantial amount of media coverage in the United States. Unfavorable publicity regarding, among others, the healthcare industry, litigation or regulatory activity, the actions of the entities included or otherwise involved in our platform, virtual behavioral health services included on our platform or by other industry participants, our data privacy or data security practices, or our platform could materially adversely affect our reputation. In addition, from time to time, news media outlets have provided negative coverage regarding our platform and privacy practices and any such negative media coverage, regardless of the accuracy of such reporting, may have an adverse impact on our business and reputation, as well as have an adverse effect on our ability to attract and retain clients, members, other consumers, or employees, and result in decreased revenue, which would materially adversely affect our business, financial condition and results of operations.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clients and members may engage with us online through our social media pages, including, for example, our presence on Facebook, Instagram and Twitter, by providing feedback and public commentary about all aspects of our business. Information concerning us or our platform and offerings, whether accurate or not, may be posted on social media pages at any time and may have a disproportionately adverse impact on our brand, reputation or business. The harm may be immediate without affording us an opportunity for redress or correction and could have a material adverse effect on our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medical liability claims, which could cause us to incur significant expenses and may require us to pay significant damages if not covered by insurance.</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overall business entails the risk of medical liability claims. Although TPN and our affiliated professionals carry or will carry insurance covering medical malpractice claims in amounts that we believe are appropriate in light of the risks attendant to the services rendered, successful medical liability claims could result in substantial damage awards that exceed the limits of the insurance coverage. TPN carries or will carry professional liability insurance for itself and each of its healthcare professionals (our providers). Additionally, all of our network providers that contract or will contract with TPN separately carry or will carry professional liability insurance for itself and its healthcare professionals. Professional liability insurance is expensive and insurance premiums may increase significantly in the future, particularly as we expand our services through TPN and our affiliated professionals. As a result, adequate professional liability insurance may not be available to TPN and our affiliated professionals in the future at acceptable costs or at all, which may negatively impact TPN and our affiliated professionals to provide services to our members, and thereby adversely affect our overall business and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claims made against TPN or our affiliated professionals that are not fully covered by insurance could be costly to defend against, result in substantial damage awards, and divert the attention of our management and our affiliated professional entities from our operations, which could have a material adverse effect on our business, financial condition and results of operations. In addition, any claims may adversely affect our business or reputation.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the prevalence of enterprise-sponsored healthcare or the emergence of new technologies may adversely impact our DTE business or require us to expend significant resources in order to remain competitive.</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 healthcare industry is massive, with a number of large market participants with conflicting agendas, and it is subject to significant government regulation and is currently undergoing significant change.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experts have predicted that future healthcare reform will encourage enterprise-sponsored health insurance to become significantly less prevalent as enterprise members migrate to obtain their own insurance over the state-sponsored insurance marketplaces. Were this to occur, there is no guarantee that we would be able to compensate for the loss in revenue from enterprises by increasing sales of our solution to health insurance companies or to individuals or government agencies. In such a case, our results of operations would be adversely impacted.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third-party platforms such as the Apple App Store and Google Play App Store, to distribute our platform and offerings.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apps are accessed and operated through third-party platforms or marketplaces, including the Apple App Store and Google Play App Store, which also serve as significant online distribution platforms for our apps. As a result, the expansion and prospects of our business and our apps depend on our continued relationships with these providers and any other emerging platform providers that are widely adopted by consumers. We are subject to the standard terms and conditions that these providers have for application developers, which govern the content, promotion, distribution and operation of apps on their platforms or marketplaces, and which the providers can change unilaterally on short or no notice.</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Thus, our business could suffer materially if platform providers change their standard terms and conditions, interpretations or other policies and practices in a way that is detrimental to us or if platform providers determine that we are in violation of their standard terms and conditions and prohibit us from distributing our apps on their platforms. In addition, our business would be harmed if the providers discontinue or limit our access to their platforms or marketplaces; the platforms or marketplaces decline in popularity; the platforms modify their algorithms, communication channels available to developers, respective terms of service or other policies, including fees; the providers adopt changes or updates to their technology that impede integration with other software systems or otherwise require us to modify our technology or update our apps in order to ensure that consumers can continue to access and use our virtual behavioral health services.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could be adversely impacted if we fail to create compatible versions of our apps in a timely manner, or if we fail to establish a relationship with such alternative providers. Likewise, if our current providers alter their operating platforms, we could be adversely impacted as our offerings may not be compatible with the altered platforms or may require significant and costly modifications in order to become compatible.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some of these platforms or marketplaces have been unavailable for short periods of time. If this or a similar event were to occur on a short- or long-term basis, or if these platforms or marketplaces otherwise experience issues that impact the ability of consumers to download or access our apps and other information, it could have a material adverse effect on our brand and reputation, as well as our business, financial condition and operating results.</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data center providers, Internet infrastructure, bandwidth providers, third-party computer hardware and software, other third parties and our own systems for providing services to our clients and members, and any failure or interruption in the services provided by these third parties or our own systems could expose us to litigation and negatively impact our relationships with clients and members, adversely affecting our brand and our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serve all of our clients and members from third party interconnection and data centers, such as Amazon Web Services. While we control and have access to our servers, we do not control the operation of these facilities. The cloud vendors and the owners of our data center facilities have no obligation to renew their agreements with us on commercially reasonable terms, or at all. If we are unable to renew these agreements on commercially reasonable terms, or if one of our cloud vendors or data center operators is acquired, we may be required to transfer our servers and other infrastructure to a new vendor or a new data center facility, and we may incur significant costs and possible service interruption in connection with doing so. Problems faced by our cloud vendors or third-party data center locations with the telecommunications network providers with whom we or they contract,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 with the systems by which our telecommunications providers allocate capacity among their clients, including us, could adversely affect the experience of our clients and members. Our third-party data center operators could decide to close their facilities without adequate notice. In addition, any financial difficulties, such as bankruptcy faced by our cloud vendors or third-party data centers operators or any of the service providers with whom we or they contract may have negative effects on our business, the nature and extent of which are difficult to predict.</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if our cloud or data center vendors are unable to keep up with our growing needs for capacity, this could have an adverse effect on our business. For example, a rapid expansion of our business could affect the service levels at our cloud vendors or data centers or cause such data centers and systems to fail. Any changes in third-party service levels at our data centers or any disruptions or other performance problems with our solution could adversely affect our reputation and may damage our clients and members’ stored files or result in lengthy interruptions in our services. Interruptions in our services may reduce our revenue, cause us to issue refunds to clients and members for prepaid and unused subscriptions, as well as loss of revenue related to service level credits and uptime, subject us to potential liability or adversely affect client retention.</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ability to deliver our Internet-based services depends on the development and maintenance of the infrastructure of the Internet by third parties. This includes maintenance of a reliable network backbone with the necessary speed, data capacity, bandwidth capacity and security. Our services are designed to operate without interruption in accordance with our service level commitments. However, we have experienced, and expect that we may experience in the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and members.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rely on computer hardware purchased and software licensed from third parties in order to offer our services. These licenses are generally commercially available on varying terms. However, it is possible that this hardware and software may not continue to be available on commercially reasonable terms, or at all. Any loss of the right to use any of this hardware or software could result in delays in the provisioning of our services until equivalent technology is either developed by us, or, if available from third parties, is identified, obtained and integrated.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rely on these services of third-party vendors could be impaired as a result of the failure of such providers to comply with applicable laws, regulations and contractual covenants, or as a result of events affecting such providers, such as power loss, telecommunication failures, software or hardware errors, computer viruses, cyber incidents and similar disruptive problems, fire, flood and natural disasters. Any such failure or event could adversely affect our relationships with our clients and members and damage our reputation. This could materially and adversely impact our business, financial condition and operating results.</w:t>
      </w:r>
    </w:p>
    <w:p>
      <w:pPr>
        <w:spacing w:after="0" w:line="179"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our or our vendors’ security measures fail or are breached and unauthorized access to a client’s data or information systems is obtained, our services may be perceived as insecure, we may incur significant liabilities, our reputation may be harmed, and we could lose sales, clients and members.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services involve the storage and transmission of our clients’ and members’ proprietary information, sensitive or confidential data, including valuable intellectual property and personal information of employees, clients, members and others, as well as the PHI of our clients and members. We are subject to laws and regulations relating to the collection, use, retention, security and transfer of this information, including to vendors. Because of the extreme sensitivity of the information we store and transmit, the security features of our and our third-party vendors’ computer, network, and communications systems infrastructure are critical to the success of our business. A breach or failure of our or our third-party vendors’ network, hosted service providers or vendor systems could result from a variety of circumstances and events, including third-party action, employee negligence or error, malfeasance, computer viruses, cyber-attacks by malicious actors such as denial-of-service and phishing attacks, failures during the process of upgrading or replacing software and databases, power outages, hardware failures, telecommunication failures, or catastrophic events.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Information security risks have generally increased in recent years because of the proliferation of new technologies, including the increased adoption of AI technologies, and the increased sophistication and activities of perpetrators of cyber-attacks. Malicious actors are increasingly sophisticated and operating large-scale and complex automated attacks, including on companies within the healthcare industry. The techniques, sources and targets of these attacks change and are often not recognized until such attacks are launched or have been in place for some time. In an increasing amount of cases, these malicious actors are or are acting on behalf of state sponsors which further increases the risk of sophistication, capability and funding for the attack. As cyber threats continue to evolve, we may be required to expend additional resources to further enhance our information security measures, develop additional protocols and/or to investigate and remediate any information security vulnerabilities. If our or our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third-party vendors’ security measures fail or are breached, it could result in unauthorized persons accessing sensitive client or member data (including PHI), a loss of or damage to our data, an inability to access data sources, or process data or provide our services to our clients and members. Such failures or breaches of our or our third-party vendors’ security measures, or our or our third-party vendors’ inability to effectively resolve such failures or breaches in a timely manner, could severely damage our reputation, adversely affect client, member or investor confidence in us, and reduce the demand for our services from existing and potential clients and members. In addition, we could face litigation, damages for contract breach, monetary penalties, or regulatory actions for violation of applicable laws or regulations and incur significant costs for remedial measures to prevent future occurrences and mitigate past violations.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potential security breach could result in increased costs associated with liability for stolen assets or information, repairing system damage that may have been caused by such breaches, incentives offered to clients or other business partners in an effort to maintain our business relationships after a breach and implementing measures to prevent future occurrences, including organizational changes, deploying additional personnel and protection technologies, training employees and engaging third-party experts and consultants. Although we maintain insurance covering certain security and privacy damages and claim expenses, we may not carry insurance or maintain coverage sufficient to compensate for all liability and we cannot be certain that our insurance coverage will be adequate for data security liabilities actually incurred, will cover any indemnification claims against us relating to any incident, will continue to be available to us on economically reasonable terms, or at all, or that any insurer will not deny coverage as to any future claim. In any event, insurance coverage would not address the reputational damage that could result from a security incident.</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Data privacy is also subject to frequently changing laws, rules and regulations in the various jurisdictions in which we operate. Such initiatives around the country could increase the cost of developing, implementing or securing our servers and require us to allocate more resources to improved technologies, adding to our IT and compliance costs. Our Board of Directors is briefed periodically on cybersecurity and risk management issues and we have implemented a number of processes to avoid cyber threats and to protect privacy. However, the processes we have implemented in connection with such initiatives may be insufficient to prevent or detect improper access to confidential, proprietary or sensitive data, including personal data. In addition, the competition for talent in the data privacy and cybersecurity space is intense, and we may be unable to hire, develop or retain suitable talent capable of adequately detecting, mitigating or remediating these risks. Our failure to adhere to, or successfully implement processes in response to, changing legal or regulatory requirements in this area could result in legal liability or damage to our reputation in the marketplace. No material cybersecurity incidents have occurred during the year ended December 31,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adverse tax, legal and other consequences if the employment status of providers on our platform is challenged.</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is often uncertainty in the application of worker classification laws, especially in the medical field where individuals are required to hold professional licenses, and, consequently, there is risk that providers could be deemed to be misclassified under applicable law. We and TPN, structure our relationships with the majority of our respective providers in a manner that we believe results in an independent contractor relationship, not an employee relationship. The tests governing whether a service provider is an independent contractor, or an employee are typically highly fact sensitive and vary by governing law.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Although we believe that our and TPN’s providers are properly characterized as independent contractors, tax or other regulatory authorities may in the future challenge our characterization of these relationships. An actual or alleged misclassification determination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Medicare,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or other liability, and any adverse determination, including potentially the requirement for us to indemnify a user, could also harm our brand, which could materially and adversely affect our business, prospects, financial condition and results of operations. While these risks are mitigated, in part, by our contractual rights of indemnification against third-party claims, such indemnification agreements could be determined to be unenforceable or costly to enforce and indemnification under such agreements may otherwise prove inadequate. As a result, any determination that our and/or TPN’s providers are employees could have a material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consumer sentiment or laws, rules or regulations regarding the use of cookies, artificial intelligence technologies and other tracking technologies and other privacy matters could have a material adverse effect on our ability to generate net revenues and could adversely affect our ability to collect proprietary data on consumer behavior.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Consumers may become increasingly resistant to the collection, use and sharing of information online, including information used to deliver and optimize advertising, and take steps to prevent such collection, use and sharing of information. For example, consumer complaints and/or lawsuits regarding online advertising or the use of cookies or other tracking technologies in general and our practices specifically could adversely impact our business.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Consumers can currently opt out of the placement or use of most cookies for online advertising purposes by either deleting or disabling cookies on their browsers, visiting websites that allow consumers to place an opt-out cookie on their browsers, which instructs participating entities not to use certain data about consumers’ online activity for the delivery of targeted advertising, or by downloading browser plug-ins and other tools that can be set to: identify cookies and other tracking technologies used on websites; prevent websites from placing third-party cookies and other tracking technologies on the consumer’s browser; or block the delivery of online advertisements on apps and websites.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evolving EU and UK privacy national laws derived from the ePrivacy Directive. The current national laws that implement the ePrivacy Directive are highly likely to be replaced across the EU (but not directly in the UK) by an EU regulation known as the ePrivacy Regulation which will significantly increase fines for non-compliance.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a trend of increasing enforcement by regulators of the strict approach in recent guidance and decisions which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response to marketplace concerns about the usage of third-party cookies and web beacons to track user behaviors, providers of major browsers have included features that allow users to limit the collection of certain data generally or from specified websites. In addition, various software tools and applications have been developed that can block advertisements from a consumer’s screen or allow consumers to shift the location in which advertising appears on webpages or opt out of display, search and internet-based advertising entirely. These developments, among others, could impair our ability to collect user information, including personal data and usage information, that helps us provide more targeted advertising to our current and prospective consumers, which could adversely affect our business, given our use of cookies and similar technologies to target our marketing and personalize the consumer experience.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consumer sentiment regarding privacy issues or the development and deployment of new browser solutions or other Do Not Track mechanisms result in a material increase in the number of consumers who choose to opt out or block cookies and other tracking technologies or who are otherwise using browsers where they need to, and fail to, allow the browser to accept cookies, or otherwise result in cookies or other tracking technologies not functioning properly, our ability to advertise effectively and conduct our business will be impaired, and our results of operations and financial condition would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U.S. state and local tax authorities may assert that we have a nexus with such states or localities and may seek to impose state and local income taxes on our income allocated to such state and localities and assert we are required to collect sales and use taxes.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is a risk that certain state tax authorities where we do not currently file a state income tax return could assert that we are liable for state and local income taxes based upon income or gross receipts allocable to such states or localities. States and localities are becoming increasingly aggressive in asserting nexus for state and local income tax purposes. We could be subject to additional state and local income taxation, including penalties and interest attributable to prior periods, if a state or local tax authority in a state or locality where we do not currently file an income tax return successfully asserts that our activities give rise to nexus for state income tax purposes. Such tax assessments, penalties and interest may adversely affect our cash, tax liabilities, results of operations and financial condition.</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state taxing authorities may assert that we had economic nexus with their state and were required to collect sales and use or similar taxes with respect to past or future services that we have provided or will provide, which could result in tax assessments and penalties and interest.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attributes may be subject to certain limitations.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federal and state net operating loss carryovers (“NOL”) which are available to reduce future taxable income. The NOL carry-forwards begin to expire in 2032 and may become subject to annual limitation in the event of certain cumulative changes in the ownership interest of significant stockholders over a three-year period in excess of 50%, as defined under I.R.C. Section 382. This could limit the amount of tax attributes that can be utilized annually to offset future taxable income or future tax liabilities. The federal losses generated from 2018 onward do not expire.</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possible that we will not generate taxable income in time to use these net operating loss carryforwards before their expiration (or that we will not generate taxable income at all). Under the Tax Cuts and Jobs Act of 2017, U.S. federal net operating losses incurred in 2018 and in future years may be carried forward indefinitely, but the deductibility of such net operating losses is limited. It is uncertain if and to what extent various states will conform to these in federal tax laws. In addition, the federal and state net operating loss carryforwards and certain tax credits may be subject to significant limitations under Section 382 and Section 383 of the Internal Revenue Code, respectively, and similar provisions of state law. Under those sections of the Internal Revenue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not undertaken an analysis of whether we have experienced an “ownership change” for purposes of Section 382 and Section 383 of the Internal Revenue Code or whether there are any limitations on use with respect to our net operating losses and other tax attributes.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of our executive officers or key employees or an inability to attract and retain highly skilled and diverse employees could adversely affect our business.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members of senior management. These members of senior management are at-will employees and therefore they may terminate their employment with us at any time with no advance notice. We also rely on our leadership team in the areas of research and development, marketing, clinical operations, and general and administrative functions. From time to time, there may be changes in our management team resulting from the hiring or departure of executives, which could disrupt our business. The replacement of one or more of our executive officers or other key employees will likely involve significant time and costs and may significantly delay or prevent the achievement of our business objectives. Our business would also be adversely affected if we fail to adequately plan for succession of our executives and senior management; or if we fail to effectively recruit, integrate, retain and develop key talent and/or align our talent with our business needs, in light of the current rapidly changing environment. While we have employment arrangements with a limited number of key executives, these do not guarantee that the services of these or suitable successor executives will continue to be available to us.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not be successful in continuing to attract and retain qualified personnel. We have from time to time in the past experienced, and we expect to continue to experience in the future, difficulty in hiring and retaining highly skilled personnel with appropriate qualifications. The pool of qualified personnel with experience working in the healthcare market is limited overall.</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making employment decisions, particularly in high-technology industries, job candidates often consider the value of the stock options or other equity instruments they are to receive in connection with their employment. Volatility in the price of our stock may, therefore, adversely affect our ability to attract or retain highly skilled personnel. Failure to attract new personnel or failure to retain and motivate our current personnel, could have a material adverse effect on our business,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dilution to our stockholders and otherwise disrupt our operations and we may have difficulty integrating any such acquisitions successfully or realizing the anticipated benefits therefrom, any of which could have a material adverse effect on our business, financial condition and results of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seek to acquire or invest in businesses, software-based products and services or technologies that we believe could complement or expand our solution, enhance our technical capabilities or otherwise offer growth opportunities. To pursue this strategy successfully, we must identify attractive acquisition or investment opportunities and successfully complete transactions, some of which may be large and complex. We may not be able to identify or complete attractive acquisition or investment opportunities due to, among other things, the intense competition for these transactions. If we are not able to identify and complete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acquisition or investment opportunities, our future results of operations and financial condition may be adversely affected. Additionally, the pursuit of potential acquisitions may divert the attention of management and cause us to incur various expenses in identifying, investigating and pursuing suitable acquisitions, whether or not they are consummated.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acquire additional businesses, we may not be able to integrate the acquired personnel, operations and technologies successfully, or effectively manage the combined business following the acquisition. We also may not achieve the anticipated benefits from the acquired business as a result of unanticipated costs or liabilities, difficulty converting the clients of the acquired business onto our platform and contract terms, diversion of management’s attention from other business concerns and employee retention issues, among other reasons.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generally must be assessed for impairment at least annually. In the future, if our acquisitions do not yield expected returns, we may be required to take charges to our results of operations based on this impairment assessment process, which could adversely affect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and increased interest rates may increase our operating and capital costs.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2023, the global inflation rate began to stabilize and, in some cases decline, as a result of central bank policy tightening; however, core inflation has proved persistent, in addition to the escalating number of significant conflicts throughout the globe. We expect these inflationary pressures to continue to impact our margins and more generally our business in 2024.</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almost 10 years of low interest rate environments, inflationary pressures and efforts in the U.S. and around the world to combat inflation have resulted in increased interest rates by central banks globally. While we do not have any debt outstanding, the increased interest rates could affect our clients’ businesses and borrowing costs, which in turn could impact their ability to make timely payments to us. Given that core inflation has proved persistent, it is uncertain if interest rates will stabilize, continue to increase or decrease.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attempts to offset these increasing costs, such as improving efficiency in other areas of the business and passing these increases on to customers, may not be successful. To the extent that our offsetting measures are not sufficient to offset these higher costs, our results of operations may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legal challenges to our business model or by actions restricting our ability to provide the full range of our services in certain jurisdictions.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conduct telehealth and teletherapy services through our network of providers in a particular jurisdiction is directly dependent upon the applicable laws governing remote care, the practice of medicine and healthcare delivery in general in such location, which are subject to changing political, regulatory and other influences. With respect to telehealth and teletherapy services, in the past, state medical boards have established new rules or interpreted existing rules in a manner that has limited or restricted our ability to conduct our business as it was conducted in other states. Some of these actions have resulted in the suspension or modification of our telehealth and teletherapy operations in certain states. However, the extent to which a jurisdiction considers particular actions or relationships to comply with the applicable standard of care is subject to change and to evolving interpretations by (in the case of U.S. states) medical boards and state attorneys general, among others, each with broad discretion. Accordingly, we must monitor our compliance with the law in every jurisdiction in which we operate, on an ongoing basis, and we cannot provide assurance that our activities and arrangements, if challenged, will be found to be in compliance with the law.</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it is possible that the laws and rules governing the practice of medicine, including telehealth and prescribing medication online, in one or more jurisdictions may change in a manner deleterious to our business. For instance, a few states have imposed different, and, in some cases, additional, standards regarding the provision of services via telehealth and teletherapy. Some states impose strict standards on using telehealth and teletherapy to prescribe certain classes of controlled substances that can be commonly used to treat behavioral health disorders. The unpredictability of this regulatory landscape means that sudden changes in policy regarding standards of care and reimbursement are possible. If a successful legal challenge or an adverse change in the relevant laws were to occur, and we or our affiliated medical group were unable to adapt our business model accordingly, our operations in the affected jurisdictions would be disrupted, which could have a material adverse effect on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Evolving government regulations may result in increased costs or adversely affect our results of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 regulatory climate that is uncertain, our operations may be subject to direct and indirect adoption, expansion or reinterpretation of various laws and regulations. Compliance with these future laws and regulations may require us to change our practices at an undeterminable and possibly significant initial monetary and recurring expense. These additional monetary expenditures may increase future overhead, which could have a material adverse effect on our results of operations. We have identified what we believe are the areas of government regulation that, if changed, would be costly to us. These include rules governing the practice of medicine by physicians and other licensed professionals; laws relating to licensure requirements for physicians and other licensed health professionals; laws limiting the corporate practice of medicine and professional fee-splitting; laws governing the issuances of prescriptions in an online setting; cybersecurity and privacy laws; and laws and rules relating to the distinction between independent contractors and employees. There could be laws and regulations applicable to our business that we have not identified or that, if changed, may be costly to us, and we cannot predict all the ways in which implementation of such laws and regulations may affect us.</w:t>
      </w:r>
    </w:p>
    <w:p>
      <w:pPr>
        <w:spacing w:after="0" w:line="13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In the jurisdictions in which we operate, even where we believe we are in compliance with all applicable laws, due to the uncertain regulatory environment, certain jurisdictions may determine that we are in violation of their laws. In the event that we must remedy such violations, we may be required to modify our services and products in a manner that undermines our solution’s attractiveness to our clients, members or providers or experts, we may become subject to fines or other penalties or, if we determine that the requirements to operate in compliance in such jurisdictions are overly burdensome, we may elect to terminate our operations in such places. In each case, our revenue may decline and our business, financial condition and results of operations could be materially adversely affected.</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introduction of new services may require us to comply with additional, yet undetermined, laws and regulations. Compliance may require obtaining appropriate licenses or certificates, increasing our security measures and expending additional resources to monitor developments in applicable rules and ensure compliance. The failure to adequately comply with these future laws and regulations may delay or possibly prevent some of our products or services from being offered to members and clients, or their members and patients, which could have a material adverse effect on our business, financial condition and results of operations.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is increasing pressure for businesses to use AI to streamline processes and remain competitive. It is expected that laws and regulations around the use of AI and machine learning tools will increase over the next few years but it is unknown at this time what these laws and regulations will address and how and whether they will be adopted globally. As we introduce AI or machine learning into our information technology systems, we could become subject to these new regulations, which may be difficult to comply with. Some of our competitors may not be required to comply, which would put us at a competitive disadvantage. In addition, we may find we do not have the right employee set for the advancement of our AI and machine learning initiatives or that we have not provided the appropriate training to our staff.</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relationships with affiliated professional entities, which we do not own, to provide physician and other professional services, and our business, financial condition and our ability to operate in certain jurisdictions would be adversely affected if those relationships were disrupted or if our arrangements with our providers or clients are found to violate state laws prohibiting the corporate practice of medicine or fee splitting.</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various agreements with Talkspace Provider Network, PA ("TPN"), a Texas professional association entity, which in turn contracts with our other affiliated professional entities ("PC entities"), physicians, therapists, and other licensed professionals for clinical and professional services provided to our members. There is a risk that U.S. state authorities in some jurisdictions may find that these contractual relationships with professional entities, physicians and other healthcare providers providing telehealth and teletherapy violate laws prohibiting the corporate practice of medicine and professional fee splitting. These laws generally prohibit the practice of medicine by lay persons or entities and prohibit us from employing physicians and certain licensed professionals, directing the clinical practice of physicians and certain licensed professionals, holding an ownership interest in an entity that employs physicians and certain licensed professionals or from engaging in certain financial arrangements, such as splitting professional fees with physicians and certain licensed professionals. The laws are intended to prevent unlicensed persons or entities from interfering with or inappropriately influencing a healthcare provider’s professional judgment. The extent to which each state considers particular actions or contractual relationships to constitute improper influence of professional judgment varies across the states and is subject to change and to evolving interpretations by state boards of medicine and professional counselors and therapists, and state attorneys general, among others. As such, we must monitor our compliance with applicable laws in every jurisdiction in which we operate on an ongoing basis and we cannot guarantee that subsequent interpretation of the corporate practice of medicine or fee splitting laws will not circumscribe our business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TPN contracts with therapists and other licensed professionals or enters into agreements with the PC entities, physicians, therapists and other licensed professionals for the clinical and professional services provided to our members. We do not own TPN or the PC entities; TPN and the PC entities are 100% owned by an independent licensed physician qualified to own TPN and such professional entities in the respective states of incorporation. A material change in our relationship with TPN or among TPN and the contracted professional entities, whether resulting from a dispute among the entities, a change in government regulation, or the loss of these affiliations, could impair our ability to provide services to members as we intend under the transitioned structure and could have a material adverse effect on our business, financial condition, and results of operations.</w:t>
      </w:r>
    </w:p>
    <w:p>
      <w:pPr>
        <w:spacing w:after="0" w:line="1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 corporate practice of medicine doctrines also often impose penalties on physicians themselves for aiding the corporate practice of medicine, which could discourage physicians from participating in our network of providers. Due to the prevalence of the corporate practice of medicine doctrine, including in states where we conduct our business, we are subject to related agreements with TPN. One such agreement is a management services agreement with TPN, pursuant to which TPN reserves exclusive control and responsibility for all aspects of the practice of medicine and the delivery of medical services and we provide non-clinical management and administrative services in exchange for a management fee. The PC entities, physicians, therapists and other licensed professionals who provide clinical and professional services to our members through contracts with TPN also retain exclusive control and responsibility for all aspects of medical services provided to our members. Although we seek to substantially comply with applicable state prohibitions on the corporate practice of medicine and fee splitting, state officials who administer these laws or other third parties may successfully challenge our organization and contractual arrangements with our providers once implemented. If such a claim were successful, we could be subject to civil and criminal penalties and could be required to restructure or terminate the applicable contractual arrangements. A determination that these arrangements violate state statutes, or our inability to successfully restructure our relationships with our providers to comply with these statutes, could eliminate clients located in certain states from the market for our services. Furthermore, these arrangements could subject us to additional scrutiny by federal and state regulatory bodies regarding federal and state fraud and abuse laws. Any scrutiny, investigation, adverse determination or litigation with regard to our arrangements with TPN and the PC entities could have a material adverse effect on our business, financial condition, and results of operations.</w:t>
      </w:r>
    </w:p>
    <w:p>
      <w:pPr>
        <w:spacing w:after="0" w:line="1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on us of ongoing healthcare legislation and other changes in the healthcare industry and in healthcare spending is currently unknown, but may adversely affect our business, financial condition and results of operations.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impact on us of healthcare reform legislation and other changes in the healthcare industry and in healthcare spending is currently unknown, but may adversely affect our business, financial condition and results of operations. Our revenue is dependent on the healthcare industry and could be affected by changes in healthcare spending, reimbursement and policy. The healthcare industry is subject to changing political, regulatory and other influences. The ACA made major changes in how healthcare is delivered and reimbursed, and it increased access to health insurance benefits to the uninsured and underinsured population of the United States.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ACA. It is uncertain the extent to which any such changes may impact our business or financial condition.</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of up to 2% per fiscal year pursuant to the Budget Control Act of 2011 and subsequent laws, which began in 2013 and will remain in effect through 2030, with the exception of a temporary suspension from May 1, 2020 through March 31, 2022,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consumer demand and affordability for our products and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(MACRA) which first affected physician payment in 2019. At this time, it is unclear how the introduction of the Medicare quality payment program will impact overall physician reimbursement.</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2022, the No Surprises Act went into effect to prevent surprise medical bills to non-federal healthcare program patients. Such changes in the regulatory environment may also result in changes to our payer mix that may affect our operations and revenue. In addition, certain provisions of the ACA authorize voluntary demonstration projects, which include the development of bundling payments for acute, inpatient hospital services, physician services and post-acute services for episodes of hospital care. Further, the ACA may adversely affect payers by increasing medical costs generally, which could have an effect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industry and potentially impact our business and revenue as payers seek to offset these increases by reducing costs in other areas. Certain of these provisions are still being implemented and the full impact of these changes on us cannot be determined at this time.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Uncertainty regarding future amendments to the ACA as well as new legislative proposals to reform healthcare and government insurance programs, along with the trend toward managed healthcare in the United States, could result in reduced demand and prices for our services. We expect that additional state and federal healthcare reform measures will be adopted in the future, any of which could limit the amounts that federal and state governments and other third-party payers will pay for healthcare products and services, which could adversely affect our business,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financial condition,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our services are not currently reimbursed by government healthcare programs such as Medicare or Medicaid, any future reimbursement from federal and/or state healthcare programs could expose our business to broadly applicable fraud and abuse laws and other healthcare laws and regulations that would regulate the business. As we enter the teen mental health market, it will encounter parental consent rules and regulations that vary by state, creating another level of compliance risks. The U.S. healthcare industry is heavily regulated and closely scrutinized by federal and state governments. Comprehensive statutes and regulations govern the manner in which we and our affiliated professional entities may provide and bill for services and collect reimbursement from governmental programs and private payers, our contractual relationships with TPN and its corresponding relationship with its contracted providers, vendors and clients, our marketing activities and other aspects of our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summary of the potential applicable U.S. federal and state healthcare laws, see, “Item 1. Business – U.S. Regulation.”</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need to fit certain activities within one of the statutory exceptions and safe harbors available, it is possible that some of our business activities could be subject to challenge under one or more of such laws. Achieving and sustaining compliance with these laws may prove costly. Failure to comply with these laws and other laws can result in civil and criminal penalties such as fines, damages, overpayment recoupment, loss of enrollment status and, if in the future we provide services reimbursable by government healthcare programs, exclusion from the Medicare and Medicaid programs.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laws, regulations and standards governing the provision of healthcare services may change significantly in the future. We cannot assure you that any new or changed healthcare laws, regulations or standards will not materially adversely affect our business. We cannot assure you that a review of our business by judicial, law enforcement, regulatory or accreditation authorities will not result in a determination that could adversely affect our operations.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by us, our employees, affiliates, partners or others with whom we work to comply with applicable laws and regulations could result in administrative, civil, commercial or criminal liabilities, including exclusion from participation in government healthcare programs, including Medicare and Medicaid. Any such penalties could have a material adverse effect on our reputation, our ability to compete for other contracts and our financial position, results of operations and/or cash flows.</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and disclosure of personal information, including PHI, personal data, and other health information, is subject to state, federal or other privacy and security regulations, and our failure to comply with those regulations or to adequately secure the information we hold could result in significant liability or reputational harm and, in turn, a material adverse effect on our client base and member bases and revenue.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privacy and security of personal information stored, maintained, received or transmitted electronically is an enforcement priority in the United States and internationally. While we strive to comply with all applicable privacy and security laws and regulations, as well as our own posted privacy policies and legal standards for privacy, any failure or perceived failure to comply with such requirements may result in proceedings or actions against us by government entities or private parties, or could cause us to lose clients or members, any of which could have a material adverse effect on our business. Recently, there has been 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increase in public awareness of privacy issues in the wake of revelations about the activities of various government agencies and in the number of private privacy-related lawsuits filed against companies. Any allegations about our practices with regard to the collection, use, disclosure, or security of personal information or other privacy-related matters, even if unfounded and even if we are in compliance with applicable laws, could damage our reputation and harm our business.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govern collection, storage, dissemination, use, retention, transfer, disposal, security and confidentiality of personal information, including HIPAA; U.S. state privacy, security and breach notification and healthcare information laws; the California Consumer Protection Act (“CCPA”); and other data protection laws.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HIPAA requires us to maintain policies and procedures governing PHI that are used or disclosed, and to implement administrative, physical and technical safeguards to protect PHI, including PHI maintained, used and disclosed in electronic form. Ongoing implementation and oversight of these measures involves significant time, effort and expense.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HIPAA also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Further, if a breach affects 500 patients or more, it must be reported to the U.S. Department of Health and Human Services Office (“HHS”) without unreasonable delay, and HHS will post the name of the breaching entity on its public web site. Breaches affecting 500 patients or more in the same state or jurisdiction must also be reported to the local media. If a breach involves fewer than 500 people, the covered entity must record it in a log and notify HHS at least annually.</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Entities that are found to be in violation of HIPAA as the result of a breach of unsecured PHI or following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HIPAA also authorizes state attorneys general to file suit on behalf of their residents and HIPAA's standards have been used as the basis for duty of care in state civil suits such as those for negligence or recklessness in the misuse or breach of PHI. Any such penalties or lawsuits could harm our business, financial condition, results of operations and prospects.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HIPAA, the U.S. federal government and various states and governmental agencies have adopted or are considering adopting various laws, regulations and standards regarding the collection, use, retention, security, disclosure, transfer and other processing of sensitive and personal information, to which we are or may become subject. For example, California implemented the California Consumer Privacy Act, or CCPA, which came into effect in 2020, and the California Privacy Rights Act (“CPRA”), which came into effect on January 1, 2023, which we are subject. The CCPA imposes obligations and restrictions on businesses regarding their collection, use, processing, retaining and sharing of personal information and provides new and enhanced data privacy rights to California residents. Protected health information that is subject to HIPAA is excluded from the CCPA; however, information we hold about individual residents of California that is not subject to HIPAA would be subject to the CCPA. The CPRA significantly amends and expands the CCPA, including by providing consumers with additional rights with respect to their personal information. The CPRA also creates a new state agency that will be vested with authority to implement and enforce the CCPA and the CPRA. We expect states to continue to enact legislation similar to the CCPA and CPRA that provides consumers with new privacy rights and increases the privacy and security obligations of entities handling certain personal information of such consumers. Laws similar to the CCPA and CPRA have passed in Virginia and Colorado, and have been proposed in other states and at the federal level, reflecting a trend toward more stringent privacy legislation in the United States.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we are subject to certain other state laws such as the California Confidentiality of Medical Information Act, which imposes restrictive requirements regulating the use and disclosure of health information and other personal information. Such laws and regulations are not necessarily preempted by HIPAA, particularly if a state affords greater protection to individuals than HIPAA. Where state laws are more protective, we have to comply with the stricter provisions. Further, in addition to fines and penalties imposed upon violators, some of these state laws, such as the CCPA, also afford private rights of action to individuals who believe their personal information has been misused.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aggregate, state-based data privacy and security laws and regulations may impact our business. All of these evolving compliance and operational requirements impose significant costs that are likely to increase over time, may require us to modify our data processing practices and policies, divert resources from other initiatives and projects could restrict the way services involving data are offered and could subject us to additional liabilities, all of which may adversely affect our results of operations, business, and financial condition.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there are numerous foreign laws, regulations and directives regarding privacy and the collection, storage, transmission, use, processing, disclosure and protection of personal information, the scope of which is continually evolving and subject to differing interpretations. If we provide services to users outside the United States, we may be subject to such laws, regulations, directives and obligations in relation to processing of personal information, and we may be subject to significant consequences, including penalties, fines and contractual liability, for our failure to comply. We are subject to the EU GDPR and the UK data privacy regime consisting primarily of the UK General Data Protection Regulation and the UK Data Protection Act 2018 (the “UK GDPR”) (the EU GDPR and the UK GDPR, collectively the “GDPR”), which impose a strict data protection compliance regime including stringent data protection requirements. EU Member States and the UK are also able to legislate separately on sensitive data (i.e., mental health), and we must comply with these local laws where we offer our services.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out of the EEA and the UK, including to the United States. The European Commission has published revised standard contractual clauses for data transfers from the EEA: the revised clauses must be used for relevant new data transfers from September 27, 2021; existing standard contractual clauses arrangements must be migrated to the revised clauses by December 27, 2022. We will be required to implement the revised standard contractual clauses within the relevant time frames. The revised standard contractual clauses apply only to the transfer of personal data outside of the EEA and not the UK; the UK’s Information Commissioner’s Office launched a public consultation on its draft revised data transfers mechanisms in August 2021. We continue to monitor updates and we may be required to implement new or revised documentation and processes in relation to our data transfers subject to the UK GDPR, within the relevant time frames. As supervisory authorities issue further guidance on data export mechanisms, including circumstances where the standard contractual clauses cannot be used, and/or start taking enforcement action, we could suffer additional costs, complaints and/or regulatory investigations or fines, and/or if we are otherwise unable to transfer personal information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relationship between the UK and the EU in relation to certain aspects of data protection law, particularly transfers of personal data, remains unclear following the UK’s departure from the EU on January 1, 2021,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comply with the requirements of the GDPR may result in fines of up to €20,000,000/ £17.5 million or up to 4% of our total worldwide annual revenue for the preceding financial year, whichever is higher. In addition,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publish statements to our clients and members that describe how we handle and protect personal information. If federal or state regulatory authorities or private litigants consider any portion of these statements to be inaccurate, incomplete, or not fully implemented, we may be subject to claims of deceptive practices or other violation of law, which could lead to significant liabilities and consequences, including, without limitation, costs of responding to investigations, defending against litigation, settling claims and complying with regulatory or court orders.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their exceptions and safe harbors, it is possible that our business activities can be subject to challenge under one or more of such laws. The applicability, scope and enforcement of each of these laws is uncertain and subject to rapid change in the current environment of healthcare reform. Federal, state and foreign enforcement bodies have recently increased their scrutiny of interactions between healthcare companies and healthcare providers and of processing of health data generally, which has led to a number of investigations, prosecutions, convictions and settlements in the healthcare industry. Any such investigations, prosecutions, convictions or settlements could result in significant financial penalties, damage to our brand and reputation, and a loss of clients and/or members, any of which could have an adverse effect on our business.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any significant change to applicable laws, regulations or industry practices regarding the collection, use, retention, security or disclosure of our users’ personal information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users' personal information data or develop new services and features. Any of the foregoing could harm our competitive position, business, financial condition, results of operations and prospects.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compliance obligations and risks under anti-corruption, export controls and economic sanctions laws and regulations of the United States and applicable non-U.S. jurisdictions, and any instances of noncompliance could have a material adverse effect on our reputation and the results of our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have limited international operations, we may be or may become subject to compliance obligations under anti-corruption laws and regulations imposed by governmental authorities around the world with jurisdiction over our operations. As a U.S. corporation, we are subject to the regulations imposed by the FCPA, which generally prohibits U.S. companies and their intermediaries from making improper payments to foreign officials for the purpose of obtaining or maintaining business. As a result, the Company faces the risk that an unauthorized payment or offer of payment could be made by one of its employees or intermediaries, even if such parties are not always subject to the Company’s control or are not themselves subject to the FCPA or other similar laws to which the Company may be subject. Any allegation or determination that the Company has violated the FCPA (or any other applicable anti-bribery laws in countries in which the Company does business, including the U.K. Bribery Act 2010) could have a material adverse effect on the Company’s business, financial position, results of operations, cash flows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protect, enforce or defend our intellectual property rights could impair our ability to protect our technology and our brand.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maintain, protect and enforce our intellectual property and other proprietary rights. We rely upon a combination of trademark, patent and trade secret laws, as well as license and access agreements and other contractual provisions, to protect our intellectual property rights. These laws, procedures and agreements provide only limited protection and any of our intellectual property rights may be challenged, invalidated, circumvented, infringed, diluted or misappropriated.</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attempt to protect our intellectual property and proprietary information by requiring our employees, consultants and certain of our contractors to execute confidentiality and assignment of inventions agreements. However, we may not obtain these agreements in all circumstances, and individuals with whom we have these agreements may not comply with their terms. The assignment of intellectual property rights under these agreements may not be self-executing or the assignment agreements may be breached, and we may be forced to bring claims against third parties, or defend claims that they may bring against us, to determine the ownership of what we regard as our intellectual property. In addition, we may not be able to prevent the unauthorized disclosure or use of our technical know-how or other trade secrets by the parties to these agreements despite the existence generally of confidentiality agreements and other contractual restrictions.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Monitoring unauthorized uses and disclosures is difficult and we do not know whether the steps we have taken to protect our proprietary technologies will be effective. Additionally, if a competitor lawfully obtains or independently develops the technology we maintain as a trade secret, we would have no right to prevent such competitor from using that technology or information to compete with us, which could harm our competitive position.</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use open-source software in connection with our proprietary software and expect to continue to use open-source software in the future. Some open-source licenses require licensors to provide source code to licensees upon request or prohibit licensors from charging a fee to licensees. While we try to insulate our proprietary code from the effects of such open-source license provisions, we cannot guarantee we will be successful. Accordingly, we may face claims from others claiming ownership of, or seeking to enforce the license terms applicable to such open-source software, including by demanding release of the open-source software, derivative works or our proprietary source code that was developed or distributed with such software. These claims could also result in litigation, require us to purchase a costly license or require us to devote additional research and development resources to change our software, any of which would have a negative effect on our business and results of operations. In addition, if the license terms for the open-source code change, we may be forced to re-engineer our software or incur additional costs. We cannot assure you that we have not incorporated open-source software into our proprietary software in a manner that may subject our proprietary software to an open-source license that requires disclosure, to clients or members or the public, of the source code to such proprietary software. Any such disclosure would have a negative effect on our business and the value of our proprietary software.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challenge the validity of our trademarks and patents or oppose trademark and patent applications. Companies with other patents could require us to stop using or pay to use required technology.</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our trademarks, trade name and brand names to distinguish our products and services from the products and services of our competitors, and we have registered or applied to register many of these trademarks. In the event that our trademarks are successfully challenged, we could be forced to rebrand products or services, which could result in time and expense to re-program our software and websites, loss of brand recognition, and could require us to devote resources to advertising and marketing new brands.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applied for, and intend to continue to apply for, patents relating to our software and technology. Such applications may not result in the issuance of any patents, and any patents that may be issued may not provide adequate protection from competition. Furthermore, because the issuance of a patent is not conclusive as to its inventorship, scope, validity or enforceability, it is possible that patents issued to us may be challenged successfully and found to be invalid or unenforceable in the future. If we are unable to secure or maintain patent coverage, our technology could become subject to competition from the sale of similar competing products.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Competitors may also be able to design around our now held or later issued patents. Changes in either the patent laws or interpretation of the patent laws in the United States and other countries may diminish the value of such patents or narrow the scope of our patent protection. If these developments were to occur, we could face increased competition.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patents issued to us relating to our software and technology may be infringed by the products or processes of others. The cost of enforcing patent rights against infringers, if such enforcement is required, could be significant and the time demands could interfere with our normal operations. Efforts to defend our intellectual property rights could incur significant costs and may or may not be resolved in our favor. If we fail to successfully enforce our intellectual property rights, our competitive position could suffer, which could harm our operating results. Regardless of the outcome, the cost and distraction associated with any such enforcement efforts could harm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as a result of any claim of infringement of another party’s intellectual property rights.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could become a party to intellectual property litigation and other infringement proceedings. The cost to us of any intellectual property litigation or other infringement or misappropriation proceeding, even if resolved in our favor, could be substantial. Some of our would-be competitors may sustain the costs of such litigation more effectively than we can because of their greater financial resources.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Regardless of the merits of any intellectual property litigation, we may be required to expend significant management time and financial resources on the defense of such claims, and any adverse outcome of any such claim or the above referenced review could have a material adverse effect on our business, financial condition or results of operations. We expect that we may receive in the future notices that claim we or our clients using our solution have misappropriated, misused or otherwise infringed other parties’ intellectual property rights, particularly as the number of competitors in our market grows and the functionality of applications amongst competitors overlaps. Our existing, or any future, litigation, whether or not successful, could be extremely costly to defend, divert our management’s time, attention and resources, damage our reputation and brand and substantially harm our business.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companies in our field,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Additionally, in connection with such litigation, our use of such intellectual property could be temporarily or permanently enjoined forcing us to stop using such intellectual property altogether. Even if we are successful in defending against such claims, litigation could result in substantial costs and be a distraction to management and other employees.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most instances, we have agreed to indemnify our clients against certain third-party claims, which may include claims that our solution infringes the intellectual property rights of such third parties. Our business could be adversely affected by any significant disputes between us and our clients as to the applicability or scope of our indemnification obligations to them. The results of any intellectual property litigation to which we may become a party, or for which we are required to provide indemnification, may require us to do one or more of the following: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offering or using technologies that incorporate the challenged intellectual property;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required to make substantial payments or undertake any of the other actions noted above as a result of any intellectual property infringement claims against us or any obligation to indemnify our clients for such claims, such payments or costs could have a material adverse effect on our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software may not operate properly, which could damage our reputation, give rise to claims against us or divert application of our resources from other purposes, any of which could harm our business,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Proprietary software development is time-consuming, expensive and complex, and may involve unforeseen difficulties. We encounter technical obstacles from time to time, and it is possible that we may discover additional problems that prevent our proprietary applications from operating properly. If our solution does not function reliably or fails to achieve client expectations in terms of performance, clients could assert liability claims against us or attempt to cancel their contracts with us. This could damage our reputation and impair our ability to attract or maintain clients. Moreover, data services are complex and those we offer have in the past contained, and may in the future develop or contain, undetected defects or errors. Material performance problems, defects or errors in our existing or new software-based products and services may arise in the future and may result from the interface of our solution with systems and data that we did not develop and the function of which is outside of our control or from issues undetected in our testing. These defects and errors, and any failure by us to identify and address them, could result in loss of revenue or market share, diversion of development resources, harm to our reputation and increased service and maintenance costs. Defects or errors may discourage existing or potential clients from purchasing our solution from us. Correction of defects or errors could prove to be impossible or impracticable. The costs incurred in correcting any defects or errors may be substantial and could have a material adverse effect on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in-licensing arrangements, joint ventures, strategic alliances or partnerships with third-parties that may not result in the development of commercially viable solutions or the generation of significant future revenues.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particular, these collaborations may not result in the development of products that achieve commercial success or result in significant revenues and could be terminated prior to developing any products. Additionally, we may not own, or may jointly own with a third party, the intellectual property rights in products and other works developed under our collaborations, joint ventures, strategic alliances or partnerships.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 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a transaction or arrangement or may need to purchase such rights at a premium.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720"/>
        <w:spacing w:after="0" w:line="471" w:lineRule="auto"/>
        <w:rPr>
          <w:sz w:val="20"/>
          <w:szCs w:val="20"/>
          <w:color w:val="auto"/>
        </w:rPr>
      </w:pPr>
      <w:r>
        <w:rPr>
          <w:rFonts w:ascii="Times New Roman" w:cs="Times New Roman" w:eastAsia="Times New Roman" w:hAnsi="Times New Roman"/>
          <w:sz w:val="18"/>
          <w:szCs w:val="18"/>
          <w:b w:val="1"/>
          <w:bCs w:val="1"/>
          <w:color w:val="auto"/>
        </w:rPr>
        <w:t xml:space="preserve">RISKS RELATED TO OWNERSHIP OF OUR COMMON STOCK, OUR WARRANTS AND OPERATING AS A PUBLIC COMPANY </w:t>
      </w:r>
      <w:r>
        <w:rPr>
          <w:rFonts w:ascii="Times New Roman" w:cs="Times New Roman" w:eastAsia="Times New Roman" w:hAnsi="Times New Roman"/>
          <w:sz w:val="18"/>
          <w:szCs w:val="18"/>
          <w:b w:val="1"/>
          <w:bCs w:val="1"/>
          <w:i w:val="1"/>
          <w:iCs w:val="1"/>
          <w:color w:val="auto"/>
        </w:rPr>
        <w:t>We continue to incur costs and devote continued management time as a result of operating as a public company.</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For example, we are subject to the reporting requirements of the Securities Exchange Act of 1934, as amended (the “Exchange Act”), and are required to comply with the applicable requirements of the Sarbanes-Oxley Act and the Dodd-Frank Wall Street Reform and Consumer Protection Act, as well as rules and regulations of the SEC and the Nasdaq Stock Market (“Nasdaq”), including the establishment and maintenance of disclosure and financial controls, changes in corporate governance practices and required filing of annual, quarterly and current reports with respect to our business and results of operations. Any failure to develop or maintain effective controls, or any difficulties encountered in their implementation or improvement could harm our results of operations or cause us to fail to meet our reporting obligations. Compliance with these requirements has increased our legal and financial compliance costs and made some activities more time-consuming and costly. In particular, we have incurred and expect to continue to incur expenses and devote continued management effort toward ensuring compliance with the requirements of Section 404 of the Sarbanes-Oxley Act.</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in the future, our ability to produce accurate and timely financial statements could be impaired, which may adversely affect investor confidence in us and, as a result, the value of our common stock.</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are required to establish and maintain internal controls over financial reporting and, pursuant to Section 404 of the Sarbanes-Oxley Act, are required provide a report by management on, among other things, the effectiveness of our internal control over financial reporting for our annual reports on Form 10-K filed with the SEC. In addition, Section 404 of the Sarbanes-Oxley Act also generally requires an attestation from our independent registered public accounting firm on the effectiveness of our internal control over financial reporting.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to maintain internal control over financial reporting could limit our ability to prevent or detect a misstatement of our financial results, limit our ability to report financial information on a timely and accurate basis, lead to a loss of investor confidence and have a negative impact on the trading price of our common stock and could subject us to sanctions or investigations by Nasdaq, the SEC or other regulatory authorities. A failure to implement and maintain effective control systems could also restrict our future access to the capital markets.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management identified material weaknesses in its internal controls over financial reporting for the year ended December 31, 2022. Though these material weaknesses were since remediated, it cannot be assumed that the Company will not have another material weakness in its internal controls over financial reporting in the future.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the Company’s internal control over financial reporting may not prevent or detect misstatements because of its inherent limitations, including the possibility of human error, the circumventions or overriding of controls or fraud. Even effective internal controls can provide only reasonable assurance with respect to the preparation and fair presentation of financial statements. The existence of a material weakness could result in errors in the Company’s financial statements that could result in a restatement of financial statements, which could cause the Company to fail to meet its reporting obligations, lead to a loss of investor confidence and have a negative impact on the trading price of the Company’s common stock.</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organizational documents contain certain provisions, including anti-takeover provisions that limit the ability of stockholders to take certain actions and could delay or discourage takeover attempts that stockholders may consider favorable.</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organizational documents and the Delaware General Corporation Law ("DGCL") contain provisions that could have the effect of rendering more difficult, delaying, or preventing an acquisition that stockholders may consider favorable, including transactions in which stockholders might otherwise receive a premium for their shares. These provisions could also limit the price that investors might be willing to pay in the future for shares of our common stock, and therefore depress the trading price of our common stock. These provisions could also make it difficult for stockholders to take certain actions, including electing directors who are not nominated by the current members of our board of directors or taking other corporate actions, including effecting changes in our management. Among other things, our organizational documents include the following provisions or features that may make the acquisition of our company more difficult: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classified board of directors with staggered, three-year terms;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permitted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prohibits cumulative voting in the election of directors, which limits the ability of minority stockholders to elect director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our directors and officers;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transactions are not “corporate opportunities” and the Identified Persons (as defined in the Certificate of Incorporation) are not subject to the doctrine of corporate opportunity and such Identified Persons do not have any fiduciary duty to refrain from engaging directly or indirectly in the same or similar business activities or lines of business as us;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governed by Section 203 of the DGCL and, instead, our Certificate of Incorporation includes a provision that is substantially similar to Section 203 of the DGCL, and acknowledges that certain stockholders cannot be “interested stockholders” (as defined in the Certificate of Incorporation);</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ability to amend the bylaws, which may allow our board of directors to take additional actions to prevent an unsolicited takeover and inhibit the ability of an acquirer to amend the bylaws to facilitate an unsolicited takeover attempt; and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contain advance notice procedures with which stockholders must comply to nominate candidates to our board of directors or to propose matters to be acted upon at a stockholders’ meeting, which could preclude stockholders from bringing matters before annual or special meetings of stockholders and delay changes in our board of directors and also may discourage or deter a potential acquirer from conducting a solicitation of proxies to elect the acquirer’s own slate of directors or otherwise attempting to obtain control of us.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board of directors or management.</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provision of our certificate of incorporation requiring exclusive forum in certain courts in the State of Delaware or the federal district courts of the United States for certain types of lawsuits may have the effect of discouraging lawsuits against our directors and officers.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Certificate of Incorporation requires, to the fullest extent permitted by law, that (i) any derivative action or proceeding brought on our behalf, (ii) any action asserting a claim of breach of a fiduciary duty owed by any of our directors, officers or stockholders to us or our stockholders, (iii) any action asserting a claim against us arising pursuant to any provision of the DGCL or the Certificate of Incorporation or our bylaws or (iv) any action asserting a claim against us governed by the internal affairs doctrine will have to be brought in a state court located within the state of Delaware (or if no state court of the State of Delaware has jurisdiction, the federal district court for the District of Delaware), in all cases subject to the court’s having personal jurisdiction over the indispensable parties named as defendants. The foregoing provisions do not apply to claims arising under the Securities Act, the Exchange Act or other federal securities laws for which there is exclusive federal or concurrent federal and state jurisdiction.</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unless we consent in writing to the selection of an alternative forum, the federal district courts of the United States of America shall be the exclusive forum for the resolution of any complaint asserting a cause of action arising under the Securities Act; provided, however, that our stockholders will not be deemed to have waived our compliance with the federal securities laws and the rules and regulations thereunder. The enforceability of similar choice of forum provisions in other companies’ organizational documents has been challenged in legal proceedings, and it is possible that, in connection with claims arising under federal securities laws, a court could find the choice of forum provisions contained in the Certificate of Incorporation to be inapplicable or unenforceable.</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that it finds favorable for disputes with us or any of our directors, officers or stockholders, which may discourage lawsuits with respect to such claims. Further, in the event a court finds either exclusive forum provision contained in the Certificate of Incorporation to be unenforceable or inapplicable in an action, we may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 additional costs associated with resolving such action in other jurisdictions, which could harm our business, operating results and 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resales of our common stock may cause the market price of our securities to drop significantly, even if our business is doing well.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restrictions on resale end and registration statements (to provide for the resale of such shares from time to time) are available for use, the sale or possibility of sale of these shares could have the effect of increasing the volatility in our share price or the market price of our common stock could decline if the holders of currently restricted shares sell them or are perceived by the market as intending to sell them.</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may issue additional common stock or other equity securities without the approval of investors, including for among other purposes to raise capital or pay for an acquisition, which would dilute investors’ ownership interests and may depress the market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investor's percentage of ownership in the Company may be diluted in the future.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with any publicly traded company, an investor’s percentage ownership in the Company may be diluted in the future because of equity issuances for acquisitions, capital markets transactions, or other circumstances, including the equity awards that the Company has and will continue to grant its directors, officers and employees. Certain holders also have outstanding warrants to purchase shares of common stock that are exercisable in accordance with the terms of the Warrant Agreement governing those securities. To the extent such warrants are exercised, additional shares of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market price of our common stock. However, there is no guarantee that the public warrants will ever be in the money prior to their expiration, and as such, the warrants may expire worthless.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and future agreements and financing instruments, business prospects and such other factors as our board of directors deems relevant.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only be able to exercise your public warrants on a “cashless basis” under certain circumstances, and if you do so, you will receive fewer shares of common stock from such exercise than if you were to exercise such warrants for cash.</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common stock issuable upon exercise of the warrants are not registered under the Securities Act in accordance with the terms of the Warrant Agreement; (ii) if we have so elected and the common stock are at the time of any exercise of a warrant not listed on a national securities exchange such that they satisfy the definition of “covered securities” under Section 18(b)(1) of the Securities Act; and (iii) if we have so elected and we call the public warrants for redemption. If you exercise your public warrants on a cashless basis, you would pay the warrant exercise price by surrendering the warrants for that number of common stock equal to the quotient obtained by dividing (x) the product of the number of common stock underlying the warrants, multiplied by the excess of the “fair market value” of our common stock (as defined in the next sentence) over the exercise price of the warrants by (y) the fair market value. The “fair market value” is the average reported closing price of the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common stock from such exercise than if you were to exercise such warrants for cash.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common stock purchasable upon exercise of a warrant could be decreased, all without your approval.</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Warrant Agreement provides that the terms of the warrants may be amended without the consent of any holder for, among other things, the purpose of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Accordingly, we may amend the terms of the public warrants in a manner adverse to a holder of public warrants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shares, shorten the exercise period or decrease the number of common stock purchasable upon exercise of a warrant.</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us.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 This choice-of-forum provision may limit a warrant holder’s ability to bring a claim in a judicial forum that it finds favorable for disputes with us,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worthless.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a price of $0.01 per warrant, provided that the closing price of our common stock equals or exceeds $18.00 per share (as adjusted for stock splits, stock recapitalizations, reorganizations, recapitalizations and the like) for any 20 trading days within a 30 trading-day period ending on the third trading day prior to the date on which we give proper notice of such redemption to the warrants holders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so long as they are held by the Sponsor or its permitted transferees.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securities may be volatile.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of our securities may fluctuate due to a variety of factors, including:</w:t>
      </w:r>
    </w:p>
    <w:p>
      <w:pPr>
        <w:spacing w:after="0" w:line="117"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services or technologies;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existing or any future collaborations;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our securities available for public sale;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board of directors or management;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geopolitical industry and market conditions;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market and industry factors may materially reduce the market price of our common stock and warrants regardless of our operating performance.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uncertainties or downturns in the general economy or the industries in which our clients operate could disproportionately affect the demand for our solution and negatively impact our results of operations.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General worldwide economic and geopolitical conditions have experienced significant volatility during the last ten years, and market volatility and uncertainty remain widespread, making it potentially very difficult for our clients and us to accurately forecast and plan future business activities. The demand for our service is dependent on the general economy, which is in turn affected by geopolitical conditions and the stability of the global credit markets. The ongoing and potential future impacts of escalating global conflicts, including those between Russia and Ukraine and the Israel/Hamas war in the Middle East, has heightened global economic and geopolitical uncertainty. During challenging economic times, our clients may have difficulty gaining timely access to sufficient credit or obtaining credit on reasonable terms, which could impair their ability to make timely payments to us and adversely affect our revenue. If that were to occur, our financial results could be harmed. Further, challenging economic conditions may impair the ability of our clients to pay for the software-based products and services they already have purchased from us and, as a result, our write-offs of accounts receivable could increase. We cannot predict the timing, strength or duration of any economic slowdown or recovery. If the condition of the general economy or markets in which we operate worsens, our business could be harmed.</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Relatedly, while we have a small back-office presence in Israel, none of our primary operations in the U.S. are dependent on those operations and we can use other locations and employees to fully supplement the work conducted in Israel.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in order to execute our business plans, which may not be available on terms acceptable to us, or at all.</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experienced recurring losses from operations, and negative cash flows at operations, and we expect our operating expenses will increase in the foreseeable future. We believe our cash and cash equivalents on hand following the Business Combination, together with cash we expect to generate from future operations, will be sufficient to meet our working capital and capital expenditure requirements in the near future. However, in the future we may still require additional capital to respond to technological advancements, competitive dynamics or technologies, customer demands, business opportunities, challenges, acquisitions or unforeseen circumstances and we may determine to engage in equity or debt financings or enter into credit facilities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our ability to continue to grow or support our business and to respond to business challenges could be significantly limited.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adversely affect our operating results and financial condition.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be subject to changes in tax laws and have additional tax liabilities. We are subject to changes in tax laws, treaties or regulations and the interpretation or enforcement thereof in the United States and in jurisdictions in which we or any of our subsidiaries operate or are organized, and any such changes could have a material effect on our results of operations and liquidity. In October 2021, the Group of 20 endorsed a new global minimum tax rate for large multinational companies, which also has the support of a large number of countries and territories responsible for the overwhelming majority of global economic output. To take effect, the minimum tax would need to be implemented by each jurisdiction. It is not yet clear how such a minimum tax would impact our business. The Tax Cuts and Jobs Act of 2017 (“Tax Reform Act”) adopted sweeping changes to the U.S. Internal Revenue Code which also could have a material adverse effect on our financial condition and results of operations. In addition to lowering the U.S. corporate income tax rate and numerous other changes, the law imposes more stringent limitations on the deductibility of net operating losses and imposes a type of minimum tax designed to reduce the benefits derived from intercompany transactions and payments that result in base erosion. Although the Tax Reform Act has not had a material effect on our financial statements to date, if these tax laws, treaties or regulations change or any tax authority successfully challenges our assessment of the effects of such laws, treaties and regulations it could have a material adverse effect on us, resulting in a higher effective tax rate on our consolidated earnings or a reclassification of the tax effects of our significant corporate restructuring transactions. On August 16, 2022, the Inflation Reduction Act (“IRA”) was signed into law in the United States. Among other provisions, the IRA includes a 15% corporate minimum tax rate applied to certain large corporations and a 1% excise tax on corporate stock repurchases made after December 31, 2022. The IRA has not had a material impact to the Company thus far.</w:t>
      </w:r>
    </w:p>
    <w:p>
      <w:pPr>
        <w:spacing w:after="0" w:line="19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Stock Market, it could result in our common stock being delisted, which could adversely affect the market price and liquidity of our securities and could have other adverse effects.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for trading on The Nasdaq Capital Market. We must satisfy Nasdaq’s continued listing requirements or risk possibly delisting, which would have a material adverse effect on our business. In November 2022, we received a letter from the Listing Qualifications staff of Nasdaq indicating that we no longer met the requirement of the Nasdaq Global Select Market to maintain a minimum bid price of $1 per share, as set forth in Nasdaq Listing Rule 5450(a)(1). In June 2023, we regained compliance with Nasdaq Listing Rule 5450(a)(1). Though we regained compliance, there is no guarantee will be able to maintain it going forward.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and/or other litigation, which is expensive, time-consuming and could divert management attention.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price of our securities may be volatile and, in the past, companies that have experienced volatility in the market price of their securities have been subject to securities class action litigation. We may face allegations or litigation related to, among other things, securities issuances or business practices. For example, in the past, putative class action lawsuits have been filed by certain of our shareholders against us and certain of our current and former officers and directors alleging certain violations of the federal securities laws in connection with certain statements we have made regarding our business and financial condition.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See Note 6, “Commitments and Contingent Liabilities” in the notes to the consolidated financial statements for further details. Additionally, we may become subject, from time to time, to other legal proceedings, payor audits, investigations, and claims that arise in the ordinary course of business such as claims brought by our clients in connection with commercial disputes or employment claims made by our current or former associates. Litigation disputes, including the disputes we are currently facing, could cause us to incur unforeseen expenses, result in content unavailability, and otherwise occupy a significant amount of our management’s time and attention, any of which could negatively affect our business operations and financial position. While the ultimate outcome of investigations, inquiries, information requests and legal proceedings is difficult to predict, such matters can be expensive, time-consuming and distracting, and adverse resolutions or settlements of those matters may result in, among other things, modification of our business practices, reputational harm or costs and significant payments, any of which could negatively affect our business operations and financial position. Insurance may not cover such claims, may not provide sufficient payments to cover all of the costs to resolve one or more such claims and may not continue to be available on terms acceptable to us. A claim brought against us that is uninsured or underinsured could result in unanticipated costs, thereby reducing our earnings and leading analysts or potential investors to reduce their expectations of our performance, which could reduce the market price of our stock.</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our business.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securities price or trading volume could decline. While we expect to receive research analyst coverage, if no analysts commence coverage of us, the market price and volume for our securities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experience losses or liability not covered by insurance.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exposes us to risks that are inherent in the provision of virtual behavioral healthcare. If clients, members or other individuals assert liability claims against us, any ensuing litigation, regardless of outcome, could result in a substantial cost to us, divert management’s attention from operations, and decrease market acceptance of our solution. We attempt to limit our liability to clients and members by contract; however, the limitations of liability set forth in the contracts may not be enforceable or may not otherwise protect us from liability for damages. Additionally, we may be subject to claims that are not explicitly covered by contract. We also maintain general liability coverage; however, this coverage may not continue to be available on acceptable terms, may not be available in sufficient amounts to cover one or more large claims against us, and may include larger self-insured retentions or exclusions for certain products. In addition, the insurer might disclaim coverage as to any future claim. A successful claim not fully covered by our insurance could have a material adverse impact on our liquidity,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Talkspace recognizes the importance of assessing, identifying, and managing material risks associated with cybersecurity threats as a vital component to the success of our business. We have established policies and processes for assessing, identifying, and managing the material risk from cybersecurity threats which may include, among other things, operational risks; fraud; extortion; harm to our business, employees or customers; violation of privacy or security laws and other litigation and legal risk; and reputational risks.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routinely assess material risks from cybersecurity threats, which include unauthorized access to our information systems that may result in adverse effects on the confidentiality, integrity, or availability of such systems or any information residing therein. Our process for identifying and assessing material risks from cybersecurity threats operates alongside our broader overall risk assessment process, covering all company risks. For additional information regarding risks from cybersecurity threats, please refer to Item 1A, “Risk Factors,” in this annual report on Form 10-K.</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a cybersecurity specific risk assessment process, which helps identify residual risk from cybersecurity threats. We have adopted the HITRUST CSF Assurance Program for Cloud assessment to inform this risk assessment process. Our risk assessments include the identification of reasonably foreseeable internal and external information security and cybersecurity risks, the likelihood that such events may occur and the impact or potential damage that could result from such risks. The assessments examine the adequacy of our policies, procedures, systems, and the safeguards in place to manage and mitigate the identified risks. The impact of these assessments is the refinement of existing safeguards and the implementation of new safeguards to improve our cybersecurity protections; reasonably address any identified gaps in existing safeguards; and ensure that we regularly monitor the effectiveness of those safeguards.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above processes, we engage with a third-party to review our information security program and related cybersecurity safeguards to help identify areas for continued focus, improvement, and/or compliance. Along with these third parties we ensure that the appropriate personnel collaborate with subject matter specialists, as necessary, to gather insights for identifying and assessing material cybersecurity threat risks, their impact and potential mitigations. We have implemented the following activities (among others) to mitigate risk:</w:t>
      </w:r>
    </w:p>
    <w:p>
      <w:pPr>
        <w:spacing w:after="0" w:line="72"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risk assessments to identify and assess cybersecurity risks and vulnerabilities in our information technology systems;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Running simulated cybersecurity drills, which are performed both in-house and by the third-party service provider, including vulnerability scanning, penetration testing and disaster recovery exercises;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background checks prior to hire;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encryption of data at rest and in transit;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logging and event monitoring;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 detection to monitor for malicious activity and anomalous behavior;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malware protection and restricting connections to malicious websites;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loss protection mechanisms;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penetration testing;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assessments of our third-party vendors;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by internal and external audit of the effectiveness of information security-related internal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closely monitor emerging data protection laws and implement changes to our processes designed to comply as needed;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information security risk insurance that provides protection against the potential losses arising from a cybersecurity incident.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incident response plan, as effected by management, coordinates the activities we take to prepare for, detect, contain, eradicate, and recover from cybersecurity incidents as well as to comply with potentially applicable legal obligations and mitigate brand and reputational damage. The incident response plan also outlines the appropriate communication flow and response for certain categories of potential cybersecurity incidents. The Chief Technology Officer escalates material events, including to the Chief Executive Officer and Board.</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require all employees to participate in cybersecurity awareness, privacy, security training annually and provide system-wide mechanisms to report potential threats. In addition, we use a third-party phishing awareness vendor to increase employee awareness of cybersecurity threats.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processes also address cybersecurity threat risks associated with our use of third-party service providers. Third-party risks are included within our broader overall risk assessment process, as well as our cybersecurity-specific risk identification program. In addition, cybersecurity considerations affect the selection and oversight of our third-party service providers and we continually monitor cybersecurity threat risks identified through such diligence.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can be no guarantee that our policies and procedures will be effective. Although our risk factors include further detail about the material cybersecurity risks we face and how a cybersecurity incident may affect our business strategy, results of operations or financial condition, we believe that risks from prior cybersecurity threats, including as a result of any previous cybersecurity incident, have not materially affected our business to date. We can provide no assurances that there will not be incidents in the future or that they will not materially affect us, including our business strategy, results of operations or financial condition. See “Item 1A. Risk Factors” for further information about these risks.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and an area of increasing focus for our Board and management. Our Audit Committee is responsible for the oversight of risks from cybersecurity threats. At least quarterly, and more frequently as relevant, the Audit Committee receives an overview from management covering topics such as security posture, results from third-party assessments, progress towards pre-determined risk-mitigation-related goals, and material cybersecurity threat risks or incidents and developments, as well as the steps management has taken to respond to such risks.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Members of the Audit Committee are also encouraged to regularly engage in ad hoc conversations with management on cybersecurity-related news and discuss any updates to our cybersecurity risk management and strategy programs. Material cybersecurity risks are also considered during separate Board meeting discussions of important matters like risk management, business continuity planning, and other relevant matters. Management or the Audit Committee will provide a comprehensive update to the Board on cybersecurity threats and risk mitigation generally at least annually, and more frequently as relevant.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information security and cybersecurity program is managed by our Chief Information Security Officer (CISO) and our Chief Technology Officer (CTO). The CISO and the Senior Director Information Security are responsible for our overall network security and assessing and managing cybersecurity risks and threats. The CISO has over 20 years of information security, privacy, auditing and compliance experience and holds numerous certifications. The Senior Director of Information Security has over 15 years of experience in information security, and holds numerous certifications. The CTO has over 20 years of experience and has been a leader of our Company’s information systems and technological advancements for the past nine (9) years. The SVP of Engineering has over 20 years of experience in IT and has specialized knowledge in systems and network infrastructure. The Director of SRE and Security has eight (8) years of experience and has principal responsibility for our network operations and system administration.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members of management are informed about and monitor the prevention, mitigation, detection, and remediation of cybersecurity incidents through their management of, and participation in, the cybersecurity risk management and strategy processes described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headquarters are located in New York, NY. As of December 31, 2023, the majority of the Company’s employees are still working remotely.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limited operations outside the United States. The Company has one foreign subsidiary located in Israel which leases its operating facilities under a month-to-month operating lease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view any of its leased facilities as material to its business.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reached settlements for certain class action lawsuits in February 2023 ending ongoing litigation. The court granted final approval to these settlements in all respects in the third and fourth quarter of 2023. The Company has not admitted any liability of wrongdoing in connection with these settlements and has entered into these settlements solely to avoid the costs, risks, distraction, and uncertainties of continued litigation. See Note 6, “Commitments and Contingent Liabilities” in the notes to the consolidated financial statements for further details.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foregoing, the Company may in the future be involved in various legal proceedings, claims and litigation that arise in the normal course of business. The Company accrues for estimated loss contingencies related to legal matters when available information indicates that it is probable a liability has been incurred and the Company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5. MARKET FOR THE REGISTRANT'S COMMON EQUITY, RELATED STOCKHOLDER MATTERS AND ISSUER PURCHASES OF</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23, 2021, Talkspace, Inc.'s common stock and warrants began trading on the Nasdaq under the symbols “TALK” and “TALKW,”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that time, there was no public market for our common stock or warrants.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there were 168,428,856 shares of common stock issued and outstanding, and 12,780,000 Private Placement Warrants and 21,350,000 Public Warrants to purchase the Company’s common stock at an exercise price of $11.50 per share. As of December 31, 2023, there were 10,558,573 and 8,984,827 shares underlying outstanding stock options and non-vested restricted stock units,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12, 2024, there were 78 holders of record of our common stock and 13 holders of record of our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The payment of cash dividends in the future will be dependent upon our revenues and earnings, if any, capital requirements and general financial condition. The payment of any cash dividends will be within the discretion of our board of directors. Our ability to declare dividends may be limited by the terms of financing or other agreements entered into by us or our subsidiaries from time to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 Plans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stock-based compensation plan under which the Company may grant cash and equity incentive awards to officers, employees, directors, consultants and service providers and one employee stock purchase plan under which employees of the Company and its participating subsidiaries are provided with the opportunity to purchase Talkspace common stock at a discount through accumulated payroll deductions during successive offering periods. See Note 8, “Share-based Compensation” in the notes to the consolidated financial statements and Part III, Item 12, which incorporates information by reference to the definitive Proxy Statement for our 2024 Annual Meeting of Stockholders, for further details.</w:t>
      </w:r>
    </w:p>
    <w:p>
      <w:pPr>
        <w:spacing w:after="0" w:line="179" w:lineRule="exact"/>
        <w:rPr>
          <w:sz w:val="20"/>
          <w:szCs w:val="20"/>
          <w:color w:val="auto"/>
        </w:rPr>
      </w:pPr>
    </w:p>
    <w:p>
      <w:pPr>
        <w:ind w:right="4860"/>
        <w:spacing w:after="0" w:line="469" w:lineRule="auto"/>
        <w:rPr>
          <w:sz w:val="20"/>
          <w:szCs w:val="20"/>
          <w:color w:val="auto"/>
        </w:rPr>
      </w:pPr>
      <w:r>
        <w:rPr>
          <w:rFonts w:ascii="Times New Roman" w:cs="Times New Roman" w:eastAsia="Times New Roman" w:hAnsi="Times New Roman"/>
          <w:sz w:val="18"/>
          <w:szCs w:val="18"/>
          <w:b w:val="1"/>
          <w:bCs w:val="1"/>
          <w:color w:val="auto"/>
        </w:rPr>
        <w:t xml:space="preserve">Recent Sales of Unregistered Securities; Use of Proceeds from Registered Securities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by the Company of shares of its Common Stock during the fourth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73025</wp:posOffset>
            </wp:positionV>
            <wp:extent cx="102235" cy="402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235" cy="402590"/>
                    </a:xfrm>
                    <a:prstGeom prst="rect">
                      <a:avLst/>
                    </a:prstGeom>
                    <a:noFill/>
                  </pic:spPr>
                </pic:pic>
              </a:graphicData>
            </a:graphic>
          </wp:anchor>
        </w:drawing>
        <w:drawing>
          <wp:anchor simplePos="0" relativeHeight="251657728" behindDoc="1" locked="0" layoutInCell="0" allowOverlap="1">
            <wp:simplePos x="0" y="0"/>
            <wp:positionH relativeFrom="column">
              <wp:posOffset>4784090</wp:posOffset>
            </wp:positionH>
            <wp:positionV relativeFrom="paragraph">
              <wp:posOffset>73025</wp:posOffset>
            </wp:positionV>
            <wp:extent cx="93980" cy="402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40259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73025</wp:posOffset>
            </wp:positionV>
            <wp:extent cx="93980" cy="402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40259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Borders>
              <w:top w:val="single" w:sz="8" w:color="auto"/>
            </w:tcBorders>
          </w:tcPr>
          <w:p>
            <w:pPr>
              <w:jc w:val="center"/>
              <w:ind w:left="117"/>
              <w:spacing w:after="0" w:line="142" w:lineRule="exact"/>
              <w:rPr>
                <w:sz w:val="20"/>
                <w:szCs w:val="20"/>
                <w:color w:val="auto"/>
              </w:rPr>
            </w:pPr>
            <w:r>
              <w:rPr>
                <w:rFonts w:ascii="Times New Roman" w:cs="Times New Roman" w:eastAsia="Times New Roman" w:hAnsi="Times New Roman"/>
                <w:sz w:val="13"/>
                <w:szCs w:val="13"/>
                <w:b w:val="1"/>
                <w:bCs w:val="1"/>
                <w:color w:val="auto"/>
                <w:w w:val="96"/>
              </w:rPr>
              <w:t>Total number of</w:t>
            </w:r>
          </w:p>
        </w:tc>
        <w:tc>
          <w:tcPr>
            <w:tcW w:w="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Maximum number of</w:t>
            </w: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jc w:val="center"/>
              <w:ind w:left="117"/>
              <w:spacing w:after="0" w:line="135" w:lineRule="exact"/>
              <w:rPr>
                <w:sz w:val="20"/>
                <w:szCs w:val="20"/>
                <w:color w:val="auto"/>
              </w:rPr>
            </w:pPr>
            <w:r>
              <w:rPr>
                <w:rFonts w:ascii="Times New Roman" w:cs="Times New Roman" w:eastAsia="Times New Roman" w:hAnsi="Times New Roman"/>
                <w:sz w:val="13"/>
                <w:szCs w:val="13"/>
                <w:b w:val="1"/>
                <w:bCs w:val="1"/>
                <w:color w:val="auto"/>
                <w:w w:val="98"/>
              </w:rPr>
              <w:t>Shares Purchased as</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 that may be</w:t>
            </w: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420" w:type="dxa"/>
            <w:vAlign w:val="bottom"/>
          </w:tcPr>
          <w:p>
            <w:pPr>
              <w:jc w:val="center"/>
              <w:ind w:left="77"/>
              <w:spacing w:after="0" w:line="135" w:lineRule="exact"/>
              <w:rPr>
                <w:sz w:val="20"/>
                <w:szCs w:val="20"/>
                <w:color w:val="auto"/>
              </w:rPr>
            </w:pPr>
            <w:r>
              <w:rPr>
                <w:rFonts w:ascii="Times New Roman" w:cs="Times New Roman" w:eastAsia="Times New Roman" w:hAnsi="Times New Roman"/>
                <w:sz w:val="13"/>
                <w:szCs w:val="13"/>
                <w:b w:val="1"/>
                <w:bCs w:val="1"/>
                <w:color w:val="auto"/>
                <w:w w:val="95"/>
              </w:rPr>
              <w:t>Total number of shares</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Average price per</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jc w:val="center"/>
              <w:ind w:left="117"/>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Part of a Publicly</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Purchased Under the</w:t>
            </w:r>
          </w:p>
        </w:tc>
      </w:tr>
      <w:tr>
        <w:trPr>
          <w:trHeight w:val="167"/>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20" w:type="dxa"/>
            <w:vAlign w:val="bottom"/>
            <w:tcBorders>
              <w:bottom w:val="single" w:sz="8" w:color="auto"/>
            </w:tcBorders>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6"/>
              </w:rPr>
              <w:t>purchased</w:t>
            </w:r>
          </w:p>
        </w:tc>
        <w:tc>
          <w:tcPr>
            <w:tcW w:w="1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share</w:t>
            </w:r>
          </w:p>
        </w:tc>
        <w:tc>
          <w:tcPr>
            <w:tcW w:w="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5"/>
              </w:rPr>
              <w:t>Announced Plan</w:t>
            </w: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Plan</w:t>
            </w:r>
          </w:p>
        </w:tc>
        <w:tc>
          <w:tcPr>
            <w:tcW w:w="100" w:type="dxa"/>
            <w:vAlign w:val="bottom"/>
          </w:tcPr>
          <w:p>
            <w:pPr>
              <w:spacing w:after="0"/>
              <w:rPr>
                <w:sz w:val="14"/>
                <w:szCs w:val="14"/>
                <w:color w:val="auto"/>
              </w:rPr>
            </w:pPr>
          </w:p>
        </w:tc>
      </w:tr>
      <w:tr>
        <w:trPr>
          <w:trHeight w:val="137"/>
        </w:trPr>
        <w:tc>
          <w:tcPr>
            <w:tcW w:w="20" w:type="dxa"/>
            <w:vAlign w:val="bottom"/>
            <w:tcBorders>
              <w:bottom w:val="single" w:sz="8" w:color="CFF0FC"/>
            </w:tcBorders>
            <w:shd w:val="clear" w:color="auto" w:fill="CFF0FC"/>
          </w:tcPr>
          <w:p>
            <w:pPr>
              <w:spacing w:after="0"/>
              <w:rPr>
                <w:sz w:val="11"/>
                <w:szCs w:val="11"/>
                <w:color w:val="auto"/>
              </w:rPr>
            </w:pPr>
          </w:p>
        </w:tc>
        <w:tc>
          <w:tcPr>
            <w:tcW w:w="360" w:type="dxa"/>
            <w:vAlign w:val="bottom"/>
            <w:tcBorders>
              <w:bottom w:val="single" w:sz="8" w:color="auto"/>
            </w:tcBorders>
            <w:shd w:val="clear" w:color="auto" w:fill="CFF0FC"/>
          </w:tcPr>
          <w:p>
            <w:pPr>
              <w:spacing w:after="0" w:line="130" w:lineRule="exact"/>
              <w:rPr>
                <w:sz w:val="20"/>
                <w:szCs w:val="20"/>
                <w:color w:val="auto"/>
              </w:rPr>
            </w:pPr>
            <w:r>
              <w:rPr>
                <w:rFonts w:ascii="Times New Roman" w:cs="Times New Roman" w:eastAsia="Times New Roman" w:hAnsi="Times New Roman"/>
                <w:sz w:val="13"/>
                <w:szCs w:val="13"/>
                <w:b w:val="1"/>
                <w:bCs w:val="1"/>
                <w:color w:val="auto"/>
                <w:w w:val="92"/>
              </w:rPr>
              <w:t>Period</w:t>
            </w:r>
          </w:p>
        </w:tc>
        <w:tc>
          <w:tcPr>
            <w:tcW w:w="5460" w:type="dxa"/>
            <w:vAlign w:val="bottom"/>
            <w:tcBorders>
              <w:bottom w:val="single" w:sz="8" w:color="CFF0FC"/>
            </w:tcBorders>
            <w:gridSpan w:val="2"/>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CFF0FC"/>
            </w:tcBorders>
            <w:gridSpan w:val="2"/>
            <w:shd w:val="clear" w:color="auto" w:fill="CFF0FC"/>
          </w:tcPr>
          <w:p>
            <w:pPr>
              <w:jc w:val="right"/>
              <w:ind w:right="997"/>
              <w:spacing w:after="0" w:line="130" w:lineRule="exact"/>
              <w:rPr>
                <w:sz w:val="20"/>
                <w:szCs w:val="20"/>
                <w:color w:val="auto"/>
              </w:rPr>
            </w:pPr>
            <w:r>
              <w:rPr>
                <w:rFonts w:ascii="Times New Roman" w:cs="Times New Roman" w:eastAsia="Times New Roman" w:hAnsi="Times New Roman"/>
                <w:sz w:val="13"/>
                <w:szCs w:val="13"/>
                <w:color w:val="auto"/>
              </w:rPr>
              <w:t>$</w:t>
            </w:r>
          </w:p>
        </w:tc>
        <w:tc>
          <w:tcPr>
            <w:tcW w:w="1760" w:type="dxa"/>
            <w:vAlign w:val="bottom"/>
            <w:tcBorders>
              <w:bottom w:val="single" w:sz="8" w:color="CFF0FC"/>
            </w:tcBorders>
            <w:gridSpan w:val="3"/>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FF0FC"/>
            </w:tcBorders>
            <w:shd w:val="clear" w:color="auto" w:fill="CFF0FC"/>
          </w:tcPr>
          <w:p>
            <w:pPr>
              <w:ind w:left="6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220" w:type="dxa"/>
            <w:vAlign w:val="bottom"/>
            <w:tcBorders>
              <w:bottom w:val="single" w:sz="8" w:color="CFF0FC"/>
            </w:tcBorders>
            <w:shd w:val="clear" w:color="auto" w:fill="CFF0FC"/>
          </w:tcPr>
          <w:p>
            <w:pPr>
              <w:spacing w:after="0"/>
              <w:rPr>
                <w:sz w:val="11"/>
                <w:szCs w:val="11"/>
                <w:color w:val="auto"/>
              </w:rPr>
            </w:pPr>
          </w:p>
        </w:tc>
        <w:tc>
          <w:tcPr>
            <w:tcW w:w="1680" w:type="dxa"/>
            <w:vAlign w:val="bottom"/>
            <w:tcBorders>
              <w:bottom w:val="single" w:sz="8" w:color="CFF0FC"/>
            </w:tcBorders>
            <w:gridSpan w:val="2"/>
            <w:shd w:val="clear" w:color="auto" w:fill="CFF0FC"/>
          </w:tcPr>
          <w:p>
            <w:pPr>
              <w:ind w:left="1440"/>
              <w:spacing w:after="0" w:line="130" w:lineRule="exact"/>
              <w:rPr>
                <w:sz w:val="20"/>
                <w:szCs w:val="20"/>
                <w:color w:val="auto"/>
              </w:rPr>
            </w:pPr>
            <w:r>
              <w:rPr>
                <w:rFonts w:ascii="Times New Roman" w:cs="Times New Roman" w:eastAsia="Times New Roman" w:hAnsi="Times New Roman"/>
                <w:sz w:val="13"/>
                <w:szCs w:val="13"/>
                <w:color w:val="auto"/>
              </w:rPr>
              <w:t>—</w:t>
            </w:r>
          </w:p>
        </w:tc>
      </w:tr>
      <w:tr>
        <w:trPr>
          <w:trHeight w:val="162"/>
        </w:trPr>
        <w:tc>
          <w:tcPr>
            <w:tcW w:w="584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October 1, 2023 to October 31, 2023</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w:t>
            </w:r>
          </w:p>
        </w:tc>
        <w:tc>
          <w:tcPr>
            <w:tcW w:w="220" w:type="dxa"/>
            <w:vAlign w:val="bottom"/>
          </w:tcPr>
          <w:p>
            <w:pPr>
              <w:spacing w:after="0"/>
              <w:rPr>
                <w:sz w:val="14"/>
                <w:szCs w:val="14"/>
                <w:color w:val="auto"/>
              </w:rPr>
            </w:pPr>
          </w:p>
        </w:tc>
        <w:tc>
          <w:tcPr>
            <w:tcW w:w="1680" w:type="dxa"/>
            <w:vAlign w:val="bottom"/>
            <w:gridSpan w:val="2"/>
          </w:tcPr>
          <w:p>
            <w:pPr>
              <w:ind w:left="144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58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November 1, 2023 to November 30, 2023</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7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w w:val="76"/>
              </w:rPr>
              <w:t>—</w:t>
            </w:r>
          </w:p>
        </w:tc>
        <w:tc>
          <w:tcPr>
            <w:tcW w:w="22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ind w:left="144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December 1, 2023 to December 31, 2023</w:t>
            </w:r>
          </w:p>
        </w:tc>
        <w:tc>
          <w:tcPr>
            <w:tcW w:w="1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w:t>
            </w:r>
          </w:p>
        </w:tc>
        <w:tc>
          <w:tcPr>
            <w:tcW w:w="220" w:type="dxa"/>
            <w:vAlign w:val="bottom"/>
          </w:tcPr>
          <w:p>
            <w:pPr>
              <w:spacing w:after="0"/>
              <w:rPr>
                <w:sz w:val="14"/>
                <w:szCs w:val="14"/>
                <w:color w:val="auto"/>
              </w:rPr>
            </w:pPr>
          </w:p>
        </w:tc>
        <w:tc>
          <w:tcPr>
            <w:tcW w:w="1680" w:type="dxa"/>
            <w:vAlign w:val="bottom"/>
            <w:gridSpan w:val="2"/>
          </w:tcPr>
          <w:p>
            <w:pPr>
              <w:ind w:left="1440"/>
              <w:spacing w:after="0"/>
              <w:rPr>
                <w:sz w:val="20"/>
                <w:szCs w:val="20"/>
                <w:color w:val="auto"/>
              </w:rPr>
            </w:pPr>
            <w:r>
              <w:rPr>
                <w:rFonts w:ascii="Times New Roman" w:cs="Times New Roman" w:eastAsia="Times New Roman" w:hAnsi="Times New Roman"/>
                <w:sz w:val="13"/>
                <w:szCs w:val="13"/>
                <w:color w:val="auto"/>
              </w:rPr>
              <w:t>—</w:t>
            </w:r>
          </w:p>
        </w:tc>
      </w:tr>
      <w:tr>
        <w:trPr>
          <w:trHeight w:val="195"/>
        </w:trPr>
        <w:tc>
          <w:tcPr>
            <w:tcW w:w="4420" w:type="dxa"/>
            <w:vAlign w:val="bottom"/>
            <w:tcBorders>
              <w:bottom w:val="single" w:sz="8" w:color="CFF0FC"/>
            </w:tcBorders>
            <w:gridSpan w:val="3"/>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w:t>
            </w:r>
          </w:p>
        </w:tc>
        <w:tc>
          <w:tcPr>
            <w:tcW w:w="14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CFF0FC"/>
            </w:tcBorders>
            <w:gridSpan w:val="2"/>
            <w:shd w:val="clear" w:color="auto" w:fill="CFF0FC"/>
          </w:tcPr>
          <w:p>
            <w:pPr>
              <w:jc w:val="right"/>
              <w:ind w:right="997"/>
              <w:spacing w:after="0" w:line="142"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CFF0FC"/>
            </w:tcBorders>
            <w:gridSpan w:val="2"/>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ind w:left="60"/>
              <w:spacing w:after="0" w:line="142" w:lineRule="exact"/>
              <w:rPr>
                <w:sz w:val="20"/>
                <w:szCs w:val="20"/>
                <w:color w:val="auto"/>
              </w:rPr>
            </w:pPr>
            <w:r>
              <w:rPr>
                <w:rFonts w:ascii="Times New Roman" w:cs="Times New Roman" w:eastAsia="Times New Roman" w:hAnsi="Times New Roman"/>
                <w:sz w:val="13"/>
                <w:szCs w:val="13"/>
                <w:color w:val="auto"/>
                <w:w w:val="76"/>
              </w:rPr>
              <w:t>—</w:t>
            </w:r>
          </w:p>
        </w:tc>
        <w:tc>
          <w:tcPr>
            <w:tcW w:w="220" w:type="dxa"/>
            <w:vAlign w:val="bottom"/>
            <w:tcBorders>
              <w:bottom w:val="single" w:sz="8" w:color="CFF0FC"/>
            </w:tcBorders>
            <w:shd w:val="clear" w:color="auto" w:fill="CFF0FC"/>
          </w:tcPr>
          <w:p>
            <w:pPr>
              <w:spacing w:after="0"/>
              <w:rPr>
                <w:sz w:val="17"/>
                <w:szCs w:val="17"/>
                <w:color w:val="auto"/>
              </w:rPr>
            </w:pPr>
          </w:p>
        </w:tc>
        <w:tc>
          <w:tcPr>
            <w:tcW w:w="1680" w:type="dxa"/>
            <w:vAlign w:val="bottom"/>
            <w:tcBorders>
              <w:bottom w:val="single" w:sz="8" w:color="CFF0FC"/>
            </w:tcBorders>
            <w:gridSpan w:val="2"/>
            <w:shd w:val="clear" w:color="auto" w:fill="CFF0FC"/>
          </w:tcPr>
          <w:p>
            <w:pPr>
              <w:ind w:left="1440"/>
              <w:spacing w:after="0" w:line="142" w:lineRule="exact"/>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-24765</wp:posOffset>
            </wp:positionV>
            <wp:extent cx="768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which will be filed with the SEC no later than 120 days after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22, 2024, the Company announced that its Board of Directors (“Board”) has approved a share repurchase program which authorizes the repurchase of up to $15 million of the currently outstanding shares of the Company’s common stock over a period of twenty-four months beginning on March 1, 2024 (the “Repurchase Program”). Under the Repurchase Program, the Company may repurchase shares through various methods, including open market purchases and privately-negotiated transactions, or otherwise in accordance with applicable federal securities laws, including Rule 10b-18 of the Securities Exchange Act of 1934 (the “Exchange Act”). Such purchases will be at times and in amounts as the Company deems appropriate, based on factors such as price, market conditions, corporate and regulatory requirements, constraints specified in any Rule 10b5-1 trading plans, alternative investment opportunities and other business considerations.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Repurchase Program does not obligate the Company to repurchase any dollar amount or number of shares, and may be suspended or terminated at any time.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as to “Talkspace,” the “Company,” “we,” “us” or “our” refer to the business of Talkspace, Inc. and its consolidated subsidiaries.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the financial statements and the related notes contained in this Annual Report. This discussion contains forward-looking statements that reflect our plans, estimates, and beliefs that involve risks and uncertainties. As a result of many factors, such as those discussed in the “Risk Factors” and “Forward-Looking Statements” sections and elsewhere in this Annual Report, our actual results may differ materially from those anticipated in these forward-looking statements.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this section is to discuss and analyze our consolidated financial condition, liquidity and capital resources and results of operations for the years ended December 31, 2023 and 2022. For a discussion of our results of operations, liquidity and capital resources for the year ended December 31, 2021, see "Management's Discussion and Analysis of Financial Condition and Results of Operations" in Part II, Item 7 of our Annual Report on Form 10-K for the fiscal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Talkspace is a healthcare company offering its members convenient and affordable access to a fully-credentialed network of highly qualified providers. We are a leading virtual behavioral health company and, since Talkspace’s founding in 2012, we have connected millions of patients with licensed mental health providers across a wide and growing spectrum of care through virtual counseling, psychotherapy and psychiatry. We created a purpose-built platform to address the vast, unmet and growing demand for mental health services of our members, serving our payor clients (“Payor”), comprised of health plans and employee assistance programs such as Aetna, Cigna, and Optum, who offer their insured members access to our platform at in-network reimbursement rates, our Direct-to-Enterprise clients ("DTE") comprised of enterprise clients such as Google, the University of Kentucky and the New York City Department of Health and Mental Hygiene, who offer their enterprise members access to our platform while their enterprise is under an active contract with Talkspace, and individual consumers ("Consumer") who subscribe directly to our platform.</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we had approximately 131 million eligible lives compared to 92 million eligible lives as of December 31, 2022. As of December 31, 2023, we had approximately 11,700 consumer active members compared to approximately 15,400 consumer active members as of December 31, 2022. For the year ended December 31, 2023, our clinicians completed 850,600 sessions for members covered under our Payor clients, as compared to 426,400 completed sessions for the year ended December 31, 2022. Please refer to the “Key Business Metrics” section below for a description of eligible lives and consumer active members.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 and Economic Conditions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demand for our solution is dependent on the general economy, which is in turn affected by geopolitical conditions, the stability of the global credit markets, inflationary pressures, increasing interest rates, the industries in which our Payor or DTE clients operate or serve, and other factors. Downturns in the general economy could disproportionately affect the demand for our solution and cause it to decrease.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could also be impacted by inflation and increased interest rates. Inflation did not have a material effect on our business, financial condition or results of operations for the years ended December 31, 2023 and 2022. However, if our costs were to become subject to significant inflationary pressures (such as Provider cost), we may not be able to fully offset such higher costs through price increases or cost savings. Our inability or failure to do so could harm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Fluctuations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financial results may fluctuate from period-to-period as a result of a variety of factors, many of which are outside of our control, including, without limitation, the factors described in this section. Most of our revenue in any given quarter is derived from contracts entered into with our clients during previous quarters. Consequently, a decline in new or renewed contracts in any one quarter may not be fully reflected in our revenue for that quarter. Such declines, however, would negatively affect our revenue in future periods and the effect of significant downturns in sales of and market demand for our solution, and potential changes in our renewals or renewal terms, may not be fully reflected in our results of operations until future periods. Our subscription model also makes it difficult for us to rapidly increase our total revenue through additional sales in any period, as revenue from new clients must be recognized over the applicable term of the contract. Accordingly, the effect of changes in the industry impacting our business or changes we experience in our new sales may not be reflected in our short-term results of operations. Any fluctuation in our quarterly results may not accurately reflect the underlying performance of our business and could cause a decline in the trading price of our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segment and as one reporting unit, which is how the chief operating decision maker (who is the chief executive officer) reviews financial performance and allocates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identify trends affecting our business, formulate business plans and make strategic decisions. We believe the following metrics are useful in evaluating our business: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2560" w:type="dxa"/>
            <w:vAlign w:val="bottom"/>
            <w:gridSpan w:val="3"/>
          </w:tcPr>
          <w:p>
            <w:pPr>
              <w:jc w:val="center"/>
              <w:ind w:left="97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520" w:type="dxa"/>
            <w:vAlign w:val="bottom"/>
          </w:tcPr>
          <w:p>
            <w:pPr>
              <w:spacing w:after="0"/>
              <w:rPr>
                <w:sz w:val="16"/>
                <w:szCs w:val="16"/>
                <w:color w:val="auto"/>
              </w:rPr>
            </w:pPr>
          </w:p>
        </w:tc>
        <w:tc>
          <w:tcPr>
            <w:tcW w:w="2560" w:type="dxa"/>
            <w:vAlign w:val="bottom"/>
            <w:tcBorders>
              <w:bottom w:val="single" w:sz="8" w:color="auto"/>
            </w:tcBorders>
            <w:gridSpan w:val="3"/>
          </w:tcPr>
          <w:p>
            <w:pPr>
              <w:jc w:val="center"/>
              <w:ind w:left="9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number of health plan and enterprise clients or otherwise indicated)</w:t>
            </w:r>
          </w:p>
        </w:tc>
        <w:tc>
          <w:tcPr>
            <w:tcW w:w="17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Number of eligible lives at year end </w:t>
            </w:r>
            <w:r>
              <w:rPr>
                <w:rFonts w:ascii="Times New Roman" w:cs="Times New Roman" w:eastAsia="Times New Roman" w:hAnsi="Times New Roman"/>
                <w:sz w:val="18"/>
                <w:szCs w:val="18"/>
                <w:i w:val="1"/>
                <w:iCs w:val="1"/>
                <w:color w:val="auto"/>
              </w:rPr>
              <w:t>(in millions)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20"/>
                <w:szCs w:val="20"/>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completed Payor sessions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850.6</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health plan clients at year end</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1"/>
                <w:szCs w:val="21"/>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enterprise clients at year end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Consumer active members at year end</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FF0FC"/>
          </w:tcPr>
          <w:p>
            <w:pPr>
              <w:spacing w:after="0"/>
              <w:rPr>
                <w:sz w:val="21"/>
                <w:szCs w:val="21"/>
                <w:color w:val="auto"/>
              </w:rPr>
            </w:pPr>
          </w:p>
        </w:tc>
      </w:tr>
      <w:tr>
        <w:trPr>
          <w:trHeight w:val="380"/>
        </w:trPr>
        <w:tc>
          <w:tcPr>
            <w:tcW w:w="7520" w:type="dxa"/>
            <w:vAlign w:val="bottom"/>
          </w:tcPr>
          <w:p>
            <w:pPr>
              <w:spacing w:after="0"/>
              <w:rPr>
                <w:sz w:val="24"/>
                <w:szCs w:val="24"/>
                <w:color w:val="auto"/>
              </w:rPr>
            </w:pPr>
          </w:p>
        </w:tc>
        <w:tc>
          <w:tcPr>
            <w:tcW w:w="2560" w:type="dxa"/>
            <w:vAlign w:val="bottom"/>
            <w:gridSpan w:val="3"/>
          </w:tcPr>
          <w:p>
            <w:pPr>
              <w:jc w:val="center"/>
              <w:ind w:left="9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7520" w:type="dxa"/>
            <w:vAlign w:val="bottom"/>
          </w:tcPr>
          <w:p>
            <w:pPr>
              <w:spacing w:after="0"/>
              <w:rPr>
                <w:sz w:val="16"/>
                <w:szCs w:val="16"/>
                <w:color w:val="auto"/>
              </w:rPr>
            </w:pPr>
          </w:p>
        </w:tc>
        <w:tc>
          <w:tcPr>
            <w:tcW w:w="2560" w:type="dxa"/>
            <w:vAlign w:val="bottom"/>
            <w:tcBorders>
              <w:bottom w:val="single" w:sz="8" w:color="auto"/>
            </w:tcBorders>
            <w:gridSpan w:val="3"/>
          </w:tcPr>
          <w:p>
            <w:pPr>
              <w:jc w:val="center"/>
              <w:ind w:left="9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Unique Payor active members during the period</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FF0FC"/>
          </w:tcPr>
          <w:p>
            <w:pPr>
              <w:spacing w:after="0"/>
              <w:rPr>
                <w:sz w:val="20"/>
                <w:szCs w:val="20"/>
                <w:color w:val="auto"/>
              </w:rPr>
            </w:pPr>
          </w:p>
        </w:tc>
      </w:tr>
    </w:tbl>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Eligible Lives: </w:t>
      </w:r>
      <w:r>
        <w:rPr>
          <w:rFonts w:ascii="Times New Roman" w:cs="Times New Roman" w:eastAsia="Times New Roman" w:hAnsi="Times New Roman"/>
          <w:sz w:val="18"/>
          <w:szCs w:val="18"/>
          <w:color w:val="auto"/>
        </w:rPr>
        <w:t>We consider eligible lives “eligible” if such persons are eligible to receive treatment on the Talkspace platform, in the case of our Payor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 at an agreed upon reimbursement rate through insurance under an employee assistance program or other network behavioral health paid benefit program. There may be instances where a person may be covered through multiple solutions, typically through behavioral health plans and employee assistance programs. In these instances, the person is counted each time they are covered in the eligible lives calculation, which may cause this amount to reflect a higher number of eligible lives than we actually serve.</w:t>
      </w:r>
    </w:p>
    <w:p>
      <w:pPr>
        <w:spacing w:after="0" w:line="12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Consumer Active Members: </w:t>
      </w:r>
      <w:r>
        <w:rPr>
          <w:rFonts w:ascii="Times New Roman" w:cs="Times New Roman" w:eastAsia="Times New Roman" w:hAnsi="Times New Roman"/>
          <w:sz w:val="18"/>
          <w:szCs w:val="18"/>
          <w:color w:val="auto"/>
        </w:rPr>
        <w:t>We consider consumer members “active” commencing on the date such member initiates contact with a provider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until the term of their monthly, quarterly or bi-annual subscription plan expires, unless terminated early.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Unique Payor Active Members: </w:t>
      </w:r>
      <w:r>
        <w:rPr>
          <w:rFonts w:ascii="Times New Roman" w:cs="Times New Roman" w:eastAsia="Times New Roman" w:hAnsi="Times New Roman"/>
          <w:sz w:val="18"/>
          <w:szCs w:val="18"/>
          <w:color w:val="auto"/>
        </w:rPr>
        <w:t>Represents unique users who had a session completed during the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revenues from services provided to individuals who are qualified to receive access to the Company's services through our commercial arrangements with health insurance plans, employee assistance organizations and enterprises. We also generate revenues from the sale of monthly, quarterly, bi-annual and annual membership subscriptions to the Company's therapy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platform as well as supplementary a la carte offerings directly to individual consumers through a subscription plan. See Note 2, “Summary of significant accounting policies and estimates” in the notes to the consolidated financial statements for further details.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growth is generated from a combination of increasing our eligible covered lives through contracting with health insurance plans and employee assistance organizations, increasing utilization within eligible covered lives, expanding enterprise clients, and increasing membership subscriptions.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revenues is comprised primarily of therapist payments. Cost of revenues is largely driven by the number of sessions and the size of our provider network that is required to service the growth of our health plan and enterprise clients, in addition to the growth of our customer base.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designed our business model and our provider network to be scalable and to leverage a hybrid model of both employee providers and independently contracted providers to support multiple growth scenarios. The compensation paid to our independently contracted providers is variable, and the amount paid to a provider is generally based on the amount of time committed by such provider to our members. Our employee providers receive a fixed-salary and discretionary bonuses, where applicable, all of which is included in cost of revenues.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expect to make increased investments to support accelerated growth and the required investment to scale our provider network, we also expect increased efficiencies and economies of scale. Our cost of revenues as a percentage of revenues is expected to fluctuate from period to period depending on the interplay of these factors as well as pricing fluctuations.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consist of research and development, clinical operations, sales and marketing, and general and administrative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include personnel and related expenses for software development and engineering, information technology infrastructure, security and privacy compliance and product development (inclusive of stock-based compensation for our research and development employees), third-party services and contractors related to research and development, information technology and software-related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Operations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operations expenses are associated with the management of our provider network of therapists. This item is comprised of costs related to recruiting, onboarding, credentialing, training and ongoing quality assurance activities (inclusive of stock-based compensation for our clinical operations employees), costs of third-party services and contractors related to recruiting and training and software-related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expenses consist primarily of employee-related expenses, including salaries, benefits, commissions, travel and stock-based compensation costs for our employees engaged in sales and account management.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Marketing expenses consist primarily of advertising and marketing expenses for member acquisition and engagement, as well as personnel costs, including salaries, benefits, bonuses, stock-based compensation expense for marketing employees, third-party services and contractors. Marketing expenses also include third-party software subscription services, third-party independent research, participation in trade shows, brand messaging and costs of communications materials that are produced for our clients to generate greater awareness and utilization of our platform among our Payor and DTE clients.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including salaries, benefits, bonuses and stock-based compensation expense for certain executives, finance, accounting, legal, compliance and human resources functions, as well as professional fees, occupancy costs, and other general overhead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Impairment of goodwill represents an impairment charge for goodwill as a result of the annual impairment test performed for the year ended December 31, 2022. No impairment charges were incurred for the years ending December 31, 2023 and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(income), net</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(income), net includes the impact from (i) non-cash changes in the fair value of our warrant liabilities, (ii) interest earned on cash equivalents deposited in our money market accounts and (iii) other financial expenses in connection with bank charges.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on income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on income consists primarily of foreign income taxes related to income generated by our subsidiary organized under the laws of Israel.</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full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results of operations for the years ended December 31, 2023 and 2022 and the dollar and percentage change between the respective years: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60" w:type="dxa"/>
            <w:vAlign w:val="bottom"/>
            <w:gridSpan w:val="3"/>
          </w:tcPr>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9"/>
        </w:trPr>
        <w:tc>
          <w:tcPr>
            <w:tcW w:w="40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0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2022</w:t>
            </w:r>
          </w:p>
        </w:tc>
        <w:tc>
          <w:tcPr>
            <w:tcW w:w="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r>
      <w:tr>
        <w:trPr>
          <w:trHeight w:val="16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percentages)</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Payor revenue</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80,823</w:t>
            </w:r>
          </w:p>
        </w:tc>
        <w:tc>
          <w:tcPr>
            <w:tcW w:w="32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36,168</w:t>
            </w:r>
          </w:p>
        </w:tc>
        <w:tc>
          <w:tcPr>
            <w:tcW w:w="30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44,655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100" w:type="dxa"/>
            <w:vAlign w:val="bottom"/>
          </w:tcPr>
          <w:p>
            <w:pPr>
              <w:spacing w:after="0"/>
              <w:rPr>
                <w:sz w:val="19"/>
                <w:szCs w:val="19"/>
                <w:color w:val="auto"/>
              </w:rPr>
            </w:pPr>
          </w:p>
        </w:tc>
      </w:tr>
      <w:tr>
        <w:trPr>
          <w:trHeight w:val="239"/>
        </w:trPr>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DTE revenue</w:t>
            </w:r>
          </w:p>
        </w:tc>
        <w:tc>
          <w:tcPr>
            <w:tcW w:w="3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33,614</w:t>
            </w: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28,241</w:t>
            </w:r>
          </w:p>
        </w:tc>
        <w:tc>
          <w:tcPr>
            <w:tcW w:w="3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5,373</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FF0FC"/>
          </w:tcPr>
          <w:p>
            <w:pPr>
              <w:spacing w:after="0"/>
              <w:rPr>
                <w:sz w:val="20"/>
                <w:szCs w:val="20"/>
                <w:color w:val="auto"/>
              </w:rPr>
            </w:pPr>
          </w:p>
        </w:tc>
      </w:tr>
      <w:tr>
        <w:trPr>
          <w:trHeight w:val="220"/>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Consumer revenue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35,608</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55,158</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(19,550 )</w:t>
            </w: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(35.4 )</w:t>
            </w:r>
          </w:p>
        </w:tc>
      </w:tr>
      <w:tr>
        <w:trPr>
          <w:trHeight w:val="23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3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150,045</w:t>
            </w: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119,567</w:t>
            </w:r>
          </w:p>
        </w:tc>
        <w:tc>
          <w:tcPr>
            <w:tcW w:w="3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30,478</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FF0FC"/>
          </w:tcPr>
          <w:p>
            <w:pPr>
              <w:spacing w:after="0"/>
              <w:rPr>
                <w:sz w:val="20"/>
                <w:szCs w:val="20"/>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75,665</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59,229</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9"/>
                <w:szCs w:val="19"/>
                <w:color w:val="auto"/>
              </w:rPr>
            </w:pPr>
          </w:p>
        </w:tc>
      </w:tr>
      <w:tr>
        <w:trPr>
          <w:trHeight w:val="23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74,380</w:t>
            </w: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60,338</w:t>
            </w:r>
          </w:p>
        </w:tc>
        <w:tc>
          <w:tcPr>
            <w:tcW w:w="3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14,042</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FF0FC"/>
          </w:tcPr>
          <w:p>
            <w:pPr>
              <w:spacing w:after="0"/>
              <w:rPr>
                <w:sz w:val="20"/>
                <w:szCs w:val="20"/>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Research and development, net</w:t>
            </w:r>
          </w:p>
        </w:tc>
        <w:tc>
          <w:tcPr>
            <w:tcW w:w="3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17,571</w:t>
            </w: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21,659</w:t>
            </w:r>
          </w:p>
        </w:tc>
        <w:tc>
          <w:tcPr>
            <w:tcW w:w="3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(4,088 )</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(18.9 )</w:t>
            </w:r>
          </w:p>
        </w:tc>
      </w:tr>
      <w:tr>
        <w:trPr>
          <w:trHeight w:val="220"/>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Clinical operations, net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6,159</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6,591</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(432 )</w:t>
            </w: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(6.6 )</w:t>
            </w:r>
          </w:p>
        </w:tc>
      </w:tr>
      <w:tr>
        <w:trPr>
          <w:trHeight w:val="239"/>
        </w:trPr>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3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52,544</w:t>
            </w: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72,842</w:t>
            </w:r>
          </w:p>
        </w:tc>
        <w:tc>
          <w:tcPr>
            <w:tcW w:w="3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(20,298 )</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(27.9 )</w:t>
            </w:r>
          </w:p>
        </w:tc>
      </w:tr>
      <w:tr>
        <w:trPr>
          <w:trHeight w:val="220"/>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21,315</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36,270</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(14,955 )</w:t>
            </w: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(41.2 )</w:t>
            </w:r>
          </w:p>
        </w:tc>
      </w:tr>
      <w:tr>
        <w:trPr>
          <w:trHeight w:val="239"/>
        </w:trPr>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Impairment of goodwill</w:t>
            </w:r>
          </w:p>
        </w:tc>
        <w:tc>
          <w:tcPr>
            <w:tcW w:w="3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6,134</w:t>
            </w:r>
          </w:p>
        </w:tc>
        <w:tc>
          <w:tcPr>
            <w:tcW w:w="3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(6,134 )</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(100.0 )</w:t>
            </w: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97,589</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143,496</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(45,907 )</w:t>
            </w: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(32.0 )</w:t>
            </w:r>
          </w:p>
        </w:tc>
      </w:tr>
      <w:tr>
        <w:trPr>
          <w:trHeight w:val="23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3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(23,209 )</w:t>
            </w:r>
          </w:p>
        </w:tc>
        <w:tc>
          <w:tcPr>
            <w:tcW w:w="4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(83,158 )</w:t>
            </w:r>
          </w:p>
        </w:tc>
        <w:tc>
          <w:tcPr>
            <w:tcW w:w="4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59,949</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shd w:val="clear" w:color="auto" w:fill="CFF0FC"/>
          </w:tcPr>
          <w:p>
            <w:pPr>
              <w:spacing w:after="0"/>
              <w:rPr>
                <w:sz w:val="20"/>
                <w:szCs w:val="20"/>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(income), net</w:t>
            </w:r>
          </w:p>
        </w:tc>
        <w:tc>
          <w:tcPr>
            <w:tcW w:w="38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(4,245 )</w:t>
            </w:r>
          </w:p>
        </w:tc>
        <w:tc>
          <w:tcPr>
            <w:tcW w:w="4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(3,740 )</w:t>
            </w:r>
          </w:p>
        </w:tc>
        <w:tc>
          <w:tcPr>
            <w:tcW w:w="4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(505 )</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9"/>
                <w:szCs w:val="19"/>
                <w:color w:val="auto"/>
              </w:rPr>
            </w:pPr>
          </w:p>
        </w:tc>
      </w:tr>
      <w:tr>
        <w:trPr>
          <w:trHeight w:val="23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before taxes on income</w:t>
            </w:r>
          </w:p>
        </w:tc>
        <w:tc>
          <w:tcPr>
            <w:tcW w:w="3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(18,964 )</w:t>
            </w:r>
          </w:p>
        </w:tc>
        <w:tc>
          <w:tcPr>
            <w:tcW w:w="4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(79,418 )</w:t>
            </w:r>
          </w:p>
        </w:tc>
        <w:tc>
          <w:tcPr>
            <w:tcW w:w="4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60,454</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shd w:val="clear" w:color="auto" w:fill="CFF0FC"/>
          </w:tcPr>
          <w:p>
            <w:pPr>
              <w:spacing w:after="0"/>
              <w:rPr>
                <w:sz w:val="20"/>
                <w:szCs w:val="20"/>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on income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(36 )</w:t>
            </w: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(14.2 )</w:t>
            </w:r>
          </w:p>
        </w:tc>
      </w:tr>
      <w:tr>
        <w:trPr>
          <w:trHeight w:val="23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(19,182 )</w:t>
            </w: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(79,672 )</w:t>
            </w:r>
          </w:p>
        </w:tc>
        <w:tc>
          <w:tcPr>
            <w:tcW w:w="42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60,490</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Year Ended December 31, 2023 compared to December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Revenues increased by $30.5 million, or 25.5%, to $150.0 million for the year ended December 31, 2023 from $119.6 million for the year ended December 31, 2022. The increase was principally due to a 123.5% increase in Payor revenue driven by a higher number of completed payor sessions, and 19.0% growth in DTE revenue, partially offset by a 35.4% decline in Consumer subscription revenue. Revenue from our Payor clients increased by $44.7 million, or 123.5% to $80.8 million for the year ended December 31, 2023 from $36.2 million for the year ended December 31, 2022. Revenue from our DTE clients increased by $5.4 million, or 19.0% to $33.6 million for the year ended December 31, 2023 from $28.2 million for the year ended December 31, 2022. Consumer member subscriptions revenue decreased by $19.6 million, or 35.4%, to $35.6 million for the year ended December 31, 2023 from $55.2 million for the year ended December 31, 2022 due to the Company's intentional and strategic decision to optimize and focus marketing efforts on attracting payor members and while we no longer have marketing resources dedicated solely to the Consumer category, it continues to have a positive contribution to our financial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revenues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revenues increased by $16.4 million or 27.7%, to $75.7 million for the year ended December 31, 2023 from $59.2 million for the year ended December 31, 2022 primarily due to increased hours worked by therapists to meet strong customer engagement.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by $14.0 million, or 23.3%, to $74.4 million for the year ended December 31, 2023 from $60.3 million for the year ended December 31, 2022. Gross margin was 49.6% for the year ended December 31, 2023, compared to 50.5% during the year ended December 31, 2022. The increase in gross profit was primarily driven by an increase in Payor and DTE revenues. The decline in gross margin was driven by a shift in revenue mix towards Payor.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our operating expenses for the year ended December 31, 2023 have decreased compared to the year ended December 31, 2022 due to our efficiency initiatives in order to optimize for profitability.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by $4.1 million, or 18.9%, to $17.6 million for the year ended December 31, 2023 from $21.7 million for the year ended December 31, 2022, primarily due to a decrease in employee-related costs, inclusive of non-cash stock compensation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operations expenses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Clinical operations expenses decreased by $0.4 million, or 6.6%, to $6.2 million for the year ended December 31, 2023 from $6.6 million for the year ended December 31, 2022, primarily due to a decrease in software subscriptions.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$20.3 million, or 27.9%, to $52.5 million for the year ended December 31, 2023 from $72.8 million for the year ended December 31, 2022. The decrease in sales and marketing expenses was primarily driven by a decrease in direct marketing and promotional costs, subcontractor costs, and employee-related costs, inclusive of non-cash stock compensation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$15.0 million, or 41.2%, to $21.3 million for the year ended December 31, 2023 from $36.3 million for the year ended December 31, 2022. The decrease in general and administrative expenses was primarily due to a decrease in professional fees, employee-related costs, inclusive of non-cash stock compensation expense, and subcontractor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goodwill</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Impairment of goodwill consists of a $6.1 million impairment charge related to goodwill for the year ending December 31, 2022. No impairment charges were incurred for the years ending December 31, 2023 and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(income), net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(income), net was $4.2 million for the year ended December 31, 2023, compared to financial (income), net of $3.7 million for the year ended December 31, 2022. For the year ended December 31, 2023, financial (income), net, primarily consisted of $5.3 million of interest income from our money market accounts partially offset by $0.9 million in non-cash losses resulting from the remeasurement of warrant liabilities. For the year ended December 31, 2022, financial (income), net primarily consisted of $3.1 million in non-cash gains resulting from the remeasurement of warrant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 on income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Taxes on income consists primarily of foreign income taxes related to income generated by our subsidiary organized under the laws of Israel. Taxes on income were immaterial for the years ending December 31, 2023 and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Year Ended December 31, 2022 compared to December 31, 2021</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detailed discussion of the results for the year ended December 31, 2022 compared to the year ended December 31, 2021, please refer to the "Management's Discussion and Analysis of Financial Condition and Results of Operations" in Part II, Item 7 of our Annual Report on Form 10-K for the fiscal year ended December 31, 2022 filed on March 10,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GAAP, we believe adjusted EBITDA, a non-GAAP measure, is useful in evaluating our operating performance, and our management uses it as a key performance measure to assess our operating performance. Because adjusted EBITDA facilitates internal comparisons of our historical operating performance on a more consistent basis, we use this measure for business planning purposes and in evaluating acquisition opportunities. We also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the limitations of adjusted EBITDA include (i) adjusted EBITDA does not necessarily reflect capital commitments to be paid in the future and (ii) although depreciation and amortization are non-cash charges, the underlying assets may need to be replaced and adjusted EBITDA does not reflect these requirements. In evaluating adjusted EBITDA, you should be aware that in the future we will incur expenses similar to the adjustments described herein. Our presentation of adjusted EBITDA should not be construed as an inference that our future results will be unaffected by these expenses or any unusual or non-recurring items. Our adjusted EBITDA may not be comparable to similarly titled measures of other companies because they may not calculate adjusted EBITDA in the same manner as we calculate the measure, limiting its usefulness as a comparative measure. Adjusted EBITDA should not be considered as an alternative to loss before income taxes, net loss, loss per share, or any other performance measures derived in accordance with U.S. GAAP. When evaluating our performance, you should consider adjusted EBITDA alongside other financial performance measures, including our net loss and other GAAP results.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reconciliation is provided below for adjusted EBITDA to net loss, the most directly comparable financial measure stated in accordance with GAAP. Investors are encouraged to review our financial statements prepared in accordance with GAAP and the reconciliation of our non-GAAP financial measure to its most directly comparable GAAP financial measure, and not to rely on any single financial measure to evaluate our business. We do not provide a forward-looking reconciliation of adjusted EBITDA guidance as the amount and significance of the reconciling items required to develop meaningful comparable GAAP financial measures cannot be estimated at this time without unreasonable efforts. These reconciling items could be meaningful.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adjusted EBITDA as net loss income adjusted to exclude (i) depreciation and amortization, (ii) interest and other expenses (income), net, (iii) tax benefit and expense, (iv) stock-based compensation expense, (v) impairment of goodwill and (vi) certain non-recurring expenses that we believe do not represent our on-going operations, where applicable.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from the most comparable GAAP measure, net loss, for the years ended December 31, 2023 and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32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69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(19,182 )</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(79,672 )</w:t>
            </w:r>
          </w:p>
        </w:tc>
      </w:tr>
      <w:tr>
        <w:trPr>
          <w:trHeight w:val="23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3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shd w:val="clear" w:color="auto" w:fill="CFF0FC"/>
          </w:tcPr>
          <w:p>
            <w:pPr>
              <w:spacing w:after="0"/>
              <w:rPr>
                <w:sz w:val="21"/>
                <w:szCs w:val="21"/>
                <w:color w:val="auto"/>
              </w:rPr>
            </w:pPr>
          </w:p>
        </w:tc>
      </w:tr>
      <w:tr>
        <w:trPr>
          <w:trHeight w:val="243"/>
        </w:trPr>
        <w:tc>
          <w:tcPr>
            <w:tcW w:w="69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Financial (income), net </w:t>
            </w:r>
            <w:r>
              <w:rPr>
                <w:rFonts w:ascii="Times New Roman" w:cs="Times New Roman" w:eastAsia="Times New Roman" w:hAnsi="Times New Roman"/>
                <w:sz w:val="24"/>
                <w:szCs w:val="24"/>
                <w:color w:val="auto"/>
                <w:vertAlign w:val="superscript"/>
              </w:rPr>
              <w:t>(1)</w:t>
            </w:r>
          </w:p>
        </w:tc>
        <w:tc>
          <w:tcPr>
            <w:tcW w:w="460" w:type="dxa"/>
            <w:vAlign w:val="bottom"/>
          </w:tcPr>
          <w:p>
            <w:pPr>
              <w:spacing w:after="0"/>
              <w:rPr>
                <w:sz w:val="21"/>
                <w:szCs w:val="21"/>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(4,245 )</w:t>
            </w:r>
          </w:p>
        </w:tc>
        <w:tc>
          <w:tcPr>
            <w:tcW w:w="520" w:type="dxa"/>
            <w:vAlign w:val="bottom"/>
          </w:tcPr>
          <w:p>
            <w:pPr>
              <w:spacing w:after="0"/>
              <w:rPr>
                <w:sz w:val="21"/>
                <w:szCs w:val="21"/>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(3,740 )</w:t>
            </w:r>
          </w:p>
        </w:tc>
      </w:tr>
      <w:tr>
        <w:trPr>
          <w:trHeight w:val="243"/>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Taxes on income</w:t>
            </w:r>
          </w:p>
        </w:tc>
        <w:tc>
          <w:tcPr>
            <w:tcW w:w="4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FF0FC"/>
          </w:tcPr>
          <w:p>
            <w:pPr>
              <w:spacing w:after="0"/>
              <w:rPr>
                <w:sz w:val="21"/>
                <w:szCs w:val="21"/>
                <w:color w:val="auto"/>
              </w:rPr>
            </w:pPr>
          </w:p>
        </w:tc>
      </w:tr>
      <w:tr>
        <w:trPr>
          <w:trHeight w:val="23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100" w:type="dxa"/>
            <w:vAlign w:val="bottom"/>
          </w:tcPr>
          <w:p>
            <w:pPr>
              <w:spacing w:after="0"/>
              <w:rPr>
                <w:sz w:val="20"/>
                <w:szCs w:val="20"/>
                <w:color w:val="auto"/>
              </w:rPr>
            </w:pPr>
          </w:p>
        </w:tc>
      </w:tr>
      <w:tr>
        <w:trPr>
          <w:trHeight w:val="247"/>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46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100" w:type="dxa"/>
            <w:vAlign w:val="bottom"/>
            <w:shd w:val="clear" w:color="auto" w:fill="CFF0FC"/>
          </w:tcPr>
          <w:p>
            <w:pPr>
              <w:spacing w:after="0"/>
              <w:rPr>
                <w:sz w:val="21"/>
                <w:szCs w:val="21"/>
                <w:color w:val="auto"/>
              </w:rPr>
            </w:pPr>
          </w:p>
        </w:tc>
      </w:tr>
      <w:tr>
        <w:trPr>
          <w:trHeight w:val="243"/>
        </w:trPr>
        <w:tc>
          <w:tcPr>
            <w:tcW w:w="69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Non-recurring expenses </w:t>
            </w:r>
            <w:r>
              <w:rPr>
                <w:rFonts w:ascii="Times New Roman" w:cs="Times New Roman" w:eastAsia="Times New Roman" w:hAnsi="Times New Roman"/>
                <w:sz w:val="24"/>
                <w:szCs w:val="24"/>
                <w:color w:val="auto"/>
                <w:vertAlign w:val="superscript"/>
              </w:rPr>
              <w:t>(2)</w:t>
            </w: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100" w:type="dxa"/>
            <w:vAlign w:val="bottom"/>
          </w:tcPr>
          <w:p>
            <w:pPr>
              <w:spacing w:after="0"/>
              <w:rPr>
                <w:sz w:val="21"/>
                <w:szCs w:val="21"/>
                <w:color w:val="auto"/>
              </w:rPr>
            </w:pPr>
          </w:p>
        </w:tc>
      </w:tr>
      <w:tr>
        <w:trPr>
          <w:trHeight w:val="252"/>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(13,529 )</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(58,671 )</w:t>
            </w:r>
          </w:p>
        </w:tc>
      </w:tr>
      <w:tr>
        <w:trPr>
          <w:trHeight w:val="20"/>
        </w:trPr>
        <w:tc>
          <w:tcPr>
            <w:tcW w:w="69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left="480" w:hanging="472"/>
        <w:spacing w:after="0" w:line="281" w:lineRule="auto"/>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2023, financial (income), net, primarily consisted of $5.3 million of interest income from our money market accounts partially offset by $0.9 million in losses resulting from the remeasurement of warrant liabilities. For the year ended December 31, 2022, financial (income), net, primarily consisted of $3.1 million in gains resulting from the remeasurement of warrant liabilities.</w:t>
      </w:r>
    </w:p>
    <w:p>
      <w:pPr>
        <w:spacing w:after="0" w:line="1" w:lineRule="exact"/>
        <w:rPr>
          <w:rFonts w:ascii="Times New Roman" w:cs="Times New Roman" w:eastAsia="Times New Roman" w:hAnsi="Times New Roman"/>
          <w:sz w:val="16"/>
          <w:szCs w:val="16"/>
          <w:color w:val="auto"/>
        </w:rPr>
      </w:pPr>
    </w:p>
    <w:p>
      <w:pPr>
        <w:ind w:left="480" w:hanging="472"/>
        <w:spacing w:after="0"/>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2022, non-recurring expenses primarily consisted of a $5.5 million accrual for estimated litigation expenses.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2023, we had $123.9 million of cash and cash equivalents ($138.5 million as of December 31, 2022), which we use to finance our operations and support a variety of growth initiatives and investments. We had no debt as of December 31, 2023.</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cash needs are to fund operating activities and invest in technology development. Our future capital requirements will depend on many factors including our growth rate, contract renewal activity, the timing and extent of investments to support product development efforts, our expansion of sales and marketing activities, the introduction of new and enhanced service offerings and the continuing market acceptance of virtual behavioral services. Additionally, we may in the future enter into arrangements to acquire or invest in complementary businesses, services and technologies.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anticipate to be able to fund our cash needs for at least the next twelve months and thereafter for the foreseeable future using available cash and cash equivalent balances as of December 31, 2023. However, in the future we may require additional capital to respond to technological advancements, competitive dynamics, customer demands, business and investment opportunities, acquisitions or unforeseen circumstances and we may determine to engage in equity or debt financings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cannot raise capital when needed we may be forced to undertake asset sales or similar measures to ensure adequate liquidity.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Investing and Financing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summary consolidated cash flow information for the years ended December 31, 2023 and 2022:</w:t>
      </w:r>
    </w:p>
    <w:p>
      <w:pPr>
        <w:spacing w:after="0" w:line="124"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6"/>
              </w:rPr>
              <w:t>(16,393 )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(61,077 )</w:t>
            </w: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(317 )</w:t>
            </w: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(14,637 )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(59,711 )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cash used in operating activities was driven primarily by a lower net loss for the year ended December 31, 2023 compared to the year ended December 31, 2022, partially offset by unfavorable timing of payments of accrued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net cash used in investing activities was driven primarily by a decrease in the purchases of computer equipment and software.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primarily consists of cash proceeds from the exercise of stock options granted to employees in the prior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we did not have any short-term or long-term debt, or significant long-term liabilities. Our long-term operating lease for our office space in New York, NY is immaterial as of December 31, 2023.</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reached settlements for certain class action lawsuits in February 2023 ending ongoing litigation, see Note 6, “Commitments and Contingent Liabilities” in the notes to the consolidated financial statements for further details. In addition, we may in the future be involved in various legal proceedings, claims and litigation that arise in the normal course of business. We accrue for estimated loss contingencies related to legal matters when available information indicates that it is probable a liability has been incurred and we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 Should any of our estimates and assumptions change or prove to be incorrect, it could have a material impact on our results of operations, financial position, and cash flows.</w:t>
      </w:r>
    </w:p>
    <w:p>
      <w:pPr>
        <w:spacing w:after="0" w:line="1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commercial contract arrangements generally include certain provisions requiring us to indemnify clients against liabilities if there is a breach of a client’s data or if our service infringes a third party’s intellectual property rights. To date, we have not incurred any material costs as a result of such indemnifications.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also agreed to indemnify our officers and directors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liability insurance coverage that would generally enable us to recover a portion of any future amounts paid. We may also be subject to indemnification obligations by law with respect to the actions of our employees under certain circumstances and in certain jurisdictions.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accounting policies are essential to understanding and interpreting the financial results reported on the consolidated financial statements. The significant accounting policies used in the preparation of the Company's consolidated financial statements are summarized in Note 2, “Summary of Significant Accounting Policies and Estimates” in the notes to the consolidated financial statements. Certain of those policies are considered to be particularly important to the presentation of the Company's financial results because they require management to make difficult, complex or subjective judgments, often as a result of matters that are inherently uncertain. The following is a discussion of these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revenues in accordance with ASC 606, “Revenue from Contracts with Customers”. Revenues are recognized when the Company satisfies its performance obligation to perform its defined contractual obligations to provide virtual behavioral healthcare services. The transaction price is determined based on the consideration to which the Company will be entitled in exchange for the service rendered. To the extent the transaction price includes variable consideration, the Company estimates the amount of variable consideration that is included in the transaction price at contract inception and reassesses this estimate at each reporting date. Variable consideration is included in the transaction price if it is probable that a significant reversal of cumulative revenue recognized will not occur when the uncertainty associated with the variable consideration is subsequently resolved. The Company determines its estimate of variable consideration primarily based on actual historical collection experience.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and Estimates” in the notes to the consolidated financial statements for information regarding recent accounting developments and their impact on our results.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stock-based compensation, revenue recognition, business strategy, plans and market growth.</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Annual Report on Form 10-K and other such statements we publicly make from time to-time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fiscal year ended December 31, 2023.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on Form 10-K and the documents that we reference herein and have filed as exhibits to this Annual Report on Form 10-K should be read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or any forward-looking statements we may publicly make from time-to-time, whether as a result of any new information, future events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cash and cash equivalents totaling $123.9 million and $138.5 million as of December 31, 2023 and December 31, 2022, respectively. Cash and cash equivalents are held for a variety of growth and investments as well as working capital purposes. We do not have any indebtedness for borrowed money outstanding.</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believe that a hypothetical increase or decrease of 100 basis points in interest rates would have a material effect on our business, financial condition or results of operations. However, our earnings on cash equivalents are subject to market risk due to changes in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a substantial majority of our revenue from customer arrangements has been denominated in U.S. dollars. We have limited operations outside the United States. Accordingly, we believe we do not have a material exposure to foreign currency risk. In the future, we may choose to focus on international expansion, which may increase our exposure to foreign currency exchange risk.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160" w:type="dxa"/>
            <w:vAlign w:val="bottom"/>
          </w:tcPr>
          <w:p>
            <w:pPr>
              <w:spacing w:after="0"/>
              <w:rPr>
                <w:sz w:val="17"/>
                <w:szCs w:val="17"/>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884"/>
        </w:trPr>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160" w:type="dxa"/>
            <w:vAlign w:val="bottom"/>
          </w:tcPr>
          <w:p>
            <w:pPr>
              <w:spacing w:after="0"/>
              <w:rPr>
                <w:sz w:val="24"/>
                <w:szCs w:val="24"/>
                <w:color w:val="auto"/>
              </w:rPr>
            </w:pPr>
          </w:p>
        </w:tc>
      </w:tr>
      <w:tr>
        <w:trPr>
          <w:trHeight w:val="540"/>
        </w:trPr>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780" w:type="dxa"/>
            <w:vAlign w:val="bottom"/>
            <w:gridSpan w:val="7"/>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160" w:type="dxa"/>
            <w:vAlign w:val="bottom"/>
          </w:tcPr>
          <w:p>
            <w:pPr>
              <w:spacing w:after="0"/>
              <w:rPr>
                <w:sz w:val="24"/>
                <w:szCs w:val="24"/>
                <w:color w:val="auto"/>
              </w:rPr>
            </w:pPr>
          </w:p>
        </w:tc>
      </w:tr>
      <w:tr>
        <w:trPr>
          <w:trHeight w:val="392"/>
        </w:trPr>
        <w:tc>
          <w:tcPr>
            <w:tcW w:w="160" w:type="dxa"/>
            <w:vAlign w:val="bottom"/>
          </w:tcPr>
          <w:p>
            <w:pPr>
              <w:spacing w:after="0"/>
              <w:rPr>
                <w:sz w:val="24"/>
                <w:szCs w:val="24"/>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440" w:type="dxa"/>
            <w:vAlign w:val="bottom"/>
            <w:tcBorders>
              <w:right w:val="single" w:sz="8" w:color="0000EE"/>
            </w:tcBorders>
            <w:gridSpan w:val="2"/>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2023, 2022 and 2021</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372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(Deficit) for the years ended December 31, 2023, 2022 and 2021</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2021</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r>
      <w:tr>
        <w:trPr>
          <w:trHeight w:val="1114"/>
        </w:trPr>
        <w:tc>
          <w:tcPr>
            <w:tcW w:w="160" w:type="dxa"/>
            <w:vAlign w:val="bottom"/>
          </w:tcPr>
          <w:p>
            <w:pPr>
              <w:spacing w:after="0"/>
              <w:rPr>
                <w:sz w:val="24"/>
                <w:szCs w:val="24"/>
                <w:color w:val="auto"/>
              </w:rPr>
            </w:pPr>
          </w:p>
        </w:tc>
        <w:tc>
          <w:tcPr>
            <w:tcW w:w="3120" w:type="dxa"/>
            <w:vAlign w:val="bottom"/>
            <w:tcBorders>
              <w:top w:val="single" w:sz="8" w:color="0000FF"/>
            </w:tcBorders>
            <w:gridSpan w:val="2"/>
          </w:tcPr>
          <w:p>
            <w:pPr>
              <w:spacing w:after="0"/>
              <w:rPr>
                <w:sz w:val="24"/>
                <w:szCs w:val="24"/>
                <w:color w:val="auto"/>
              </w:rPr>
            </w:pPr>
          </w:p>
        </w:tc>
        <w:tc>
          <w:tcPr>
            <w:tcW w:w="3720" w:type="dxa"/>
            <w:vAlign w:val="bottom"/>
            <w:gridSpan w:val="3"/>
          </w:tcPr>
          <w:p>
            <w:pPr>
              <w:jc w:val="right"/>
              <w:ind w:right="1280"/>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63"/>
        </w:trPr>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Talkspace, Inc.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Talkspace Inc. (the Company) as of December 31, 2023 and 2022, the related consolidated statements of operations, shareholders' equity (deficit)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March 13, 2024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2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Estimation of transaction price and variable consideration for revenue recognition</w:t>
      </w:r>
    </w:p>
    <w:p>
      <w:pPr>
        <w:spacing w:after="0" w:line="67" w:lineRule="exact"/>
        <w:rPr>
          <w:sz w:val="20"/>
          <w:szCs w:val="20"/>
          <w:color w:val="auto"/>
        </w:rPr>
      </w:pPr>
    </w:p>
    <w:p>
      <w:pPr>
        <w:jc w:val="both"/>
        <w:ind w:left="40" w:right="40" w:firstLine="1472"/>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2 of the consolidated financial statements, the Company recognizes revenues from contracted insurance payors </w:t>
      </w:r>
      <w:r>
        <w:rPr>
          <w:rFonts w:ascii="Times New Roman" w:cs="Times New Roman" w:eastAsia="Times New Roman" w:hAnsi="Times New Roman"/>
          <w:sz w:val="18"/>
          <w:szCs w:val="18"/>
          <w:i w:val="1"/>
          <w:iCs w:val="1"/>
          <w:color w:val="auto"/>
        </w:rPr>
        <w:t xml:space="preserve">Description of the </w:t>
      </w:r>
      <w:r>
        <w:rPr>
          <w:rFonts w:ascii="Times New Roman" w:cs="Times New Roman" w:eastAsia="Times New Roman" w:hAnsi="Times New Roman"/>
          <w:sz w:val="18"/>
          <w:szCs w:val="18"/>
          <w:color w:val="auto"/>
        </w:rPr>
        <w:t>and employee assistance organizations ("Payor") at a point in time based on contracted rates, net of implicit price concessions, as</w:t>
      </w:r>
    </w:p>
    <w:p>
      <w:pPr>
        <w:jc w:val="both"/>
        <w:ind w:left="1520" w:right="40" w:hanging="1479"/>
        <w:spacing w:after="0" w:line="250" w:lineRule="auto"/>
        <w:tabs>
          <w:tab w:leader="none" w:pos="150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virtual therapy or psychiatry session is rendered ("payor revenues"). The Company estimates the amount of variable consideration that is included in the transaction price mainly by estimating claims denials by insurance payor, primarily based on actual historical collection experience by insurance payor. For the year ended December 31, 2023, payor revenues were $80.8 million.</w:t>
      </w:r>
    </w:p>
    <w:p>
      <w:pPr>
        <w:spacing w:after="0" w:line="1" w:lineRule="exact"/>
        <w:rPr>
          <w:sz w:val="20"/>
          <w:szCs w:val="20"/>
          <w:color w:val="auto"/>
        </w:rPr>
      </w:pPr>
    </w:p>
    <w:p>
      <w:pPr>
        <w:jc w:val="both"/>
        <w:ind w:left="1520" w:right="40"/>
        <w:spacing w:after="0" w:line="255" w:lineRule="auto"/>
        <w:rPr>
          <w:sz w:val="20"/>
          <w:szCs w:val="20"/>
          <w:color w:val="auto"/>
        </w:rPr>
      </w:pPr>
      <w:r>
        <w:rPr>
          <w:rFonts w:ascii="Times New Roman" w:cs="Times New Roman" w:eastAsia="Times New Roman" w:hAnsi="Times New Roman"/>
          <w:sz w:val="18"/>
          <w:szCs w:val="18"/>
          <w:color w:val="auto"/>
        </w:rPr>
        <w:t>Auditing management's determination of transaction price including variable consideration was complex and judgmental due to significant data inputs and subjective assumptions utilized in the process. In determining transaction price, management develops estimates based on actual historical collection experience by insurance payor.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40" w:firstLine="1472"/>
        <w:spacing w:after="0" w:line="257" w:lineRule="auto"/>
        <w:rPr>
          <w:sz w:val="20"/>
          <w:szCs w:val="20"/>
          <w:color w:val="auto"/>
        </w:rPr>
      </w:pPr>
      <w:r>
        <w:rPr>
          <w:rFonts w:ascii="Times New Roman" w:cs="Times New Roman" w:eastAsia="Times New Roman" w:hAnsi="Times New Roman"/>
          <w:sz w:val="18"/>
          <w:szCs w:val="18"/>
          <w:color w:val="auto"/>
        </w:rPr>
        <w:t xml:space="preserve">To test the estimate of variable consideration, our audit procedures also included, among others, assessing the methodology used and </w:t>
      </w:r>
      <w:r>
        <w:rPr>
          <w:rFonts w:ascii="Times New Roman" w:cs="Times New Roman" w:eastAsia="Times New Roman" w:hAnsi="Times New Roman"/>
          <w:sz w:val="18"/>
          <w:szCs w:val="18"/>
          <w:i w:val="1"/>
          <w:iCs w:val="1"/>
          <w:color w:val="auto"/>
        </w:rPr>
        <w:t xml:space="preserve">How We Addressed </w:t>
      </w:r>
      <w:r>
        <w:rPr>
          <w:rFonts w:ascii="Times New Roman" w:cs="Times New Roman" w:eastAsia="Times New Roman" w:hAnsi="Times New Roman"/>
          <w:sz w:val="18"/>
          <w:szCs w:val="18"/>
          <w:color w:val="auto"/>
        </w:rPr>
        <w:t>testing the underlying data used by the Company in its analysis. We compared the collection rates used by management to historical</w:t>
      </w:r>
      <w:r>
        <w:rPr>
          <w:rFonts w:ascii="Times New Roman" w:cs="Times New Roman" w:eastAsia="Times New Roman" w:hAnsi="Times New Roman"/>
          <w:sz w:val="18"/>
          <w:szCs w:val="18"/>
          <w:i w:val="1"/>
          <w:iCs w:val="1"/>
          <w:color w:val="auto"/>
        </w:rPr>
        <w:t xml:space="preserve"> the Matter in Our </w:t>
      </w:r>
      <w:r>
        <w:rPr>
          <w:rFonts w:ascii="Times New Roman" w:cs="Times New Roman" w:eastAsia="Times New Roman" w:hAnsi="Times New Roman"/>
          <w:sz w:val="18"/>
          <w:szCs w:val="18"/>
          <w:color w:val="auto"/>
        </w:rPr>
        <w:t>collection trends and evaluated whether changes in the Company’s business model, payors mix, and other factors would affect the</w:t>
      </w:r>
    </w:p>
    <w:p>
      <w:pPr>
        <w:spacing w:after="0" w:line="1" w:lineRule="exact"/>
        <w:rPr>
          <w:sz w:val="20"/>
          <w:szCs w:val="20"/>
          <w:color w:val="auto"/>
        </w:rPr>
      </w:pPr>
    </w:p>
    <w:p>
      <w:pPr>
        <w:jc w:val="both"/>
        <w:ind w:left="1520" w:hanging="1479"/>
        <w:spacing w:after="0" w:line="255" w:lineRule="auto"/>
        <w:tabs>
          <w:tab w:leader="none" w:pos="150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auto"/>
        </w:rPr>
        <w:t>estimate of variable consideration. We assessed the historical accuracy of management’s estimate and performed sensitivity analyses to evaluate the changes in variable consideration that would result from changes in the expected collection rates used and the corresponding effect on revenues.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Talkspace, Inc.</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Talkspace Inc.'s internal control over financial reporting as of December 31, 2023, based on criteria established in Internal Control— Integrated Framework issued by the Committee of Sponsoring Organizations of the Treadway Commission (2013 framework) (the COSO criteria). In our opinion, Talkspace Inc. (the Company) maintained, in all material respects, effective internal control over financial reporting as of December 31, 2023, based on the COSO criteria.</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Talkspace Inc. as of December 31, 2023 and 2022, the related consolidated statements of operations, shareholders’ equity (deficit) and cash flows for each of the three years in the period ended December 31, 2023, and the related notes and our report dated March 13, 2024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123,908</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138,545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139,800</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152,557</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assets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142,221</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156,254</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21,648</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27,318</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23,575</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of $0.0001 par value — Authorized: 1,000,000,000 shares at December 31, 2023 and</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2022; Issued and outstanding: 168,428,856 and 161,155,030 shares at December 31, 2023 and 2022,</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389,014</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378,722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(270,384 )</w:t>
            </w:r>
          </w:p>
        </w:tc>
        <w:tc>
          <w:tcPr>
            <w:tcW w:w="4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(251,202 )</w:t>
            </w: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118,646</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142,221</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156,254</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-3642360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-3642360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-3007995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-2047875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-1405255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150,045</w:t>
            </w:r>
          </w:p>
        </w:tc>
        <w:tc>
          <w:tcPr>
            <w:tcW w:w="14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119,567</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113,671</w:t>
            </w:r>
          </w:p>
        </w:tc>
        <w:tc>
          <w:tcPr>
            <w:tcW w:w="100" w:type="dxa"/>
            <w:vAlign w:val="bottom"/>
            <w:shd w:val="clear" w:color="auto" w:fill="CFF0FC"/>
          </w:tcPr>
          <w:p>
            <w:pPr>
              <w:spacing w:after="0"/>
              <w:rPr>
                <w:sz w:val="20"/>
                <w:szCs w:val="20"/>
                <w:color w:val="auto"/>
              </w:rPr>
            </w:pPr>
          </w:p>
        </w:tc>
      </w:tr>
      <w:tr>
        <w:trPr>
          <w:trHeight w:val="23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75,665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59,229</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46,899</w:t>
            </w:r>
          </w:p>
        </w:tc>
        <w:tc>
          <w:tcPr>
            <w:tcW w:w="100" w:type="dxa"/>
            <w:vAlign w:val="bottom"/>
          </w:tcPr>
          <w:p>
            <w:pPr>
              <w:spacing w:after="0"/>
              <w:rPr>
                <w:sz w:val="20"/>
                <w:szCs w:val="20"/>
                <w:color w:val="auto"/>
              </w:rPr>
            </w:pPr>
          </w:p>
        </w:tc>
      </w:tr>
      <w:tr>
        <w:trPr>
          <w:trHeight w:val="237"/>
        </w:trPr>
        <w:tc>
          <w:tcPr>
            <w:tcW w:w="6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74,380</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60,338</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66,772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17,571</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15,919</w:t>
            </w:r>
          </w:p>
        </w:tc>
        <w:tc>
          <w:tcPr>
            <w:tcW w:w="100" w:type="dxa"/>
            <w:vAlign w:val="bottom"/>
            <w:shd w:val="clear" w:color="auto" w:fill="CFF0FC"/>
          </w:tcPr>
          <w:p>
            <w:pPr>
              <w:spacing w:after="0"/>
              <w:rPr>
                <w:sz w:val="21"/>
                <w:szCs w:val="21"/>
                <w:color w:val="auto"/>
              </w:rPr>
            </w:pPr>
          </w:p>
        </w:tc>
      </w:tr>
      <w:tr>
        <w:trPr>
          <w:trHeight w:val="239"/>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Clinical operations, net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100" w:type="dxa"/>
            <w:vAlign w:val="bottom"/>
          </w:tcPr>
          <w:p>
            <w:pPr>
              <w:spacing w:after="0"/>
              <w:rPr>
                <w:sz w:val="20"/>
                <w:szCs w:val="20"/>
                <w:color w:val="auto"/>
              </w:rPr>
            </w:pPr>
          </w:p>
        </w:tc>
      </w:tr>
      <w:tr>
        <w:trPr>
          <w:trHeight w:val="247"/>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52,544</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72,842</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100,641</w:t>
            </w:r>
          </w:p>
        </w:tc>
        <w:tc>
          <w:tcPr>
            <w:tcW w:w="100" w:type="dxa"/>
            <w:vAlign w:val="bottom"/>
            <w:shd w:val="clear" w:color="auto" w:fill="CFF0FC"/>
          </w:tcPr>
          <w:p>
            <w:pPr>
              <w:spacing w:after="0"/>
              <w:rPr>
                <w:sz w:val="21"/>
                <w:szCs w:val="21"/>
                <w:color w:val="auto"/>
              </w:rPr>
            </w:pPr>
          </w:p>
        </w:tc>
      </w:tr>
      <w:tr>
        <w:trPr>
          <w:trHeight w:val="239"/>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34,770</w:t>
            </w:r>
          </w:p>
        </w:tc>
        <w:tc>
          <w:tcPr>
            <w:tcW w:w="100" w:type="dxa"/>
            <w:vAlign w:val="bottom"/>
          </w:tcPr>
          <w:p>
            <w:pPr>
              <w:spacing w:after="0"/>
              <w:rPr>
                <w:sz w:val="20"/>
                <w:szCs w:val="20"/>
                <w:color w:val="auto"/>
              </w:rPr>
            </w:pPr>
          </w:p>
        </w:tc>
      </w:tr>
      <w:tr>
        <w:trPr>
          <w:trHeight w:val="243"/>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goodwill</w:t>
            </w: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97,589</w:t>
            </w:r>
          </w:p>
        </w:tc>
        <w:tc>
          <w:tcPr>
            <w:tcW w:w="1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143,496</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160,695</w:t>
            </w:r>
          </w:p>
        </w:tc>
        <w:tc>
          <w:tcPr>
            <w:tcW w:w="100" w:type="dxa"/>
            <w:vAlign w:val="bottom"/>
            <w:tcBorders>
              <w:top w:val="single" w:sz="8" w:color="CFF0FC"/>
            </w:tcBorders>
          </w:tcPr>
          <w:p>
            <w:pPr>
              <w:spacing w:after="0"/>
              <w:rPr>
                <w:sz w:val="20"/>
                <w:szCs w:val="20"/>
                <w:color w:val="auto"/>
              </w:rPr>
            </w:pPr>
          </w:p>
        </w:tc>
      </w:tr>
      <w:tr>
        <w:trPr>
          <w:trHeight w:val="241"/>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(23,209 )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(83,158 )</w:t>
            </w:r>
          </w:p>
        </w:tc>
        <w:tc>
          <w:tcPr>
            <w:tcW w:w="3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(93,923 )</w:t>
            </w:r>
          </w:p>
        </w:tc>
      </w:tr>
      <w:tr>
        <w:trPr>
          <w:trHeight w:val="23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(income), net</w:t>
            </w:r>
          </w:p>
        </w:tc>
        <w:tc>
          <w:tcPr>
            <w:tcW w:w="3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(4,245 )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(3,740 )</w:t>
            </w:r>
          </w:p>
        </w:tc>
        <w:tc>
          <w:tcPr>
            <w:tcW w:w="3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(31,228 )</w:t>
            </w:r>
          </w:p>
        </w:tc>
      </w:tr>
      <w:tr>
        <w:trPr>
          <w:trHeight w:val="20"/>
        </w:trPr>
        <w:tc>
          <w:tcPr>
            <w:tcW w:w="6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(18,964 )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(79,418 )</w:t>
            </w:r>
          </w:p>
        </w:tc>
        <w:tc>
          <w:tcPr>
            <w:tcW w:w="3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(62,695 )</w:t>
            </w:r>
          </w:p>
        </w:tc>
      </w:tr>
      <w:tr>
        <w:trPr>
          <w:trHeight w:val="23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on income</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r>
      <w:tr>
        <w:trPr>
          <w:trHeight w:val="277"/>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(19,182 )</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(79,672 )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(62,742 )</w:t>
            </w:r>
          </w:p>
        </w:tc>
      </w:tr>
      <w:tr>
        <w:trPr>
          <w:trHeight w:val="223"/>
        </w:trPr>
        <w:tc>
          <w:tcPr>
            <w:tcW w:w="6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(0.12 )</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(0.51 )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(0.72 )</w:t>
            </w:r>
          </w:p>
        </w:tc>
      </w:tr>
      <w:tr>
        <w:trPr>
          <w:trHeight w:val="211"/>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used in computing basic and diluted</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165,039,920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156,885,256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86,775,948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-2510790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-2510790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-2510790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-1576705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-1576705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-616585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-599440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-616585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-599440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STOCKHOLDERS’ EQUITY (DEFICIT)</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ectPr>
          <w:pgSz w:w="11900" w:h="16838" w:orient="portrait"/>
          <w:cols w:equalWidth="0" w:num="1">
            <w:col w:w="11200"/>
          </w:cols>
          <w:pgMar w:left="320" w:top="769" w:right="379" w:bottom="1440" w:gutter="0" w:footer="0" w:header="0"/>
        </w:sect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204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124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January 1, 2021</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94,582,550</w:t>
            </w:r>
          </w:p>
        </w:tc>
        <w:tc>
          <w:tcPr>
            <w:tcW w:w="2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warrants</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 related to exercise of</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warrants</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Acquisition of warrants</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conversion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(94,582,550 )</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(111,282 )</w:t>
            </w:r>
          </w:p>
        </w:tc>
        <w:tc>
          <w:tcPr>
            <w:tcW w:w="0" w:type="dxa"/>
            <w:vAlign w:val="bottom"/>
          </w:tcPr>
          <w:p>
            <w:pPr>
              <w:spacing w:after="0"/>
              <w:rPr>
                <w:sz w:val="1"/>
                <w:szCs w:val="1"/>
                <w:color w:val="auto"/>
              </w:rPr>
            </w:pPr>
          </w:p>
        </w:tc>
      </w:tr>
      <w:tr>
        <w:trPr>
          <w:trHeight w:val="222"/>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Business Combination and PIPE offering, net of</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issuance costs</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880" w:type="dxa"/>
            <w:vAlign w:val="bottom"/>
            <w:tcBorders>
              <w:bottom w:val="single" w:sz="8" w:color="auto"/>
            </w:tcBorders>
            <w:gridSpan w:val="3"/>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20" w:type="dxa"/>
            <w:vAlign w:val="bottom"/>
            <w:gridSpan w:val="3"/>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80" w:type="dxa"/>
            <w:vAlign w:val="bottom"/>
          </w:tcPr>
          <w:p>
            <w:pPr>
              <w:spacing w:after="0"/>
              <w:rPr>
                <w:sz w:val="16"/>
                <w:szCs w:val="16"/>
                <w:color w:val="auto"/>
              </w:rPr>
            </w:pPr>
          </w:p>
        </w:tc>
        <w:tc>
          <w:tcPr>
            <w:tcW w:w="940" w:type="dxa"/>
            <w:vAlign w:val="bottom"/>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13,413,431</w:t>
            </w:r>
          </w:p>
        </w:tc>
        <w:tc>
          <w:tcPr>
            <w:tcW w:w="220" w:type="dxa"/>
            <w:vAlign w:val="bottom"/>
          </w:tcPr>
          <w:p>
            <w:pPr>
              <w:spacing w:after="0"/>
              <w:rPr>
                <w:sz w:val="17"/>
                <w:szCs w:val="17"/>
                <w:color w:val="auto"/>
              </w:rPr>
            </w:pPr>
          </w:p>
        </w:tc>
        <w:tc>
          <w:tcPr>
            <w:tcW w:w="720" w:type="dxa"/>
            <w:vAlign w:val="bottom"/>
            <w:tcBorders>
              <w:top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9,889</w:t>
            </w:r>
          </w:p>
        </w:tc>
        <w:tc>
          <w:tcPr>
            <w:tcW w:w="200" w:type="dxa"/>
            <w:vAlign w:val="bottom"/>
          </w:tcPr>
          <w:p>
            <w:pPr>
              <w:spacing w:after="0"/>
              <w:rPr>
                <w:sz w:val="17"/>
                <w:szCs w:val="17"/>
                <w:color w:val="auto"/>
              </w:rPr>
            </w:pPr>
          </w:p>
        </w:tc>
        <w:tc>
          <w:tcPr>
            <w:tcW w:w="1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(108,788</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(98,898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9"/>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3,627,127</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282,415</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(491 )</w:t>
            </w:r>
          </w:p>
        </w:tc>
        <w:tc>
          <w:tcPr>
            <w:tcW w:w="180" w:type="dxa"/>
            <w:vAlign w:val="bottom"/>
          </w:tcPr>
          <w:p>
            <w:pPr>
              <w:spacing w:after="0"/>
              <w:rPr>
                <w:sz w:val="19"/>
                <w:szCs w:val="19"/>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(491 )</w:t>
            </w:r>
          </w:p>
        </w:tc>
        <w:tc>
          <w:tcPr>
            <w:tcW w:w="0" w:type="dxa"/>
            <w:vAlign w:val="bottom"/>
          </w:tcPr>
          <w:p>
            <w:pPr>
              <w:spacing w:after="0"/>
              <w:rPr>
                <w:sz w:val="1"/>
                <w:szCs w:val="1"/>
                <w:color w:val="auto"/>
              </w:rPr>
            </w:pPr>
          </w:p>
        </w:tc>
      </w:tr>
      <w:tr>
        <w:trPr>
          <w:trHeight w:val="229"/>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98,871</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94,582,550</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111,272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40,858,053</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184,936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184,940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(62,742 )</w:t>
            </w:r>
          </w:p>
        </w:tc>
        <w:tc>
          <w:tcPr>
            <w:tcW w:w="2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(62,742 )</w:t>
            </w:r>
          </w:p>
        </w:tc>
        <w:tc>
          <w:tcPr>
            <w:tcW w:w="0" w:type="dxa"/>
            <w:vAlign w:val="bottom"/>
          </w:tcPr>
          <w:p>
            <w:pPr>
              <w:spacing w:after="0"/>
              <w:rPr>
                <w:sz w:val="1"/>
                <w:szCs w:val="1"/>
                <w:color w:val="auto"/>
              </w:rPr>
            </w:pPr>
          </w:p>
        </w:tc>
      </w:tr>
      <w:tr>
        <w:trPr>
          <w:trHeight w:val="210"/>
        </w:trPr>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152,862,447</w:t>
            </w:r>
          </w:p>
        </w:tc>
        <w:tc>
          <w:tcPr>
            <w:tcW w:w="2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363,788</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(171,530</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5,331,634</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2,960,949</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(362 )</w:t>
            </w:r>
          </w:p>
        </w:tc>
        <w:tc>
          <w:tcPr>
            <w:tcW w:w="180" w:type="dxa"/>
            <w:vAlign w:val="bottom"/>
          </w:tcPr>
          <w:p>
            <w:pPr>
              <w:spacing w:after="0"/>
              <w:rPr>
                <w:sz w:val="19"/>
                <w:szCs w:val="19"/>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(362 )</w:t>
            </w:r>
          </w:p>
        </w:tc>
        <w:tc>
          <w:tcPr>
            <w:tcW w:w="0" w:type="dxa"/>
            <w:vAlign w:val="bottom"/>
          </w:tcPr>
          <w:p>
            <w:pPr>
              <w:spacing w:after="0"/>
              <w:rPr>
                <w:sz w:val="1"/>
                <w:szCs w:val="1"/>
                <w:color w:val="auto"/>
              </w:rPr>
            </w:pPr>
          </w:p>
        </w:tc>
      </w:tr>
      <w:tr>
        <w:trPr>
          <w:trHeight w:val="229"/>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(79,672 )</w:t>
            </w:r>
          </w:p>
        </w:tc>
        <w:tc>
          <w:tcPr>
            <w:tcW w:w="2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(79,672 )</w:t>
            </w:r>
          </w:p>
        </w:tc>
        <w:tc>
          <w:tcPr>
            <w:tcW w:w="0" w:type="dxa"/>
            <w:vAlign w:val="bottom"/>
          </w:tcPr>
          <w:p>
            <w:pPr>
              <w:spacing w:after="0"/>
              <w:rPr>
                <w:sz w:val="1"/>
                <w:szCs w:val="1"/>
                <w:color w:val="auto"/>
              </w:rPr>
            </w:pPr>
          </w:p>
        </w:tc>
      </w:tr>
      <w:tr>
        <w:trPr>
          <w:trHeight w:val="210"/>
        </w:trPr>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161,155,030</w:t>
            </w:r>
          </w:p>
        </w:tc>
        <w:tc>
          <w:tcPr>
            <w:tcW w:w="2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378,722</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(251,202</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4,592,195</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2,681,631</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(810 )</w:t>
            </w:r>
          </w:p>
        </w:tc>
        <w:tc>
          <w:tcPr>
            <w:tcW w:w="180" w:type="dxa"/>
            <w:vAlign w:val="bottom"/>
          </w:tcPr>
          <w:p>
            <w:pPr>
              <w:spacing w:after="0"/>
              <w:rPr>
                <w:sz w:val="19"/>
                <w:szCs w:val="19"/>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(810 )</w:t>
            </w:r>
          </w:p>
        </w:tc>
        <w:tc>
          <w:tcPr>
            <w:tcW w:w="0" w:type="dxa"/>
            <w:vAlign w:val="bottom"/>
          </w:tcPr>
          <w:p>
            <w:pPr>
              <w:spacing w:after="0"/>
              <w:rPr>
                <w:sz w:val="1"/>
                <w:szCs w:val="1"/>
                <w:color w:val="auto"/>
              </w:rPr>
            </w:pPr>
          </w:p>
        </w:tc>
      </w:tr>
      <w:tr>
        <w:trPr>
          <w:trHeight w:val="230"/>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(19,182 )</w:t>
            </w:r>
          </w:p>
        </w:tc>
        <w:tc>
          <w:tcPr>
            <w:tcW w:w="2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(19,182 )</w:t>
            </w:r>
          </w:p>
        </w:tc>
        <w:tc>
          <w:tcPr>
            <w:tcW w:w="0" w:type="dxa"/>
            <w:vAlign w:val="bottom"/>
          </w:tcPr>
          <w:p>
            <w:pPr>
              <w:spacing w:after="0"/>
              <w:rPr>
                <w:sz w:val="1"/>
                <w:szCs w:val="1"/>
                <w:color w:val="auto"/>
              </w:rPr>
            </w:pPr>
          </w:p>
        </w:tc>
      </w:tr>
      <w:tr>
        <w:trPr>
          <w:trHeight w:val="223"/>
        </w:trPr>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168,428,856</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389,014</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(270,384</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-3925570</wp:posOffset>
            </wp:positionV>
            <wp:extent cx="7132320" cy="39262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39262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280"/>
            <w:col w:w="5500"/>
          </w:cols>
          <w:pgMar w:left="320" w:top="769" w:right="37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Represents an amount lower than $1</w:t>
      </w: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 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7"/>
        </w:trPr>
        <w:tc>
          <w:tcPr>
            <w:tcW w:w="20" w:type="dxa"/>
            <w:vAlign w:val="bottom"/>
            <w:shd w:val="clear" w:color="auto" w:fill="CFF0FC"/>
          </w:tcPr>
          <w:p>
            <w:pPr>
              <w:spacing w:after="0"/>
              <w:rPr>
                <w:sz w:val="18"/>
                <w:szCs w:val="18"/>
                <w:color w:val="auto"/>
              </w:rPr>
            </w:pPr>
          </w:p>
        </w:tc>
        <w:tc>
          <w:tcPr>
            <w:tcW w:w="6500" w:type="dxa"/>
            <w:vAlign w:val="bottom"/>
            <w:gridSpan w:val="6"/>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9"/>
        </w:trPr>
        <w:tc>
          <w:tcPr>
            <w:tcW w:w="20" w:type="dxa"/>
            <w:vAlign w:val="bottom"/>
            <w:tcBorders>
              <w:top w:val="single" w:sz="8" w:color="CFF0FC"/>
            </w:tcBorders>
          </w:tcPr>
          <w:p>
            <w:pPr>
              <w:spacing w:after="0"/>
              <w:rPr>
                <w:sz w:val="20"/>
                <w:szCs w:val="20"/>
                <w:color w:val="auto"/>
              </w:rPr>
            </w:pPr>
          </w:p>
        </w:tc>
        <w:tc>
          <w:tcPr>
            <w:tcW w:w="28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Net loss</w:t>
            </w:r>
          </w:p>
        </w:tc>
        <w:tc>
          <w:tcPr>
            <w:tcW w:w="3680" w:type="dxa"/>
            <w:vAlign w:val="bottom"/>
            <w:tcBorders>
              <w:top w:val="single" w:sz="8" w:color="CFF0FC"/>
            </w:tcBorders>
          </w:tcPr>
          <w:p>
            <w:pPr>
              <w:spacing w:after="0"/>
              <w:rPr>
                <w:sz w:val="20"/>
                <w:szCs w:val="20"/>
                <w:color w:val="auto"/>
              </w:rPr>
            </w:pPr>
          </w:p>
        </w:tc>
        <w:tc>
          <w:tcPr>
            <w:tcW w:w="320" w:type="dxa"/>
            <w:vAlign w:val="bottom"/>
            <w:tcBorders>
              <w:top w:val="single" w:sz="8" w:color="CFF0FC"/>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(19,182 )</w:t>
            </w:r>
          </w:p>
        </w:tc>
        <w:tc>
          <w:tcPr>
            <w:tcW w:w="500" w:type="dxa"/>
            <w:vAlign w:val="bottom"/>
            <w:tcBorders>
              <w:top w:val="single" w:sz="8" w:color="CFF0FC"/>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FF0FC"/>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(79,672 )</w:t>
            </w:r>
          </w:p>
        </w:tc>
        <w:tc>
          <w:tcPr>
            <w:tcW w:w="300" w:type="dxa"/>
            <w:vAlign w:val="bottom"/>
            <w:tcBorders>
              <w:top w:val="single" w:sz="8" w:color="CFF0FC"/>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(62,742 )</w:t>
            </w:r>
          </w:p>
        </w:tc>
      </w:tr>
      <w:tr>
        <w:trPr>
          <w:trHeight w:val="247"/>
        </w:trPr>
        <w:tc>
          <w:tcPr>
            <w:tcW w:w="652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65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50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65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50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Remeasurement of warrant liabilities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(3,131 )</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(31,784 )</w:t>
            </w:r>
          </w:p>
        </w:tc>
      </w:tr>
      <w:tr>
        <w:trPr>
          <w:trHeight w:val="239"/>
        </w:trPr>
        <w:tc>
          <w:tcPr>
            <w:tcW w:w="20" w:type="dxa"/>
            <w:vAlign w:val="bottom"/>
          </w:tcPr>
          <w:p>
            <w:pPr>
              <w:spacing w:after="0"/>
              <w:rPr>
                <w:sz w:val="20"/>
                <w:szCs w:val="20"/>
                <w:color w:val="auto"/>
              </w:rPr>
            </w:pPr>
          </w:p>
        </w:tc>
        <w:tc>
          <w:tcPr>
            <w:tcW w:w="65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3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0" w:type="dxa"/>
            <w:vAlign w:val="bottom"/>
            <w:shd w:val="clear" w:color="auto" w:fill="CFF0FC"/>
          </w:tcPr>
          <w:p>
            <w:pPr>
              <w:spacing w:after="0"/>
              <w:rPr>
                <w:sz w:val="21"/>
                <w:szCs w:val="21"/>
                <w:color w:val="auto"/>
              </w:rPr>
            </w:pPr>
          </w:p>
        </w:tc>
        <w:tc>
          <w:tcPr>
            <w:tcW w:w="650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(Increase) decrease in accounts receivable</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(534 )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(4,126 )</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65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(Increase) decrease in other current assets</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(1,346 )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(8,053 )</w:t>
            </w:r>
          </w:p>
        </w:tc>
      </w:tr>
      <w:tr>
        <w:trPr>
          <w:trHeight w:val="247"/>
        </w:trPr>
        <w:tc>
          <w:tcPr>
            <w:tcW w:w="20" w:type="dxa"/>
            <w:vAlign w:val="bottom"/>
            <w:shd w:val="clear" w:color="auto" w:fill="CFF0FC"/>
          </w:tcPr>
          <w:p>
            <w:pPr>
              <w:spacing w:after="0"/>
              <w:rPr>
                <w:sz w:val="21"/>
                <w:szCs w:val="21"/>
                <w:color w:val="auto"/>
              </w:rPr>
            </w:pPr>
          </w:p>
        </w:tc>
        <w:tc>
          <w:tcPr>
            <w:tcW w:w="650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(Decrease) increase in accounts payable</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(350 )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(968 )</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65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(Decrease) increase in deferred revenues</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(1,286 )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(2,831 )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50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(Decrease) increase in accrued expenses and other current liabilities</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(4,034 )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65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52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(16,393 )</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(61,077 )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(65,711 )</w:t>
            </w:r>
          </w:p>
        </w:tc>
      </w:tr>
      <w:tr>
        <w:trPr>
          <w:trHeight w:val="187"/>
        </w:trPr>
        <w:tc>
          <w:tcPr>
            <w:tcW w:w="6520" w:type="dxa"/>
            <w:vAlign w:val="bottom"/>
            <w:tcBorders>
              <w:top w:val="single" w:sz="8" w:color="CFF0FC"/>
            </w:tcBorders>
            <w:gridSpan w:val="7"/>
          </w:tcPr>
          <w:p>
            <w:pPr>
              <w:ind w:left="20"/>
              <w:spacing w:after="0" w:line="187"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20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650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(350 )</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(663 )</w:t>
            </w:r>
          </w:p>
        </w:tc>
      </w:tr>
      <w:tr>
        <w:trPr>
          <w:trHeight w:val="239"/>
        </w:trPr>
        <w:tc>
          <w:tcPr>
            <w:tcW w:w="20" w:type="dxa"/>
            <w:vAlign w:val="bottom"/>
          </w:tcPr>
          <w:p>
            <w:pPr>
              <w:spacing w:after="0"/>
              <w:rPr>
                <w:sz w:val="20"/>
                <w:szCs w:val="20"/>
                <w:color w:val="auto"/>
              </w:rPr>
            </w:pPr>
          </w:p>
        </w:tc>
        <w:tc>
          <w:tcPr>
            <w:tcW w:w="65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7"/>
        </w:trPr>
        <w:tc>
          <w:tcPr>
            <w:tcW w:w="652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(141 )</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(317 )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(663 )</w:t>
            </w:r>
          </w:p>
        </w:tc>
      </w:tr>
      <w:tr>
        <w:trPr>
          <w:trHeight w:val="187"/>
        </w:trPr>
        <w:tc>
          <w:tcPr>
            <w:tcW w:w="6520" w:type="dxa"/>
            <w:vAlign w:val="bottom"/>
            <w:tcBorders>
              <w:top w:val="single" w:sz="8" w:color="CFF0FC"/>
            </w:tcBorders>
            <w:gridSpan w:val="7"/>
          </w:tcPr>
          <w:p>
            <w:pPr>
              <w:ind w:left="20"/>
              <w:spacing w:after="0" w:line="187"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20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650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(Payments) proceeds from reverse capitalization, net of transaction costs</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(645 )</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249,334</w:t>
            </w: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65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50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Payments for employee taxes withheld related to vested stock-based awards</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(810 )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(853 )</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0" w:type="dxa"/>
            <w:vAlign w:val="bottom"/>
          </w:tcPr>
          <w:p>
            <w:pPr>
              <w:spacing w:after="0"/>
              <w:rPr>
                <w:sz w:val="20"/>
                <w:szCs w:val="20"/>
                <w:color w:val="auto"/>
              </w:rPr>
            </w:pPr>
          </w:p>
        </w:tc>
        <w:tc>
          <w:tcPr>
            <w:tcW w:w="65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Proceeds from borrowings</w:t>
            </w:r>
          </w:p>
        </w:tc>
        <w:tc>
          <w:tcPr>
            <w:tcW w:w="3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50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Repayment of borrowings</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(6,000 )</w:t>
            </w:r>
          </w:p>
        </w:tc>
      </w:tr>
      <w:tr>
        <w:trPr>
          <w:trHeight w:val="239"/>
        </w:trPr>
        <w:tc>
          <w:tcPr>
            <w:tcW w:w="20" w:type="dxa"/>
            <w:vAlign w:val="bottom"/>
          </w:tcPr>
          <w:p>
            <w:pPr>
              <w:spacing w:after="0"/>
              <w:rPr>
                <w:sz w:val="20"/>
                <w:szCs w:val="20"/>
                <w:color w:val="auto"/>
              </w:rPr>
            </w:pPr>
          </w:p>
        </w:tc>
        <w:tc>
          <w:tcPr>
            <w:tcW w:w="65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r>
      <w:tr>
        <w:trPr>
          <w:trHeight w:val="236"/>
        </w:trPr>
        <w:tc>
          <w:tcPr>
            <w:tcW w:w="6520" w:type="dxa"/>
            <w:vAlign w:val="bottom"/>
            <w:tcBorders>
              <w:bottom w:val="single" w:sz="8" w:color="CFF0FC"/>
            </w:tcBorders>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251,382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5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(14,637 )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(59,711 )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185,008</w:t>
            </w:r>
          </w:p>
        </w:tc>
        <w:tc>
          <w:tcPr>
            <w:tcW w:w="100" w:type="dxa"/>
            <w:vAlign w:val="bottom"/>
          </w:tcPr>
          <w:p>
            <w:pPr>
              <w:spacing w:after="0"/>
              <w:rPr>
                <w:sz w:val="20"/>
                <w:szCs w:val="20"/>
                <w:color w:val="auto"/>
              </w:rPr>
            </w:pPr>
          </w:p>
        </w:tc>
      </w:tr>
      <w:tr>
        <w:trPr>
          <w:trHeight w:val="243"/>
        </w:trPr>
        <w:tc>
          <w:tcPr>
            <w:tcW w:w="6520" w:type="dxa"/>
            <w:vAlign w:val="bottom"/>
            <w:tcBorders>
              <w:bottom w:val="single" w:sz="8" w:color="CFF0FC"/>
            </w:tcBorders>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138,545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198,256</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123,908</w:t>
            </w:r>
          </w:p>
        </w:tc>
        <w:tc>
          <w:tcPr>
            <w:tcW w:w="10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138,545</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198,256</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20" w:type="dxa"/>
            <w:vAlign w:val="bottom"/>
            <w:shd w:val="clear" w:color="auto" w:fill="CFF0FC"/>
          </w:tcPr>
          <w:p>
            <w:pPr>
              <w:spacing w:after="0"/>
              <w:rPr>
                <w:sz w:val="16"/>
                <w:szCs w:val="16"/>
                <w:color w:val="auto"/>
              </w:rPr>
            </w:pPr>
          </w:p>
        </w:tc>
        <w:tc>
          <w:tcPr>
            <w:tcW w:w="6500" w:type="dxa"/>
            <w:vAlign w:val="bottom"/>
            <w:gridSpan w:val="6"/>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Supplemental cash flow data:</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2040" w:type="dxa"/>
            <w:vAlign w:val="bottom"/>
            <w:tcBorders>
              <w:top w:val="single" w:sz="8" w:color="auto"/>
            </w:tcBorders>
            <w:shd w:val="clear" w:color="auto" w:fill="CFF0FC"/>
          </w:tcPr>
          <w:p>
            <w:pPr>
              <w:spacing w:after="0"/>
              <w:rPr>
                <w:sz w:val="2"/>
                <w:szCs w:val="2"/>
                <w:color w:val="auto"/>
              </w:rPr>
            </w:pPr>
          </w:p>
        </w:tc>
        <w:tc>
          <w:tcPr>
            <w:tcW w:w="80" w:type="dxa"/>
            <w:vAlign w:val="bottom"/>
            <w:tcBorders>
              <w:top w:val="single" w:sz="8" w:color="auto"/>
            </w:tcBorders>
            <w:shd w:val="clear" w:color="auto" w:fill="CFF0FC"/>
          </w:tcPr>
          <w:p>
            <w:pPr>
              <w:spacing w:after="0"/>
              <w:rPr>
                <w:sz w:val="2"/>
                <w:szCs w:val="2"/>
                <w:color w:val="auto"/>
              </w:rPr>
            </w:pPr>
          </w:p>
        </w:tc>
        <w:tc>
          <w:tcPr>
            <w:tcW w:w="6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8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102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r>
      <w:tr>
        <w:trPr>
          <w:trHeight w:val="239"/>
        </w:trPr>
        <w:tc>
          <w:tcPr>
            <w:tcW w:w="20" w:type="dxa"/>
            <w:vAlign w:val="bottom"/>
          </w:tcPr>
          <w:p>
            <w:pPr>
              <w:spacing w:after="0"/>
              <w:rPr>
                <w:sz w:val="20"/>
                <w:szCs w:val="20"/>
                <w:color w:val="auto"/>
              </w:rPr>
            </w:pPr>
          </w:p>
        </w:tc>
        <w:tc>
          <w:tcPr>
            <w:tcW w:w="6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0"/>
                <w:szCs w:val="20"/>
                <w:color w:val="auto"/>
              </w:rPr>
            </w:pPr>
          </w:p>
        </w:tc>
      </w:tr>
      <w:tr>
        <w:trPr>
          <w:trHeight w:val="247"/>
        </w:trPr>
        <w:tc>
          <w:tcPr>
            <w:tcW w:w="652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during the year for income taxes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652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auto"/>
              </w:rPr>
              <w:t>Non-cash investing activity:</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20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52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652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auto"/>
              </w:rPr>
              <w:t>Non-cash financing activity:</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20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52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taxes withheld related to restricted stock units vested</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FF0FC"/>
          </w:tcPr>
          <w:p>
            <w:pPr>
              <w:spacing w:after="0"/>
              <w:rPr>
                <w:sz w:val="21"/>
                <w:szCs w:val="21"/>
                <w:color w:val="auto"/>
              </w:rPr>
            </w:pPr>
          </w:p>
        </w:tc>
      </w:tr>
      <w:tr>
        <w:trPr>
          <w:trHeight w:val="234"/>
        </w:trPr>
        <w:tc>
          <w:tcPr>
            <w:tcW w:w="65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Conversion of preferred stock to common stock</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-3774440</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-3774440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-3774440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-3140075</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-3140075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-3140075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-1888490</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-1888490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-1888490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-1570990</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-1570990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-1570990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Talkspace, Inc. (together with its consolidated subsidiaries, the “Company” or “Talkspace”) is a leading behavioral healthcare company enabled by a purpose-built technology platform. Talkspace provides individuals and licensed therapists, psychologists and psychiatrists with an online platform for one-on-one therapy delivered via messaging, audio and video. The Company offers convenient and affordable access to a fully credentialed network of highly qualified providers. Since its inception, the Company has connected millions of patients with licensed behavioral health providers across a wide and growing spectrum of care through virtual counseling, psychotherapy, and psychiatry.</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Talkspace was originally incorporated as Hudson Executive Investment Corp. (“HEC”), a special purpose acquisition company, for the purpose of entering into a business combination with one or more businesses or entities. On January 12, 2021, HEC, entered into an Agreement and Plan of Merger, dated as of January 12, 2021 (the “Merger Agreement”), with Groop Internet Platform, Inc. (“Old Talkspace”), Tailwind Merger Sub I, Inc., a Delaware corporation and a direct wholly owned subsidiary of HEC (“First Merger Sub”), and Tailwind Merger Sub II, LLC, a Delaware limited liability company (“Second Merger Sub”). On June 22, 2021, as contemplated by the Merger Agreement, First Merger Sub merged with and into Old Talkspace (the “First Merger”) with Old Talkspace surviving the First Merger, and immediately following the First Merger and as part of the same overall transaction as the First Merger, Old Talkspace merged with and into Second Merger Sub, with Second Merger Sub surviving the merger as a wholly owned subsidiary of HEC. The Company refers to this transaction as the Business Combination. In connection with the Business Combination, HEC filed the Certificate of Incorporation and changed its name to “Talkspace, Inc.”</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principal executive office is located in New York, NY. The Company's subsidiaries are Talkspace LLC and its wholly-owned subsidiary Talkspace Network LLC, and Groop Internet Platform LTD. In addition, the Company holds a variable interest in one professional association and eight professional corporations, which have been established pursuant to the requirements of their respective domestic jurisdiction governing the corporate practice of medicine. See Note 12, “Variable Interest Entities,” in the notes to the consolidated financial statements for further details.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AND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have been prepared in conformity with U.S. generally accepted accounting principles (“U.S. GAAP”). In management’s opinion, the consolidated financial statements reflect all adjustments of a normal recurring nature that are necessary for a fair presentation of the results for the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judgments, and assumptions that affect the reported amounts of assets, liabilities, revenues and expenses, together with amounts disclosed in the related notes to the consolidated financial statements. The Company’s significant estimates and assumptions used in these consolidated financial statements include, but are not limited to, the recognition and disclosure of contingent liabilities, revenue recognition, stock-based compensation awards and the fair value of warrant liabilities. The Company bases its estimates on historical factors, current circumstances and the experience and judgment of management. The Company evaluates its assumptions on an ongoing basis. The Company's management believes that the estimates, judgments, and assumptions used are reasonable based on the information available at the time they are made. Estimates, by their nature, are based on judgment and available information, therefore, actual results could be materially different from these estimates.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consolidates all subsidiaries in which it has a controlling financial interest, as well as any VIEs where the Company is deemed to be the primary beneficiary. Intercompany transactions and balances have been eliminated in the preparation of the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its business as a single segment and as one reporting unit, which is how the chief operating decision maker, the Company's Chief Executive Officer, reviews financial performance and allocates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in U.S. dollars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the Company’s operations are based in the United States. Most of the Company’s revenues and costs are denominated in United States dollars (“dollar”). The Company’s management believes that the dollar is the primary currency of the economic environment in which the Company and each of its subsidiaries operate. Thus, the dollar is the Company’s functional and reporting currency.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non-dollar denominated transactions and balances have been re-measured into the functional currency in accordance with ASC 830, “Foreign Currency Matters”. These transactions were not material for the years ended December 31, 2023, 2022 and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equivalents are short-term, highly liquid investments that are readily convertible to cash, with original maturities of three months or less at the date acquired. The Company’s cash and cash equivalents generally consist of bank deposits and investments in money market funds.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cash and cash equivalents are invested in major banks in the United States. Generally, these cash and cash equivalents and deposits may be redeemed upon demand. The Company deposits may exceed federally insured limits, however management believes that the financial institutions that hold the Company’s and its subsidiaries’ cash and cash equivalents are institutions with high credit standing, and accordingly, minimal credit risk exists with respect to these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Depreciation is calculated using the straight-line method over the average useful lives of the assets. The following table presents the average useful life used for the Company's fixed assets: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80" w:type="dxa"/>
            <w:vAlign w:val="bottom"/>
          </w:tcPr>
          <w:p>
            <w:pPr>
              <w:spacing w:after="0"/>
              <w:rPr>
                <w:sz w:val="16"/>
                <w:szCs w:val="16"/>
                <w:color w:val="auto"/>
              </w:rPr>
            </w:pPr>
          </w:p>
        </w:tc>
        <w:tc>
          <w:tcPr>
            <w:tcW w:w="27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Average Useful Life (years)</w:t>
            </w:r>
          </w:p>
        </w:tc>
      </w:tr>
      <w:tr>
        <w:trPr>
          <w:trHeight w:val="236"/>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Computers and software</w:t>
            </w:r>
          </w:p>
        </w:tc>
        <w:tc>
          <w:tcPr>
            <w:tcW w:w="2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bl>
    <w:p>
      <w:pPr>
        <w:spacing w:after="0" w:line="22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Property and equipment, net was immaterial as of December 31, 2023 and 2022 and the related depreciation expense was immaterial for the years ended December 31, 2023, 2022 and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ASC 350-40, Internal Use Software, the Company capitalizes certain internal use software development costs associated with creating and enhancing internally developed software related to its platform. Software development activities generally consist of three stages (i) the preliminary project stage, (ii) the application development stage, and (iii) the post-implementation stage. Costs incurred in the preliminary project stage and post-implementation stage of software development, or maintenance and development expenses that do not meet the qualification for capitalization are expensed as incurred. Costs incurred in the application development stage are capitalized. The costs of significant upgrades and enhancements are capitalized, according to the criteria for each project stage discussed above, if it is probable that the expenditure will result in additional functionality. Additional functionality means that the software modifications enable the software to perform tasks that it previously was not capable of performing. Capitalized costs include employee-related costs, inclusive of non-cash stock compensation expense for employees who are directly associated with and who devote time to software projects. These costs are amortized on a straight-line basis over the estimated useful life of the software. Capitalized costs for internal-use software were immaterial for the years ending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its leases in accordance with ASC 842, "Leases". The right-of-use ("ROU") asset represents the Company’s right to use an underlying asset for the lease term and the lease liability represents an obligation to make payments based on the present value of lease payments over the lease term. The Company uses incremental borrowing rates based on the estimated rate of interest for collateralized borrowing over a similar term of the lease payments at commencement date. The lease term includes options to extend or terminate the lease when it is reasonably certain these will be exercised.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elected not to record operating lease ROU assets and lease liabilities for leases with an initial term of 12 months or less. The Company also elected the practical expedient to not separate lease and non-lease components for its leases. The Company's lease assets and liabilities were immaterial as of December 31,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reflects the excess of the consideration transferred, including the fair value of any contingent consideration and any non-controlling interest in the acquiree, over the assigned fair values of the identifiable net assets acquired. Goodwill is not amortized, and is tested for impairment at least on an annual basis. The Company operates as one reporting unit and the fair value of the reporting unit is estimated using quoted market prices of the Company’s stock in active markets. The Company tests goodwill for impairment annually in the fourth quarter and whenever events or changes in circumstances indicate the carrying amount of goodwill may not be recoverable. When testing goodwill for impairment, the Company may first perform a qualitative assessment. If the Company determines it is not more likely than not the reporting unit’s fair value is less than its carrying value, then no further analysis is necessary. If the Company determines that it is more likely than not that the fair value of its reporting unit is less than its carrying amount, then the quantitative impairment test will be performed. The Company may elect to bypass the qualitative assessment and proceed directly to performing a quantitative analysis. Under the quantitative impairment test, if the carrying amount of the Company’s reporting unit exceeds its fair value, the Company will recognize an impairment loss in an amount equal to that excess but limited to the total amount of goodwill.</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the Company recorded a goodwill impairment charge of $6.1 million. No impairment charges were incurred for the years ending December 31, 2023 and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Acquired identifiable finite-lived intangible assets are amortized on a straight-line basis over the estimated useful lives of the assets. The basis of amortization approximates the pattern in which the assets are utilized, over their estimated useful lives. The Company routinely reviews the remaining estimated useful lives of finite-lived intangible assets. In cases where the Company reduces the estimated useful life for any asset, the remaining unamortized balance is amortized or depreciated over the revised estimated useful life. See Note 4, "Intangible Assets, net" in the notes to the consolidated financial statements for further details.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and intangible assets subject to amortization, including ROU lease asset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and equipment, intangible assets and ROU lease assets are reviewed for impairment in accordance with ASC 360, “Accounting for the Impairment or Disposal of Long-Lived Assets”, whenever events or changes in circumstances indicate that the carrying amount of an asset group may not be recoverable. If indicators are present, management performs a recoverability test by comparing the sum of the estimated undiscounted future cash flows attributable to the asset to its carrying amount. If the undiscounted cash flows used in the test for recoverability are less than the carrying amount of the asset, the impairment to be recognized is measured by the amount by which the carrying amount of the asset exceeds the fair value of the asset. There were no impairment charges related to long-lived assets for the years ended December 31, 2023, 2022 or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 in accordance with ASC 606, “Revenue from Contracts with Customers”, when the Company satisfies its performance obligation to perform its defined contractual obligations to provide virtual behavioral healthcare services. Revenue is recognized in an amount that reflects the consideration that the Company will be entitled in exchange for the service rendered. To the extent the transaction price includes variable consideration, the Company estimates the amount of variable consideration that is included in the transaction price. Variable consideration is included in the transaction price to the extent it is probable that a significant reversal of cumulative revenue recognized will not occur when the uncertainty associated with the variable consideration is subsequently resolved.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its platform, Talkspace serves:</w:t>
      </w:r>
    </w:p>
    <w:p>
      <w:pPr>
        <w:spacing w:after="0" w:line="117" w:lineRule="exact"/>
        <w:rPr>
          <w:sz w:val="20"/>
          <w:szCs w:val="20"/>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plans and employee assistance programs (“Payor”) who offer their insured members access to the Company's platform at in-network reimbursement rates.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Direct-to-Enterprise clients (“DTE”) who offer their enterprise members access to the Company's platform while their enterprise is under an active contract with Talkspace.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subscribers (“Consumer”) who subscribe directly to the Company's platform.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Payor</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contracts with health insurance plans and employee assistance programs to provide therapy and psychiatry services to their eligible covered members. Revenue is recognized at a point in time, as virtual therapy or psychiatry sessions are rendered. The transaction price is determined based on contracted rates and includes variable consideration in the form of implicit price concessions. The Company determines the total transaction price, including an estimate of variable consideration, at contract inception and reassesses this estimate at each reporting date. The Company estimates the amount of variable consideration that is included in the transaction price primarily based on actual historical collection experience for each Payor. Revenue is presented net of implicit price concessions. Contracts include annual evergreen clauses and generally may be terminated by either party typically upon a minimum 60-day advance notice.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DTE</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contracts with enterprises to provide access to the Company's therapist platform for their enterprise members, primarily based on a per-member-per-month access fee model. To the extent the transaction price includes variable consideration, revenue is recognized using the variable consideration allocation exception, or, if the allocation exception is not met, the Company recognizes revenue ratably based on estimates of the variable consideration to the extent it is probable that a significant reversal of cumulative revenue recognized will not occur when the uncertainty associated with the variable consideration is subsequent resolved. The majority of the contracts typically range in length from one to three years and are generally non-cancelable during the initial contractual term.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Consumer</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also generates revenues from the sale of monthly, quarterly, bi-annual and annual membership subscriptions to the Company's therapy platform as well as supplementary a la carte offerings directly to individual consumers through a subscription plan. The Company recognizes consumer revenues ratably over the subscription period, beginning when therapy services commence. The Company recognizes revenues from supplementary a la carte offerings at a point in time, as virtual therapy sessions are rendered. Members may cancel their subscription at any time and will receive a pro-rata refund for the subscription price. The transaction price from member subscription revenue and supplementary a la carte offerings includes variable consideration in the form of refunds. Revenue is presented net of refunds. The Company estimates the refund liability for the variable consideration portion of the transaction price primarily based on historical experience. The refund liability is recorded within the “Accrued expenses and other current liabilities” line item in the consolidated balance sheets. The refund liability was immaterial as of December 31, 2023 and 2022.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receivables are stated net of credit losses allowance. The Company is exposed to credit losses primarily through its contracts with Payor and DTE clients. The Company’s methodology for estimating credit loss is based on historical collection experience, customer creditworthiness, current and future economic condition and market condition. Additionally, specific allowance amounts are established to record the appropriate provision for customers that have a higher probability of default. Accounts receivables are written off after all reasonable means to collect the full amount have been exhausted. Credit losses were immaterial for the years ended December 31, 2023, 2022 and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deferred revenues when cash payments from customers are received in advance of the Company's performance obligations to provide services. As of December 31, 2023, deferred revenue related mainly to Consumer subscriptions. The Company expects to satisfy the majority of its performance obligations associated with deferred revenue within one year or less.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“Compensation - Stock Compensation”. Compensation costs for share-based awards are measured at the fair value on the grant date and recognized as expense using the straight-line method for service-based awards over the requisite service period.</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stock options is determined using the Black-Scholes-Merton option pricing model. The option-pricing model requires a number of assumptions, of which the most significant is the expected stock price volatility and the expected option term. Expected volatility is calculated based upon the Company's historical share price movements as well as similar traded companies’ historical share price movements as adequate historical experience is not available to provide a reasonable estimate based only on the Company's share price. Expected term is calculated based on the simplified method as adequate historical experience is not available to provide a reasonable estimate. The simplified method will continue to apply until enough historical experience is available to provide a reasonable estimate of the expected term. The risk-free interest rate is calculated based on the yield from U.S. Treasury zero-coupon bonds with an equivalent term. The Company has historically not paid dividends and has no foreseeable plans to pay dividends.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restricted stock units is measured as the grant-date closing price of the Company’s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forfeitures of awards as they occur.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 of our Common Stock prior to the Business Combination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absence of an active market for our shares of common stock prior to the Business Combination, the grant-date fair market value of the common shares underlying stock options was historically determined by management and approved by the Company’s board of directors. Because there was no public market for the Company’s common shares, the Board of Directors exercised reasonable judgment and considered a number of objective and subjective factors to determine the best estimate of the fair market value, which included important developments in the Company’s operations, the prices at which the Company sold shares of its convertible preferred shares, the rights, preferences and privileges of the Company’s convertible preferred shares relative to those of the Company’s common shares, actual operating results, financial performance and the lack of marketability of the Company’s common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established a 401(k) plan that qualifies as a deferred compensation arrangement under Section 401 of the Internal Revenue Code. All U.S. employees over the age of 21 are eligible to participate in the plan. The Company contributes 100% of eligible employee’s elective deferral up to 4% of eligible earnings. The Company's matching contributions to participants’ accounts were immaterial for the years ended December 31, 2023, 2022 and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applies ASC 820, “Fair Value Measurements and Disclosures”. Under this standard, fair value is defined as the price that would be received to sell an asset or paid to transfer a liability (i.e., the “exit price”) in an orderly transaction between market participants at the measurement date.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used to measure fair value to the extent that relevant observable inputs are not available. An entity develops unobservable inputs using the best information available in the circumstances, which might include the entity's own data, taking into account all information about market participant assumptions that is reasonably available.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levels of inputs may be used to measure fair value:</w:t>
      </w:r>
    </w:p>
    <w:p>
      <w:pPr>
        <w:spacing w:after="0" w:line="117" w:lineRule="exact"/>
        <w:rPr>
          <w:sz w:val="20"/>
          <w:szCs w:val="20"/>
          <w:color w:val="auto"/>
        </w:rPr>
      </w:pPr>
    </w:p>
    <w:p>
      <w:pPr>
        <w:ind w:left="380"/>
        <w:spacing w:after="0"/>
        <w:tabs>
          <w:tab w:leader="none" w:pos="1220" w:val="left"/>
        </w:tabs>
        <w:rPr>
          <w:sz w:val="20"/>
          <w:szCs w:val="20"/>
          <w:color w:val="auto"/>
        </w:rPr>
      </w:pPr>
      <w:r>
        <w:rPr>
          <w:rFonts w:ascii="Times New Roman" w:cs="Times New Roman" w:eastAsia="Times New Roman" w:hAnsi="Times New Roman"/>
          <w:sz w:val="18"/>
          <w:szCs w:val="18"/>
          <w:color w:val="auto"/>
        </w:rPr>
        <w:t>Level 1:</w:t>
        <w:tab/>
        <w:t>Quoted prices in active markets for identical assets or liabilities.</w:t>
      </w:r>
    </w:p>
    <w:p>
      <w:pPr>
        <w:spacing w:after="0" w:line="117" w:lineRule="exact"/>
        <w:rPr>
          <w:sz w:val="20"/>
          <w:szCs w:val="20"/>
          <w:color w:val="auto"/>
        </w:rPr>
      </w:pPr>
    </w:p>
    <w:p>
      <w:pPr>
        <w:ind w:left="380" w:right="20"/>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prices such as quoted prices for similar assets of liabilities; quoted prices in markets that are not active; or other inputs that are observable or can be corroborated by observable market data for substantially the full term of the assets or liabilities.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380"/>
        <w:spacing w:after="0"/>
        <w:tabs>
          <w:tab w:leader="none" w:pos="1220" w:val="left"/>
        </w:tabs>
        <w:rPr>
          <w:sz w:val="20"/>
          <w:szCs w:val="20"/>
          <w:color w:val="auto"/>
        </w:rPr>
      </w:pPr>
      <w:r>
        <w:rPr>
          <w:rFonts w:ascii="Times New Roman" w:cs="Times New Roman" w:eastAsia="Times New Roman" w:hAnsi="Times New Roman"/>
          <w:sz w:val="18"/>
          <w:szCs w:val="18"/>
          <w:color w:val="auto"/>
        </w:rPr>
        <w:t>Level 3:</w:t>
        <w:tab/>
        <w:t>Unobservable inputs that are supported by little or no market activity and that are significant to the fair value of the assets or liabilities.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hierarchy also requires an entity to maximize the use of observable inputs and minimize the use of unobservable inputs when measuring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740, "Income Taxes". The net deferred tax assets assume sufficient future earnings for their realization, as well as the continued application of currently enacted tax rates. Included in net deferred tax assets is a valuation allowance for deferred tax assets, where management believes it is more-likely-than-not that the deferred tax assets will not be realized in the relevant jurisdiction. If the Company determines that a deferred tax asset will not be realizable, an adjustment to the deferred tax asset will result in a reduction of net earnings at that time. Accrued interest and penalties are included within the related tax asset or liability in the accompanying consolidated financial statements.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the provisions in ASC 740 and the guidance related to accounting for uncertainty in income taxes. ASC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Company's policy is to recognize interest related to unrecognized tax benefits as interest expense and penalties as operating expenses.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provide deferred tax liabilities when it intends to reinvest earnings of a foreign subsidiary indefinitely or if distributed, no tax liability will be imposed. Undistributed earnings of a foreign subsidiary and unrecognized deferred tax liability related to such earnings are immaterial as of December 31, 2023.</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did not record any provision for uncertain tax positions. The Company does not anticipate that the assessment will significantly increase or decrease within the next 12 months. No accrued interest or penalties were accrued as of December 31,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basic net loss per share is calculated by dividing net loss attributable to ordinary shareholders by the weighted-average number of shares of common stock outstanding for the period, without consideration of potentially dilutive securities. The diluted net loss per share is calculated by giving effect to all potentially dilutive securities outstanding for the period using the treasury share method or the if-converted method based on the nature of such securities. Diluted net loss per share is the same as basic net loss per share in periods when the effects of potentially dilutive shares of shares of common stock are anti-dilutive.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Recently Adopted Accounting Pronouncements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which requires public entities to disclose information about their reportable segments’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is currently evaluating the impact of adopting ASU 2023-07.</w:t>
      </w:r>
    </w:p>
    <w:p>
      <w:pPr>
        <w:spacing w:after="0" w:line="1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impact of adopting ASU 2023-09.</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revenues from sales to unaffiliated customers disaggregated by revenue source:</w:t>
      </w:r>
    </w:p>
    <w:p>
      <w:pPr>
        <w:spacing w:after="0" w:line="178"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5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27"/>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from sales to unaffiliated customers: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Payor</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80,823</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36,168</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22,272</w:t>
            </w:r>
          </w:p>
        </w:tc>
        <w:tc>
          <w:tcPr>
            <w:tcW w:w="100" w:type="dxa"/>
            <w:vAlign w:val="bottom"/>
            <w:shd w:val="clear" w:color="auto" w:fill="CFF0FC"/>
          </w:tcPr>
          <w:p>
            <w:pPr>
              <w:spacing w:after="0"/>
              <w:rPr>
                <w:sz w:val="21"/>
                <w:szCs w:val="21"/>
                <w:color w:val="auto"/>
              </w:rPr>
            </w:pPr>
          </w:p>
        </w:tc>
      </w:tr>
      <w:tr>
        <w:trPr>
          <w:trHeight w:val="23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DTE</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28,241</w:t>
            </w:r>
          </w:p>
        </w:tc>
        <w:tc>
          <w:tcPr>
            <w:tcW w:w="3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16,642</w:t>
            </w:r>
          </w:p>
        </w:tc>
        <w:tc>
          <w:tcPr>
            <w:tcW w:w="100" w:type="dxa"/>
            <w:vAlign w:val="bottom"/>
          </w:tcPr>
          <w:p>
            <w:pPr>
              <w:spacing w:after="0"/>
              <w:rPr>
                <w:sz w:val="20"/>
                <w:szCs w:val="20"/>
                <w:color w:val="auto"/>
              </w:rPr>
            </w:pPr>
          </w:p>
        </w:tc>
      </w:tr>
      <w:tr>
        <w:trPr>
          <w:trHeight w:val="247"/>
        </w:trPr>
        <w:tc>
          <w:tcPr>
            <w:tcW w:w="5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35,608</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55,158</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150,045</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119,567</w:t>
            </w:r>
          </w:p>
        </w:tc>
        <w:tc>
          <w:tcPr>
            <w:tcW w:w="3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113,671</w:t>
            </w:r>
          </w:p>
        </w:tc>
        <w:tc>
          <w:tcPr>
            <w:tcW w:w="100" w:type="dxa"/>
            <w:vAlign w:val="bottom"/>
          </w:tcPr>
          <w:p>
            <w:pPr>
              <w:spacing w:after="0"/>
              <w:rPr>
                <w:sz w:val="20"/>
                <w:szCs w:val="20"/>
                <w:color w:val="auto"/>
              </w:rPr>
            </w:pPr>
          </w:p>
        </w:tc>
      </w:tr>
      <w:tr>
        <w:trPr>
          <w:trHeight w:val="20"/>
        </w:trPr>
        <w:tc>
          <w:tcPr>
            <w:tcW w:w="5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-187960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-187960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-187960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the majority of the Company’s revenues were generated from customers located in the United States.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two customers represented 10% or more of total revenue. For the year ended December 31, 2022, two customers represented 10% or more of total revenue. No single customer represented 10% or more of total revenue for the year ended December 31,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had receivables related to revenue from DTE clients of $7.8 million and $7.4 million at December 31, 2023 and December 31, 2022, respectively. As of December 31, 2023 and 2022, the balance of receivables related to revenue from Payor clients was $2.4 million and $2.2 million, respectively.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no single customer represented 10% or more of the accounts receivable balance. As of December 31, 2022, one customer represented 10% of the accounts receivable balance.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and 2022, the Company recognized revenues of $2.8 million and $6.2 million, respectively, that were included in deferred revenues at the beginning of the year. As of December 31, 2023, deferred revenue mainly related to the Company’s Consumer subscription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INTANGIBLE ASSETS,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are comprised of the following:</w:t>
      </w: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8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69"/>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r>
      <w:tr>
        <w:trPr>
          <w:trHeight w:val="237"/>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with finite lives:</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9"/>
        </w:trPr>
        <w:tc>
          <w:tcPr>
            <w:tcW w:w="8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technology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20" w:type="dxa"/>
            <w:vAlign w:val="bottom"/>
          </w:tcPr>
          <w:p>
            <w:pPr>
              <w:spacing w:after="0"/>
              <w:rPr>
                <w:sz w:val="20"/>
                <w:szCs w:val="20"/>
                <w:color w:val="auto"/>
              </w:rPr>
            </w:pPr>
          </w:p>
        </w:tc>
      </w:tr>
      <w:tr>
        <w:trPr>
          <w:trHeight w:val="247"/>
        </w:trPr>
        <w:tc>
          <w:tcPr>
            <w:tcW w:w="8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Customer relationship</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shd w:val="clear" w:color="auto" w:fill="CFF0FC"/>
          </w:tcPr>
          <w:p>
            <w:pPr>
              <w:spacing w:after="0"/>
              <w:rPr>
                <w:sz w:val="21"/>
                <w:szCs w:val="21"/>
                <w:color w:val="auto"/>
              </w:rPr>
            </w:pPr>
          </w:p>
        </w:tc>
      </w:tr>
      <w:tr>
        <w:trPr>
          <w:trHeight w:val="239"/>
        </w:trPr>
        <w:tc>
          <w:tcPr>
            <w:tcW w:w="8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Non-Competition agreement</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Pr>
          <w:p>
            <w:pPr>
              <w:spacing w:after="0"/>
              <w:rPr>
                <w:sz w:val="20"/>
                <w:szCs w:val="20"/>
                <w:color w:val="auto"/>
              </w:rPr>
            </w:pPr>
          </w:p>
        </w:tc>
      </w:tr>
      <w:tr>
        <w:trPr>
          <w:trHeight w:val="277"/>
        </w:trPr>
        <w:tc>
          <w:tcPr>
            <w:tcW w:w="84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7"/>
        </w:trPr>
        <w:tc>
          <w:tcPr>
            <w:tcW w:w="8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Acquired technology</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20" w:type="dxa"/>
            <w:vAlign w:val="bottom"/>
            <w:shd w:val="clear" w:color="auto" w:fill="CFF0FC"/>
          </w:tcPr>
          <w:p>
            <w:pPr>
              <w:spacing w:after="0"/>
              <w:rPr>
                <w:sz w:val="21"/>
                <w:szCs w:val="21"/>
                <w:color w:val="auto"/>
              </w:rPr>
            </w:pPr>
          </w:p>
        </w:tc>
      </w:tr>
      <w:tr>
        <w:trPr>
          <w:trHeight w:val="239"/>
        </w:trPr>
        <w:tc>
          <w:tcPr>
            <w:tcW w:w="8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Customer relationship</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20"/>
                <w:szCs w:val="20"/>
                <w:color w:val="auto"/>
              </w:rPr>
            </w:pPr>
          </w:p>
        </w:tc>
      </w:tr>
      <w:tr>
        <w:trPr>
          <w:trHeight w:val="243"/>
        </w:trPr>
        <w:tc>
          <w:tcPr>
            <w:tcW w:w="8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Non-Competition agreement</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8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20" w:type="dxa"/>
            <w:vAlign w:val="bottom"/>
          </w:tcPr>
          <w:p>
            <w:pPr>
              <w:spacing w:after="0"/>
              <w:rPr>
                <w:sz w:val="20"/>
                <w:szCs w:val="20"/>
                <w:color w:val="auto"/>
              </w:rPr>
            </w:pPr>
          </w:p>
        </w:tc>
      </w:tr>
      <w:tr>
        <w:trPr>
          <w:trHeight w:val="276"/>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-993775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-976630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-993775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-976630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-350520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-350520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for intangible assets was $0.7 million for the year ended December 31, 2023 ($0.9 million and $1.8 million for the years ended December 31, 2022 and 2021, respectively). Amortization related to intangible assets for acquired technology was included in cost of revenues and amortization related to intangible assets for customer relationships was included in sales and marketing expenses in the Company’s consolidated statement of operations for the periods presented.</w:t>
      </w:r>
    </w:p>
    <w:p>
      <w:pPr>
        <w:sectPr>
          <w:pgSz w:w="11900" w:h="16838" w:orient="portrait"/>
          <w:cols w:equalWidth="0" w:num="1">
            <w:col w:w="11240"/>
          </w:cols>
          <w:pgMar w:left="320" w:top="769"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amortization that will be charged to expense over the remaining life of the acquired technology intangible asset as of December 31, 2023 is as follows:</w:t>
      </w:r>
    </w:p>
    <w:p>
      <w:pPr>
        <w:spacing w:after="0" w:line="115"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7680" w:type="dxa"/>
            <w:vAlign w:val="bottom"/>
            <w:tcBorders>
              <w:bottom w:val="single" w:sz="8" w:color="auto"/>
            </w:tcBorders>
          </w:tcPr>
          <w:p>
            <w:pPr>
              <w:jc w:val="right"/>
              <w:ind w:right="6774"/>
              <w:spacing w:after="0"/>
              <w:rPr>
                <w:sz w:val="20"/>
                <w:szCs w:val="20"/>
                <w:color w:val="auto"/>
              </w:rPr>
            </w:pPr>
            <w:r>
              <w:rPr>
                <w:rFonts w:ascii="Times New Roman" w:cs="Times New Roman" w:eastAsia="Times New Roman" w:hAnsi="Times New Roman"/>
                <w:sz w:val="14"/>
                <w:szCs w:val="14"/>
                <w:color w:val="auto"/>
              </w:rPr>
              <w:t>December 31,</w:t>
            </w:r>
          </w:p>
        </w:tc>
        <w:tc>
          <w:tcPr>
            <w:tcW w:w="2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r>
      <w:tr>
        <w:trPr>
          <w:trHeight w:val="237"/>
        </w:trPr>
        <w:tc>
          <w:tcPr>
            <w:tcW w:w="7680" w:type="dxa"/>
            <w:vAlign w:val="bottom"/>
            <w:shd w:val="clear" w:color="auto" w:fill="CFF0FC"/>
          </w:tcPr>
          <w:p>
            <w:pPr>
              <w:jc w:val="right"/>
              <w:ind w:right="7034"/>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jc w:val="right"/>
              <w:ind w:right="7034"/>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jc w:val="right"/>
              <w:ind w:right="7034"/>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jc w:val="right"/>
              <w:ind w:right="7034"/>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0"/>
                <w:szCs w:val="20"/>
                <w:color w:val="auto"/>
              </w:rPr>
            </w:pPr>
          </w:p>
        </w:tc>
      </w:tr>
      <w:tr>
        <w:trPr>
          <w:trHeight w:val="236"/>
        </w:trPr>
        <w:tc>
          <w:tcPr>
            <w:tcW w:w="7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the Company’s cash, cash equivalents, accounts receivable, other current assets, accounts payable, and accrued liabilities approximate fair value because of the relatively short-term nature of the underlying assets or liabilities. Money market funds are classified within Level 1 of the fair value hierarchy because these assets are valued based on quoted market prices in active markets.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assumed Public Warrants as a result of the Business Combination and also issued equity warrants to certain consultants. The Company determined these warrants met the criteria to be classified as equity in accordance with ASC 815-40. The Company valued these warrants using the instrument’s publicly listed trading price on the date of acquisition or issuance, where applicable, and included it in additional paid-in capital within stockholder’s equity. This is considered to be a non-recurring Level 1 measurement due to the use of an observable market quote in an active market.</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2021, the Company also assumed Private Placement Warrants which are accounted for as liabilities in accordance with ASC 815-40 and are presented within warrant liabilities in the accompanying consolidated balance sheets. The warrant liabilities were measured at fair value at inception and thereafter on a recurring, quarterly basis, with changes in fair value presented within financial (income), net, in the consolidated statement of operations. The Private Placement Warrants were valued using the Black-Scholes-Merton Model, which is considered to be a Level 3 fair value measurement. The primary unobservable input utilized in determining the fair value of the Private Placement Warrants is the implied volatility from trading prices of the Company's Public Warrants, significant increases (decreases) in this input in isolation would have resulted in a significantly higher (lower) fair value measurement.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were the inputs utilized in determining the fair value of the Private Placement Warrants as of December 31, 2023 and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46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4280" w:type="dxa"/>
            <w:vAlign w:val="bottom"/>
          </w:tcPr>
          <w:p>
            <w:pPr>
              <w:spacing w:after="0"/>
              <w:rPr>
                <w:sz w:val="14"/>
                <w:szCs w:val="14"/>
                <w:color w:val="auto"/>
              </w:rPr>
            </w:pPr>
          </w:p>
        </w:tc>
        <w:tc>
          <w:tcPr>
            <w:tcW w:w="2300" w:type="dxa"/>
            <w:vAlign w:val="bottom"/>
            <w:tcBorders>
              <w:bottom w:val="single" w:sz="8" w:color="auto"/>
            </w:tcBorders>
          </w:tcPr>
          <w:p>
            <w:pPr>
              <w:jc w:val="center"/>
              <w:ind w:left="9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428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(1)</w:t>
            </w:r>
          </w:p>
        </w:tc>
        <w:tc>
          <w:tcPr>
            <w:tcW w:w="2300" w:type="dxa"/>
            <w:vAlign w:val="bottom"/>
            <w:shd w:val="clear" w:color="auto" w:fill="CFF0FC"/>
          </w:tcPr>
          <w:p>
            <w:pPr>
              <w:jc w:val="center"/>
              <w:ind w:left="974"/>
              <w:spacing w:after="0"/>
              <w:rPr>
                <w:sz w:val="20"/>
                <w:szCs w:val="20"/>
                <w:color w:val="auto"/>
              </w:rPr>
            </w:pPr>
            <w:r>
              <w:rPr>
                <w:rFonts w:ascii="Times New Roman" w:cs="Times New Roman" w:eastAsia="Times New Roman" w:hAnsi="Times New Roman"/>
                <w:sz w:val="18"/>
                <w:szCs w:val="18"/>
                <w:color w:val="auto"/>
                <w:w w:val="99"/>
              </w:rPr>
              <w:t>0%</w:t>
            </w:r>
          </w:p>
        </w:tc>
        <w:tc>
          <w:tcPr>
            <w:tcW w:w="4660" w:type="dxa"/>
            <w:vAlign w:val="bottom"/>
            <w:gridSpan w:val="3"/>
            <w:shd w:val="clear" w:color="auto" w:fill="CFF0FC"/>
          </w:tcPr>
          <w:p>
            <w:pPr>
              <w:jc w:val="center"/>
              <w:ind w:left="1214"/>
              <w:spacing w:after="0"/>
              <w:rPr>
                <w:sz w:val="20"/>
                <w:szCs w:val="20"/>
                <w:color w:val="auto"/>
              </w:rPr>
            </w:pPr>
            <w:r>
              <w:rPr>
                <w:rFonts w:ascii="Times New Roman" w:cs="Times New Roman" w:eastAsia="Times New Roman" w:hAnsi="Times New Roman"/>
                <w:sz w:val="18"/>
                <w:szCs w:val="18"/>
                <w:color w:val="auto"/>
                <w:w w:val="99"/>
              </w:rPr>
              <w:t>0%</w:t>
            </w:r>
          </w:p>
        </w:tc>
      </w:tr>
      <w:tr>
        <w:trPr>
          <w:trHeight w:val="243"/>
        </w:trPr>
        <w:tc>
          <w:tcPr>
            <w:tcW w:w="42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2300" w:type="dxa"/>
            <w:vAlign w:val="bottom"/>
          </w:tcPr>
          <w:p>
            <w:pPr>
              <w:jc w:val="center"/>
              <w:ind w:left="974"/>
              <w:spacing w:after="0"/>
              <w:rPr>
                <w:sz w:val="20"/>
                <w:szCs w:val="20"/>
                <w:color w:val="auto"/>
              </w:rPr>
            </w:pPr>
            <w:r>
              <w:rPr>
                <w:rFonts w:ascii="Times New Roman" w:cs="Times New Roman" w:eastAsia="Times New Roman" w:hAnsi="Times New Roman"/>
                <w:sz w:val="18"/>
                <w:szCs w:val="18"/>
                <w:color w:val="auto"/>
              </w:rPr>
              <w:t>61.10%</w:t>
            </w:r>
          </w:p>
        </w:tc>
        <w:tc>
          <w:tcPr>
            <w:tcW w:w="4660" w:type="dxa"/>
            <w:vAlign w:val="bottom"/>
            <w:gridSpan w:val="3"/>
          </w:tcPr>
          <w:p>
            <w:pPr>
              <w:jc w:val="center"/>
              <w:ind w:left="1194"/>
              <w:spacing w:after="0"/>
              <w:rPr>
                <w:sz w:val="20"/>
                <w:szCs w:val="20"/>
                <w:color w:val="auto"/>
              </w:rPr>
            </w:pPr>
            <w:r>
              <w:rPr>
                <w:rFonts w:ascii="Times New Roman" w:cs="Times New Roman" w:eastAsia="Times New Roman" w:hAnsi="Times New Roman"/>
                <w:sz w:val="18"/>
                <w:szCs w:val="18"/>
                <w:color w:val="auto"/>
                <w:w w:val="97"/>
              </w:rPr>
              <w:t>93.00%</w:t>
            </w:r>
          </w:p>
        </w:tc>
      </w:tr>
      <w:tr>
        <w:trPr>
          <w:trHeight w:val="243"/>
        </w:trPr>
        <w:tc>
          <w:tcPr>
            <w:tcW w:w="428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2300" w:type="dxa"/>
            <w:vAlign w:val="bottom"/>
            <w:shd w:val="clear" w:color="auto" w:fill="CFF0FC"/>
          </w:tcPr>
          <w:p>
            <w:pPr>
              <w:jc w:val="center"/>
              <w:ind w:left="974"/>
              <w:spacing w:after="0"/>
              <w:rPr>
                <w:sz w:val="20"/>
                <w:szCs w:val="20"/>
                <w:color w:val="auto"/>
              </w:rPr>
            </w:pPr>
            <w:r>
              <w:rPr>
                <w:rFonts w:ascii="Times New Roman" w:cs="Times New Roman" w:eastAsia="Times New Roman" w:hAnsi="Times New Roman"/>
                <w:sz w:val="18"/>
                <w:szCs w:val="18"/>
                <w:color w:val="auto"/>
              </w:rPr>
              <w:t>4.13%</w:t>
            </w:r>
          </w:p>
        </w:tc>
        <w:tc>
          <w:tcPr>
            <w:tcW w:w="4660" w:type="dxa"/>
            <w:vAlign w:val="bottom"/>
            <w:gridSpan w:val="3"/>
            <w:shd w:val="clear" w:color="auto" w:fill="CFF0FC"/>
          </w:tcPr>
          <w:p>
            <w:pPr>
              <w:jc w:val="center"/>
              <w:ind w:left="1194"/>
              <w:spacing w:after="0"/>
              <w:rPr>
                <w:sz w:val="20"/>
                <w:szCs w:val="20"/>
                <w:color w:val="auto"/>
              </w:rPr>
            </w:pPr>
            <w:r>
              <w:rPr>
                <w:rFonts w:ascii="Times New Roman" w:cs="Times New Roman" w:eastAsia="Times New Roman" w:hAnsi="Times New Roman"/>
                <w:sz w:val="18"/>
                <w:szCs w:val="18"/>
                <w:color w:val="auto"/>
                <w:w w:val="98"/>
              </w:rPr>
              <w:t>4.17%</w:t>
            </w: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to maturity (years)</w:t>
            </w:r>
          </w:p>
        </w:tc>
        <w:tc>
          <w:tcPr>
            <w:tcW w:w="2300" w:type="dxa"/>
            <w:vAlign w:val="bottom"/>
          </w:tcPr>
          <w:p>
            <w:pPr>
              <w:jc w:val="center"/>
              <w:ind w:left="974"/>
              <w:spacing w:after="0"/>
              <w:rPr>
                <w:sz w:val="20"/>
                <w:szCs w:val="20"/>
                <w:color w:val="auto"/>
              </w:rPr>
            </w:pPr>
            <w:r>
              <w:rPr>
                <w:rFonts w:ascii="Times New Roman" w:cs="Times New Roman" w:eastAsia="Times New Roman" w:hAnsi="Times New Roman"/>
                <w:sz w:val="18"/>
                <w:szCs w:val="18"/>
                <w:color w:val="auto"/>
              </w:rPr>
              <w:t>2.47</w:t>
            </w:r>
          </w:p>
        </w:tc>
        <w:tc>
          <w:tcPr>
            <w:tcW w:w="4660" w:type="dxa"/>
            <w:vAlign w:val="bottom"/>
            <w:gridSpan w:val="3"/>
          </w:tcPr>
          <w:p>
            <w:pPr>
              <w:jc w:val="center"/>
              <w:ind w:left="1214"/>
              <w:spacing w:after="0"/>
              <w:rPr>
                <w:sz w:val="20"/>
                <w:szCs w:val="20"/>
                <w:color w:val="auto"/>
              </w:rPr>
            </w:pPr>
            <w:r>
              <w:rPr>
                <w:rFonts w:ascii="Times New Roman" w:cs="Times New Roman" w:eastAsia="Times New Roman" w:hAnsi="Times New Roman"/>
                <w:sz w:val="18"/>
                <w:szCs w:val="18"/>
                <w:color w:val="auto"/>
              </w:rPr>
              <w:t>3.47</w:t>
            </w:r>
          </w:p>
        </w:tc>
      </w:tr>
    </w:tbl>
    <w:p>
      <w:pPr>
        <w:spacing w:after="0" w:line="99" w:lineRule="exact"/>
        <w:rPr>
          <w:sz w:val="20"/>
          <w:szCs w:val="20"/>
          <w:color w:val="auto"/>
        </w:rPr>
      </w:pPr>
    </w:p>
    <w:p>
      <w:pPr>
        <w:ind w:left="260" w:hanging="252"/>
        <w:spacing w:after="0"/>
        <w:tabs>
          <w:tab w:leader="none" w:pos="2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dividends were paid for the years ending December 31, 2023 and 2022.</w:t>
      </w:r>
    </w:p>
    <w:p>
      <w:pPr>
        <w:spacing w:after="0" w:line="43" w:lineRule="exact"/>
        <w:rPr>
          <w:rFonts w:ascii="Times New Roman" w:cs="Times New Roman" w:eastAsia="Times New Roman" w:hAnsi="Times New Roman"/>
          <w:sz w:val="15"/>
          <w:szCs w:val="15"/>
          <w:color w:val="auto"/>
        </w:rPr>
      </w:pPr>
    </w:p>
    <w:p>
      <w:pPr>
        <w:ind w:left="260" w:hanging="252"/>
        <w:spacing w:after="0"/>
        <w:tabs>
          <w:tab w:leader="none" w:pos="2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volatility is based on the volatility implied by backsolving to the Public Warrants' price as of the valuation date.</w:t>
      </w:r>
    </w:p>
    <w:p>
      <w:pPr>
        <w:spacing w:after="0" w:line="43" w:lineRule="exact"/>
        <w:rPr>
          <w:rFonts w:ascii="Times New Roman" w:cs="Times New Roman" w:eastAsia="Times New Roman" w:hAnsi="Times New Roman"/>
          <w:sz w:val="15"/>
          <w:szCs w:val="15"/>
          <w:color w:val="auto"/>
        </w:rPr>
      </w:pPr>
    </w:p>
    <w:p>
      <w:pPr>
        <w:ind w:left="260" w:hanging="252"/>
        <w:spacing w:after="0"/>
        <w:tabs>
          <w:tab w:leader="none" w:pos="2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-free interest rate is based on the yield from U.S. Treasury bonds with an equivalent term to the time to maturity of the warrants.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assets and liabilities, recorded at fair value on a recurring basis, as of December 31, 2023 and 2022, have been categorized based upon the fair value hierarchy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2023</w:t>
            </w: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shd w:val="clear" w:color="auto" w:fill="CFF0FC"/>
          </w:tcPr>
          <w:p>
            <w:pPr>
              <w:spacing w:after="0"/>
              <w:rPr>
                <w:sz w:val="21"/>
                <w:szCs w:val="21"/>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122,830</w:t>
            </w:r>
          </w:p>
        </w:tc>
        <w:tc>
          <w:tcPr>
            <w:tcW w:w="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123,908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123,908</w:t>
            </w:r>
          </w:p>
        </w:tc>
        <w:tc>
          <w:tcPr>
            <w:tcW w:w="100" w:type="dxa"/>
            <w:vAlign w:val="bottom"/>
          </w:tcPr>
          <w:p>
            <w:pPr>
              <w:spacing w:after="0"/>
              <w:rPr>
                <w:sz w:val="20"/>
                <w:szCs w:val="20"/>
                <w:color w:val="auto"/>
              </w:rPr>
            </w:pPr>
          </w:p>
        </w:tc>
      </w:tr>
      <w:tr>
        <w:trPr>
          <w:trHeight w:val="241"/>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Pr>
          <w:p>
            <w:pPr>
              <w:spacing w:after="0"/>
              <w:rPr>
                <w:sz w:val="20"/>
                <w:szCs w:val="20"/>
                <w:color w:val="auto"/>
              </w:rPr>
            </w:pPr>
          </w:p>
        </w:tc>
      </w:tr>
      <w:tr>
        <w:trPr>
          <w:trHeight w:val="236"/>
        </w:trPr>
        <w:tc>
          <w:tcPr>
            <w:tcW w:w="3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Warrant Liabilities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3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43"/>
        </w:trPr>
        <w:tc>
          <w:tcPr>
            <w:tcW w:w="38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2022</w:t>
            </w: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118,038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118,038</w:t>
            </w:r>
          </w:p>
        </w:tc>
        <w:tc>
          <w:tcPr>
            <w:tcW w:w="100" w:type="dxa"/>
            <w:vAlign w:val="bottom"/>
          </w:tcPr>
          <w:p>
            <w:pPr>
              <w:spacing w:after="0"/>
              <w:rPr>
                <w:sz w:val="20"/>
                <w:szCs w:val="20"/>
                <w:color w:val="auto"/>
              </w:rPr>
            </w:pPr>
          </w:p>
        </w:tc>
      </w:tr>
      <w:tr>
        <w:trPr>
          <w:trHeight w:val="247"/>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20,507</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20,507</w:t>
            </w:r>
          </w:p>
        </w:tc>
        <w:tc>
          <w:tcPr>
            <w:tcW w:w="100" w:type="dxa"/>
            <w:vAlign w:val="bottom"/>
          </w:tcPr>
          <w:p>
            <w:pPr>
              <w:spacing w:after="0"/>
              <w:rPr>
                <w:sz w:val="20"/>
                <w:szCs w:val="20"/>
                <w:color w:val="auto"/>
              </w:rPr>
            </w:pPr>
          </w:p>
        </w:tc>
      </w:tr>
      <w:tr>
        <w:trPr>
          <w:trHeight w:val="23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138,545</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138,545</w:t>
            </w:r>
          </w:p>
        </w:tc>
        <w:tc>
          <w:tcPr>
            <w:tcW w:w="100" w:type="dxa"/>
            <w:vAlign w:val="bottom"/>
            <w:shd w:val="clear" w:color="auto" w:fill="CFF0FC"/>
          </w:tcPr>
          <w:p>
            <w:pPr>
              <w:spacing w:after="0"/>
              <w:rPr>
                <w:sz w:val="20"/>
                <w:szCs w:val="20"/>
                <w:color w:val="auto"/>
              </w:rPr>
            </w:pPr>
          </w:p>
        </w:tc>
      </w:tr>
      <w:tr>
        <w:trPr>
          <w:trHeight w:val="239"/>
        </w:trPr>
        <w:tc>
          <w:tcPr>
            <w:tcW w:w="3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1"/>
        </w:trPr>
        <w:tc>
          <w:tcPr>
            <w:tcW w:w="3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3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3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Warrant Liabilities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32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-2331085</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-2331085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-2331085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-1688465</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-1688465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-1688465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-1688465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-487680</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-487680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-487680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-170815</wp:posOffset>
            </wp:positionV>
            <wp:extent cx="774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-170815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Level 3 liabilities measured at fair value on a recurring basis for the years ended December 31, 2023 and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3 Liabilities</w:t>
            </w: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4"/>
                <w:szCs w:val="14"/>
                <w:color w:val="auto"/>
              </w:rPr>
            </w:pPr>
          </w:p>
        </w:tc>
      </w:tr>
      <w:tr>
        <w:trPr>
          <w:trHeight w:val="23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shd w:val="clear" w:color="auto" w:fill="CFF0FC"/>
          </w:tcPr>
          <w:p>
            <w:pPr>
              <w:spacing w:after="0"/>
              <w:rPr>
                <w:sz w:val="20"/>
                <w:szCs w:val="20"/>
                <w:color w:val="auto"/>
              </w:rPr>
            </w:pPr>
          </w:p>
        </w:tc>
      </w:tr>
      <w:tr>
        <w:trPr>
          <w:trHeight w:val="407"/>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3 Liabilities</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4"/>
                <w:szCs w:val="14"/>
                <w:color w:val="auto"/>
              </w:rPr>
            </w:pPr>
          </w:p>
        </w:tc>
      </w:tr>
      <w:tr>
        <w:trPr>
          <w:trHeight w:val="23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(3,131 )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CONTINGENT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2022, the Company and certain of its current and former officers and directors were named as defendants in securities class action complaints filed in the United States District Court for the Southern District of New York under the case headings: (1) Baron v. Talkspace et al., No. 22-cv-00163 (S.D.N.Y.) and (2) Valdez v. Talkspace et al., No. 22-cv-00840 (S.D.N.Y.), which were subsequently consolidated under the caption In re Talkspace, Inc. Securities Litigation, No. 22-cv-00163 (S.D.N.Y) (the “Securities Action”). The Securities Action asserts violations of sections 10(b), 14(a) and 20(a) of the Securities Exchange Act of 1934 and SEC Rules 10b-5 and 14a-9 promulgated thereunder. These actions generally relate to public disclosures and statements by the Company in connection with its merger with Hudson Executive Investment Corp. (“HEIC”).</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2022, the Company’s subsidiary Tailwind Merger Sub II, LLC, certain of the Company’s current and former directors and officers, and others were named as defendants in a putative class action complaint filed in the Delaware Court of Chancery under the case caption Valdez v. Braunstein, et al., C.A. No. 2022-1148 (Del. Ch.) (the “Delaware Action”).</w:t>
      </w:r>
    </w:p>
    <w:p>
      <w:pPr>
        <w:sectPr>
          <w:pgSz w:w="11900" w:h="16838" w:orient="portrait"/>
          <w:cols w:equalWidth="0" w:num="1">
            <w:col w:w="11240"/>
          </w:cols>
          <w:pgMar w:left="320" w:top="769"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Delaware Action asserts claims for breach of fiduciary duty and aiding and abetting breach of fiduciary duty relating to the merger with HEIC, among other things, based on many of the same facts at issue in the Securities Action. The complaint seeks, among other things, damages on behalf of putative class members who did not redeem their shares in connection with the Company’s merger with HEIC.</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2023, the Company resolved the Securities Action and the Delaware Action through mediation. The settlement resolves these litigations with respect to all named defendants (the "Securities Settlement"). On June 30, 2023, the court entered an order preliminarily approving the Securities Settlement. On October 30, 2023, the court granted final approval to the Securities Settlement in all respects. The defendants have not admitted any liability or wrongdoing in connection with the Securities Settlement and have entered into the Securities Settlement solely to avoid the costs, risks, distraction, and uncertainties of continued litigation of the Securities Action and Delaware Action.</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and July 2022, two individuals filed stockholder derivative lawsuits on behalf of Talkspace in the United States District Court for the Southern District of New York under the case captions: (1) Odsvall v. Oren Frank et al., No. 22-cv-05016 (S.D.N.Y.) and (2) Nayman v. Berg, et al., No. 22-cv-06258 (S.D.N.Y.), which were subsequently consolidated under the caption In re Talkspace Stockholder Derivative Litigation, No. 22-cv-05016 (S.D.N.Y.) in September 2022 (the “Derivative Action”). The Derivative Action named certain of the Company’s current and former officers and directors as defendants and the Company as a nominal defendant. The Derivative Action asserted claims for violations of federal securities laws, breach of fiduciary duty, and aiding and abetting breaches of fiduciary duty relating to the merger with HEIC, among other things, based on many of the same facts at issue in the Securities Action.</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2023 the parties reached an agreement in principle to resolve the Derivative Action with respect to all named defendants in exchange for certain changes to the Company’s Corporate Governance environment, including the declassification of the Company’s board of directors, creation of a management-level disclosure committee, enhancements to the responsibilities and duties of the Company’s Audit Committee, the addition of independent directors, enhancements to employee compliance training and retention of an internal controls consultant. The declassification of the Company's board of directors was put forth as a proposal at the Company's 2023 Annual Shareholder Meeting, but it wasn’t approved by the general shareholder vote. On May 18, 2023, the parties entered into a Stipulation of Settlement and Release Agreement (the “Stipulation”) that sets forth the terms and conditions for the proposed settlement and dismissal with prejudice of the Derivative Action (the “Derivative Settlement”). On June 30, 2023, the court entered an order preliminarily approving the Stipulation and proposed Derivative Settlement and scheduling a hearing for August 16, 2023 to determine whether to give final approval to the Derivative Settlement. On August 16, 2023, the court granted final approval to the Derivative Settlement in all respects. The defendants have not admitted any liability or wrongdoing in connection with the Derivative Settlement and have entered into the Derivative Settlement solely to avoid the costs, risks, distraction, and uncertainties of continued litigation of the Derivative Action.</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foregoing, the Company may in the future be involved in various legal proceedings, claims and litigation that arise in the normal course of business. The Company accrues for estimated loss contingencies related to legal matters when available information indicates that it is probable a liability has been incurred and the Company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 and Indemnification</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arrangements generally include certain provisions for indemnifying clients against liabilities if there is a breach of a client’s data or if the Company’s service infringes a third party’s intellectual property rights. To date, the Company has not incurred any material costs as a result of such indemnifications. 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 enable it to recover a portion of any future amounts paid. The Company may also be subject to indemnification obligations by law with respect to the actions of its employees under certain circumstances and in certain jurisdictions.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CAPITAL STOCK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authorized capital stock consists of (a) 1,000,000,000 shares of common stock, par value $0.0001 per share; and (b) 100,000,000 shares of preferred stock, par value $0.0001 per share. As of December 31, 2023 and 2022 there were 12,780,000 Private Placement Warrants and 21,350,000 Public Warrants to purchase the Company’s common stock at an exercise price of $11.50 per share. As of December 31, 2023 and 2022, no shares of preferred stock were issued or outstanding.</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SHARE-BASED COMPENSATION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2021, the Company adopted the 2021 Incentive Award Plan (the “2021 Plan”) under which the Company may grant cash and equity incentive awards to officers, employees, directors, consultants and service providers in order to attract, motivate and retain the talent. The 2021 Plan replaced the Company's previous stock compensation plan.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stock-based awards are measured based on the grant date fair value and are recognized on a straight-line basis in the Company’s consolidated statement of operations over the requisite service period (generally requiring a four-year vesting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options generally vest over a four-year period and are exercisable a maximum period of ten years. A summary of the Company’s stock option activity for the year ended December 31, 2023 is as follows: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3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vMerge w:val="restart"/>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3380" w:type="dxa"/>
            <w:vAlign w:val="bottom"/>
          </w:tcPr>
          <w:p>
            <w:pPr>
              <w:spacing w:after="0"/>
              <w:rPr>
                <w:sz w:val="12"/>
                <w:szCs w:val="12"/>
                <w:color w:val="auto"/>
              </w:rPr>
            </w:pPr>
          </w:p>
        </w:tc>
        <w:tc>
          <w:tcPr>
            <w:tcW w:w="182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00" w:type="dxa"/>
            <w:vAlign w:val="bottom"/>
          </w:tcPr>
          <w:p>
            <w:pPr>
              <w:jc w:val="center"/>
              <w:ind w:left="301"/>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380" w:type="dxa"/>
            <w:vAlign w:val="bottom"/>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100" w:type="dxa"/>
            <w:vAlign w:val="bottom"/>
          </w:tcPr>
          <w:p>
            <w:pPr>
              <w:jc w:val="center"/>
              <w:ind w:left="321"/>
              <w:spacing w:after="0" w:line="151"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3"/>
                <w:szCs w:val="13"/>
                <w:b w:val="1"/>
                <w:bCs w:val="1"/>
                <w:color w:val="auto"/>
              </w:rPr>
              <w:t xml:space="preserve">intrinsic value </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187"/>
        </w:trPr>
        <w:tc>
          <w:tcPr>
            <w:tcW w:w="3380" w:type="dxa"/>
            <w:vAlign w:val="bottom"/>
          </w:tcPr>
          <w:p>
            <w:pPr>
              <w:spacing w:after="0"/>
              <w:rPr>
                <w:sz w:val="16"/>
                <w:szCs w:val="16"/>
                <w:color w:val="auto"/>
              </w:rPr>
            </w:pPr>
          </w:p>
        </w:tc>
        <w:tc>
          <w:tcPr>
            <w:tcW w:w="15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6"/>
                <w:szCs w:val="16"/>
                <w:color w:val="auto"/>
              </w:rPr>
            </w:pPr>
          </w:p>
        </w:tc>
        <w:tc>
          <w:tcPr>
            <w:tcW w:w="110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4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16,876,326</w:t>
            </w: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1,293,045</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(4,592,195 )</w:t>
            </w:r>
          </w:p>
        </w:tc>
        <w:tc>
          <w:tcPr>
            <w:tcW w:w="11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(3,018,603 )</w:t>
            </w:r>
          </w:p>
        </w:tc>
        <w:tc>
          <w:tcPr>
            <w:tcW w:w="1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380" w:type="dxa"/>
            <w:vAlign w:val="bottom"/>
            <w:tcBorders>
              <w:bottom w:val="single" w:sz="8" w:color="CFF0FC"/>
            </w:tcBorders>
            <w:shd w:val="clear" w:color="auto" w:fill="CFF0FC"/>
          </w:tcPr>
          <w:p>
            <w:pPr>
              <w:spacing w:after="0" w:line="241" w:lineRule="exact"/>
              <w:rPr>
                <w:sz w:val="20"/>
                <w:szCs w:val="20"/>
                <w:color w:val="auto"/>
              </w:rPr>
            </w:pPr>
            <w:r>
              <w:rPr>
                <w:rFonts w:ascii="Times New Roman" w:cs="Times New Roman" w:eastAsia="Times New Roman" w:hAnsi="Times New Roman"/>
                <w:sz w:val="18"/>
                <w:szCs w:val="18"/>
                <w:color w:val="auto"/>
              </w:rPr>
              <w:t xml:space="preserve">Outstanding at end of year </w:t>
            </w:r>
            <w:r>
              <w:rPr>
                <w:rFonts w:ascii="Times New Roman" w:cs="Times New Roman" w:eastAsia="Times New Roman" w:hAnsi="Times New Roman"/>
                <w:sz w:val="24"/>
                <w:szCs w:val="24"/>
                <w:color w:val="auto"/>
                <w:vertAlign w:val="superscript"/>
              </w:rPr>
              <w:t>(2)</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10,558,573</w:t>
            </w:r>
          </w:p>
        </w:tc>
        <w:tc>
          <w:tcPr>
            <w:tcW w:w="26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8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 xml:space="preserve">Exercisable at end of year </w:t>
            </w:r>
            <w:r>
              <w:rPr>
                <w:rFonts w:ascii="Times New Roman" w:cs="Times New Roman" w:eastAsia="Times New Roman" w:hAnsi="Times New Roman"/>
                <w:sz w:val="24"/>
                <w:szCs w:val="24"/>
                <w:color w:val="auto"/>
                <w:vertAlign w:val="superscript"/>
              </w:rPr>
              <w:t>(2)</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7,147,389</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-170815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-170815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-170815</wp:posOffset>
            </wp:positionV>
            <wp:extent cx="596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25" w:lineRule="exact"/>
        <w:rPr>
          <w:sz w:val="20"/>
          <w:szCs w:val="20"/>
          <w:color w:val="auto"/>
        </w:rPr>
      </w:pPr>
    </w:p>
    <w:p>
      <w:pPr>
        <w:ind w:left="1020" w:hanging="503"/>
        <w:spacing w:after="0" w:line="253" w:lineRule="auto"/>
        <w:tabs>
          <w:tab w:leader="none" w:pos="10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aggregate intrinsic value of options outstanding at end of the year and options exercisable at end of the year does not include 2,514,361 and 1,643,117, respectively, of stock options that are out of the money.</w:t>
      </w:r>
    </w:p>
    <w:p>
      <w:pPr>
        <w:ind w:left="1020" w:hanging="503"/>
        <w:spacing w:after="0"/>
        <w:tabs>
          <w:tab w:leader="none" w:pos="10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Excludes 650,000 fully-vested stock options with an exercise price of $11.50 issued in June 2021 to a consultant.</w:t>
      </w:r>
    </w:p>
    <w:p>
      <w:pPr>
        <w:spacing w:after="0" w:line="20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granted to employees during the years ended December 31, 2023 was $0.74 per share ($0.88 and $3.81 per share for the years ended December 31, 2022 and 2021, respectively).</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for options granted for the years ended December 31, 2023, 2022 and 2021 was estimated on the date of grant using a Black-Scholes-Merton options pricing model with the following weighted average assumptions:</w:t>
      </w:r>
    </w:p>
    <w:p>
      <w:pPr>
        <w:spacing w:after="0" w:line="115"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4400" w:type="dxa"/>
            <w:vAlign w:val="bottom"/>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r>
      <w:tr>
        <w:trPr>
          <w:trHeight w:val="169"/>
        </w:trPr>
        <w:tc>
          <w:tcPr>
            <w:tcW w:w="440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6"/>
        </w:trPr>
        <w:tc>
          <w:tcPr>
            <w:tcW w:w="4400" w:type="dxa"/>
            <w:vAlign w:val="bottom"/>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(1)</w:t>
            </w: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9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0%</w:t>
            </w:r>
          </w:p>
        </w:tc>
        <w:tc>
          <w:tcPr>
            <w:tcW w:w="20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0%</w:t>
            </w:r>
          </w:p>
        </w:tc>
      </w:tr>
      <w:tr>
        <w:trPr>
          <w:trHeight w:val="243"/>
        </w:trPr>
        <w:tc>
          <w:tcPr>
            <w:tcW w:w="44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58.63% - 68.40%</w:t>
            </w:r>
          </w:p>
        </w:tc>
        <w:tc>
          <w:tcPr>
            <w:tcW w:w="19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66.80%-86.13%</w:t>
            </w:r>
          </w:p>
        </w:tc>
        <w:tc>
          <w:tcPr>
            <w:tcW w:w="20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65.00%-75.23%</w:t>
            </w:r>
          </w:p>
        </w:tc>
      </w:tr>
      <w:tr>
        <w:trPr>
          <w:trHeight w:val="243"/>
        </w:trPr>
        <w:tc>
          <w:tcPr>
            <w:tcW w:w="44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3.70%-4.22%</w:t>
            </w:r>
          </w:p>
        </w:tc>
        <w:tc>
          <w:tcPr>
            <w:tcW w:w="19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1.76%-4.11%</w:t>
            </w:r>
          </w:p>
        </w:tc>
        <w:tc>
          <w:tcPr>
            <w:tcW w:w="20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0.66%-1.39%</w:t>
            </w:r>
          </w:p>
        </w:tc>
      </w:tr>
      <w:tr>
        <w:trPr>
          <w:trHeight w:val="31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Expected term (years) </w:t>
            </w:r>
            <w:r>
              <w:rPr>
                <w:rFonts w:ascii="Times New Roman" w:cs="Times New Roman" w:eastAsia="Times New Roman" w:hAnsi="Times New Roman"/>
                <w:sz w:val="24"/>
                <w:szCs w:val="24"/>
                <w:color w:val="auto"/>
                <w:vertAlign w:val="superscript"/>
              </w:rPr>
              <w:t>(4)</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5.23 - 6.25</w:t>
            </w:r>
          </w:p>
        </w:tc>
        <w:tc>
          <w:tcPr>
            <w:tcW w:w="19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5.07-6.25</w:t>
            </w:r>
          </w:p>
        </w:tc>
        <w:tc>
          <w:tcPr>
            <w:tcW w:w="20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5.27-6.25</w:t>
            </w:r>
          </w:p>
        </w:tc>
      </w:tr>
    </w:tbl>
    <w:p>
      <w:pPr>
        <w:spacing w:after="0" w:line="71"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dividends were paid during the years ending December 31, 2023, 2022 and 2021.</w:t>
      </w:r>
    </w:p>
    <w:p>
      <w:pPr>
        <w:spacing w:after="0" w:line="25" w:lineRule="exact"/>
        <w:rPr>
          <w:rFonts w:ascii="Times New Roman" w:cs="Times New Roman" w:eastAsia="Times New Roman" w:hAnsi="Times New Roman"/>
          <w:sz w:val="15"/>
          <w:szCs w:val="15"/>
          <w:color w:val="auto"/>
        </w:rPr>
      </w:pPr>
    </w:p>
    <w:p>
      <w:pPr>
        <w:ind w:left="1020" w:hanging="503"/>
        <w:spacing w:after="0" w:line="247" w:lineRule="auto"/>
        <w:tabs>
          <w:tab w:leader="none" w:pos="10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volatility was calculated based upon historical stock price movements of the Company and similar publicly traded peer companies over the most recent periods ending on the grant date, equal to the expected term of the options, as adequate historical experience is not available to provide a reasonable estimate.</w:t>
      </w:r>
    </w:p>
    <w:p>
      <w:pPr>
        <w:ind w:left="1020" w:hanging="503"/>
        <w:spacing w:after="0"/>
        <w:tabs>
          <w:tab w:leader="none" w:pos="10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risk-free interest rate is based on the yield from U.S. treasury bonds with an equivalent term to the expected term of the options.</w:t>
      </w:r>
    </w:p>
    <w:p>
      <w:pPr>
        <w:spacing w:after="0" w:line="30" w:lineRule="exact"/>
        <w:rPr>
          <w:rFonts w:ascii="Times New Roman" w:cs="Times New Roman" w:eastAsia="Times New Roman" w:hAnsi="Times New Roman"/>
          <w:sz w:val="15"/>
          <w:szCs w:val="15"/>
          <w:color w:val="auto"/>
        </w:rPr>
      </w:pPr>
    </w:p>
    <w:p>
      <w:pPr>
        <w:ind w:left="1020" w:hanging="503"/>
        <w:spacing w:after="0"/>
        <w:tabs>
          <w:tab w:leader="none" w:pos="10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term of stock options granted is calculated using the simplified method for “plain vanilla” stock options awards.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$4.8 million of total unrecognized compensation cost related to non-vested stock options that are expected to be recognized over a period of up to 4.2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Restricted Stock Units ("RSUs") typically vest over a four-year period. The following table summarizes the activity for RSUs for the year ended December 31, 2023:</w:t>
      </w:r>
    </w:p>
    <w:p>
      <w:pPr>
        <w:spacing w:after="0" w:line="118" w:lineRule="exact"/>
        <w:rPr>
          <w:sz w:val="20"/>
          <w:szCs w:val="20"/>
          <w:color w:val="auto"/>
        </w:rPr>
      </w:pPr>
    </w:p>
    <w:tbl>
      <w:tblPr>
        <w:tblLayout w:type="fixed"/>
        <w:tblInd w:w="30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4200" w:type="dxa"/>
            <w:vAlign w:val="bottom"/>
            <w:gridSpan w:val="5"/>
          </w:tcPr>
          <w:p>
            <w:pPr>
              <w:ind w:left="1020"/>
              <w:spacing w:after="0"/>
              <w:rPr>
                <w:sz w:val="20"/>
                <w:szCs w:val="20"/>
                <w:color w:val="auto"/>
              </w:rPr>
            </w:pPr>
            <w:r>
              <w:rPr>
                <w:rFonts w:ascii="Times New Roman" w:cs="Times New Roman" w:eastAsia="Times New Roman" w:hAnsi="Times New Roman"/>
                <w:sz w:val="15"/>
                <w:szCs w:val="15"/>
                <w:b w:val="1"/>
                <w:bCs w:val="1"/>
                <w:color w:val="auto"/>
              </w:rPr>
              <w:t>Year Ended December 31, 2023</w:t>
            </w:r>
          </w:p>
        </w:tc>
      </w:tr>
      <w:tr>
        <w:trPr>
          <w:trHeight w:val="148"/>
        </w:trPr>
        <w:tc>
          <w:tcPr>
            <w:tcW w:w="6460" w:type="dxa"/>
            <w:vAlign w:val="bottom"/>
          </w:tcPr>
          <w:p>
            <w:pPr>
              <w:spacing w:after="0"/>
              <w:rPr>
                <w:sz w:val="12"/>
                <w:szCs w:val="12"/>
                <w:color w:val="auto"/>
              </w:rPr>
            </w:pPr>
          </w:p>
        </w:tc>
        <w:tc>
          <w:tcPr>
            <w:tcW w:w="2180" w:type="dxa"/>
            <w:vAlign w:val="bottom"/>
            <w:tcBorders>
              <w:top w:val="single" w:sz="8" w:color="auto"/>
            </w:tcBorders>
            <w:gridSpan w:val="2"/>
          </w:tcPr>
          <w:p>
            <w:pPr>
              <w:jc w:val="center"/>
              <w:ind w:right="220"/>
              <w:spacing w:after="0" w:line="148"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2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center"/>
              <w:ind w:right="164"/>
              <w:spacing w:after="0" w:line="148" w:lineRule="exact"/>
              <w:rPr>
                <w:sz w:val="20"/>
                <w:szCs w:val="20"/>
                <w:color w:val="auto"/>
              </w:rPr>
            </w:pPr>
            <w:r>
              <w:rPr>
                <w:rFonts w:ascii="Times New Roman" w:cs="Times New Roman" w:eastAsia="Times New Roman" w:hAnsi="Times New Roman"/>
                <w:sz w:val="15"/>
                <w:szCs w:val="15"/>
                <w:b w:val="1"/>
                <w:bCs w:val="1"/>
                <w:color w:val="auto"/>
              </w:rPr>
              <w:t>Weighted</w:t>
            </w:r>
          </w:p>
        </w:tc>
        <w:tc>
          <w:tcPr>
            <w:tcW w:w="100" w:type="dxa"/>
            <w:vAlign w:val="bottom"/>
          </w:tcPr>
          <w:p>
            <w:pPr>
              <w:spacing w:after="0"/>
              <w:rPr>
                <w:sz w:val="12"/>
                <w:szCs w:val="12"/>
                <w:color w:val="auto"/>
              </w:rPr>
            </w:pPr>
          </w:p>
        </w:tc>
      </w:tr>
      <w:tr>
        <w:trPr>
          <w:trHeight w:val="162"/>
        </w:trPr>
        <w:tc>
          <w:tcPr>
            <w:tcW w:w="6460" w:type="dxa"/>
            <w:vAlign w:val="bottom"/>
          </w:tcPr>
          <w:p>
            <w:pPr>
              <w:spacing w:after="0"/>
              <w:rPr>
                <w:sz w:val="14"/>
                <w:szCs w:val="14"/>
                <w:color w:val="auto"/>
              </w:rPr>
            </w:pPr>
          </w:p>
        </w:tc>
        <w:tc>
          <w:tcPr>
            <w:tcW w:w="21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restricted stock</w:t>
            </w:r>
          </w:p>
        </w:tc>
        <w:tc>
          <w:tcPr>
            <w:tcW w:w="220" w:type="dxa"/>
            <w:vAlign w:val="bottom"/>
          </w:tcPr>
          <w:p>
            <w:pPr>
              <w:spacing w:after="0"/>
              <w:rPr>
                <w:sz w:val="14"/>
                <w:szCs w:val="14"/>
                <w:color w:val="auto"/>
              </w:rPr>
            </w:pPr>
          </w:p>
        </w:tc>
        <w:tc>
          <w:tcPr>
            <w:tcW w:w="18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5"/>
                <w:szCs w:val="15"/>
                <w:b w:val="1"/>
                <w:bCs w:val="1"/>
                <w:color w:val="auto"/>
              </w:rPr>
              <w:t>average grant-date</w:t>
            </w:r>
          </w:p>
        </w:tc>
      </w:tr>
      <w:tr>
        <w:trPr>
          <w:trHeight w:val="197"/>
        </w:trPr>
        <w:tc>
          <w:tcPr>
            <w:tcW w:w="6460" w:type="dxa"/>
            <w:vAlign w:val="bottom"/>
          </w:tcPr>
          <w:p>
            <w:pPr>
              <w:spacing w:after="0"/>
              <w:rPr>
                <w:sz w:val="17"/>
                <w:szCs w:val="17"/>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units</w:t>
            </w:r>
          </w:p>
        </w:tc>
        <w:tc>
          <w:tcPr>
            <w:tcW w:w="22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fair value</w:t>
            </w:r>
          </w:p>
        </w:tc>
      </w:tr>
      <w:tr>
        <w:trPr>
          <w:trHeight w:val="18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Nonvested at beginning of year</w:t>
            </w:r>
          </w:p>
        </w:tc>
        <w:tc>
          <w:tcPr>
            <w:tcW w:w="1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9,127,051</w:t>
            </w:r>
          </w:p>
        </w:tc>
        <w:tc>
          <w:tcPr>
            <w:tcW w:w="2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00" w:type="dxa"/>
            <w:vAlign w:val="bottom"/>
            <w:shd w:val="clear" w:color="auto" w:fill="CFF0FC"/>
          </w:tcPr>
          <w:p>
            <w:pPr>
              <w:spacing w:after="0"/>
              <w:rPr>
                <w:sz w:val="15"/>
                <w:szCs w:val="15"/>
                <w:color w:val="auto"/>
              </w:rPr>
            </w:pPr>
          </w:p>
        </w:tc>
      </w:tr>
      <w:tr>
        <w:trPr>
          <w:trHeight w:val="189"/>
        </w:trPr>
        <w:tc>
          <w:tcPr>
            <w:tcW w:w="646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5,198,971</w:t>
            </w:r>
          </w:p>
        </w:tc>
        <w:tc>
          <w:tcPr>
            <w:tcW w:w="22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100" w:type="dxa"/>
            <w:vAlign w:val="bottom"/>
          </w:tcPr>
          <w:p>
            <w:pPr>
              <w:spacing w:after="0"/>
              <w:rPr>
                <w:sz w:val="16"/>
                <w:szCs w:val="16"/>
                <w:color w:val="auto"/>
              </w:rPr>
            </w:pPr>
          </w:p>
        </w:tc>
      </w:tr>
      <w:tr>
        <w:trPr>
          <w:trHeight w:val="189"/>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Vested</w:t>
            </w:r>
          </w:p>
        </w:tc>
        <w:tc>
          <w:tcPr>
            <w:tcW w:w="2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(3,190,804 )</w:t>
            </w: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100" w:type="dxa"/>
            <w:vAlign w:val="bottom"/>
            <w:shd w:val="clear" w:color="auto" w:fill="CFF0FC"/>
          </w:tcPr>
          <w:p>
            <w:pPr>
              <w:spacing w:after="0"/>
              <w:rPr>
                <w:sz w:val="16"/>
                <w:szCs w:val="16"/>
                <w:color w:val="auto"/>
              </w:rPr>
            </w:pPr>
          </w:p>
        </w:tc>
      </w:tr>
      <w:tr>
        <w:trPr>
          <w:trHeight w:val="189"/>
        </w:trPr>
        <w:tc>
          <w:tcPr>
            <w:tcW w:w="6460" w:type="dxa"/>
            <w:vAlign w:val="bottom"/>
          </w:tcPr>
          <w:p>
            <w:pPr>
              <w:spacing w:after="0"/>
              <w:rPr>
                <w:sz w:val="20"/>
                <w:szCs w:val="20"/>
                <w:color w:val="auto"/>
              </w:rPr>
            </w:pPr>
            <w:r>
              <w:rPr>
                <w:rFonts w:ascii="Times New Roman" w:cs="Times New Roman" w:eastAsia="Times New Roman" w:hAnsi="Times New Roman"/>
                <w:sz w:val="15"/>
                <w:szCs w:val="15"/>
                <w:color w:val="auto"/>
              </w:rPr>
              <w:t>Forfeited</w:t>
            </w:r>
          </w:p>
        </w:tc>
        <w:tc>
          <w:tcPr>
            <w:tcW w:w="2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(2,150,391 )</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100" w:type="dxa"/>
            <w:vAlign w:val="bottom"/>
          </w:tcPr>
          <w:p>
            <w:pPr>
              <w:spacing w:after="0"/>
              <w:rPr>
                <w:sz w:val="16"/>
                <w:szCs w:val="16"/>
                <w:color w:val="auto"/>
              </w:rPr>
            </w:pPr>
          </w:p>
        </w:tc>
      </w:tr>
      <w:tr>
        <w:trPr>
          <w:trHeight w:val="183"/>
        </w:trPr>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Nonvested at end of year</w:t>
            </w: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8,984,827</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-8255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fair value of RSUs vested during the year ended December 31, 2023 was $5.0 million ($3.7 million and $1.1 million for the years ended December 31, 2022 and 2021, respectively)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$11.0 million of total unrecognized compensation cost related to non-vested RSUs that are expected to be recognized over a period of up to 4.2 years.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share-based compensation expense related to stock options and RSUs included in the respective components of operating expenses in the consolidated statement of operations:</w:t>
      </w:r>
    </w:p>
    <w:p>
      <w:pPr>
        <w:spacing w:after="0" w:line="115" w:lineRule="exact"/>
        <w:rPr>
          <w:sz w:val="20"/>
          <w:szCs w:val="20"/>
          <w:color w:val="auto"/>
        </w:rPr>
      </w:pPr>
    </w:p>
    <w:tbl>
      <w:tblPr>
        <w:tblLayout w:type="fixed"/>
        <w:tblInd w:w="18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r>
      <w:tr>
        <w:trPr>
          <w:trHeight w:val="23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20" w:type="dxa"/>
            <w:vAlign w:val="bottom"/>
            <w:shd w:val="clear" w:color="auto" w:fill="CFF0FC"/>
          </w:tcPr>
          <w:p>
            <w:pPr>
              <w:spacing w:after="0"/>
              <w:rPr>
                <w:sz w:val="20"/>
                <w:szCs w:val="20"/>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Operations, net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20" w:type="dxa"/>
            <w:vAlign w:val="bottom"/>
          </w:tcPr>
          <w:p>
            <w:pPr>
              <w:spacing w:after="0"/>
              <w:rPr>
                <w:sz w:val="20"/>
                <w:szCs w:val="20"/>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20" w:type="dxa"/>
            <w:vAlign w:val="bottom"/>
            <w:shd w:val="clear" w:color="auto" w:fill="CFF0FC"/>
          </w:tcPr>
          <w:p>
            <w:pPr>
              <w:spacing w:after="0"/>
              <w:rPr>
                <w:sz w:val="21"/>
                <w:szCs w:val="2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16,503</w:t>
            </w:r>
          </w:p>
        </w:tc>
        <w:tc>
          <w:tcPr>
            <w:tcW w:w="120" w:type="dxa"/>
            <w:vAlign w:val="bottom"/>
          </w:tcPr>
          <w:p>
            <w:pPr>
              <w:spacing w:after="0"/>
              <w:rPr>
                <w:sz w:val="20"/>
                <w:szCs w:val="20"/>
                <w:color w:val="auto"/>
              </w:rPr>
            </w:pPr>
          </w:p>
        </w:tc>
      </w:tr>
      <w:tr>
        <w:trPr>
          <w:trHeight w:val="277"/>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27,405</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-8255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$15.2 million in additional share-based compensation expense during the year ended December 31, 2021 as a result of the Business Combination. Additionally, the Company recognized $3.8 million in share-based compensation expense as a result of the modification of Mr. and Ms. Frank's equity awards during the year ended December 31, 2021, in connection with their departure from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NET LOSS PER SHARE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for the years ended December 31, 2023, 2022 and 2021:</w:t>
      </w:r>
    </w:p>
    <w:p>
      <w:pPr>
        <w:spacing w:after="0" w:line="61"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5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(19,182 )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(79,672 )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(62,742 )</w:t>
            </w:r>
          </w:p>
        </w:tc>
      </w:tr>
      <w:tr>
        <w:trPr>
          <w:trHeight w:val="23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Basic and diluted</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165,039,920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156,885,256</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86,775,948</w:t>
            </w: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Basic and diluted</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(0.12 )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(0.51 )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(0.72 )</w:t>
            </w:r>
          </w:p>
        </w:tc>
      </w:tr>
      <w:tr>
        <w:trPr>
          <w:trHeight w:val="20"/>
        </w:trPr>
        <w:tc>
          <w:tcPr>
            <w:tcW w:w="58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-8255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03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-8255</wp:posOffset>
            </wp:positionV>
            <wp:extent cx="596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following were excluded from the calculation of diluted loss per share since each would have had an anti-dilutive effect given the Company’s net loss: 10,558,573 stock options, 8,984,827 restricted stock units, 12,780,000 Private Placement Warrants and 21,350,000 Public Warrants to purchase the Company’s common stock.</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the following were excluded from the calculation of diluted loss per share since each would have had an anti-dilutive effect given the Company’s net loss: 17,526,326 stock options, 9,127,051 restricted stock units, 12,780,000 Private Placement Warrants and 21,350,000 Public Warrants to purchase the Company’s common stock.</w:t>
      </w:r>
    </w:p>
    <w:p>
      <w:pPr>
        <w:sectPr>
          <w:pgSz w:w="11900" w:h="16838" w:orient="portrait"/>
          <w:cols w:equalWidth="0" w:num="1">
            <w:col w:w="11240"/>
          </w:cols>
          <w:pgMar w:left="320" w:top="769"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the following were excluded from the calculation of diluted loss per share since each would have had an anti-dilutive effect given the Company’s net loss: 19,494,861 stock options, 2,330,094 restricted stock units, 12,780,000 Private Placement Warrants and 21,350,000 Public Warrants to purchase the Company's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TAXES ON INCOME</w:t>
      </w:r>
    </w:p>
    <w:p>
      <w:pPr>
        <w:spacing w:after="0" w:line="175"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U.S. federal, and various states and foreign jurisdictions. The Company assessed its uncertain tax positions and determined that it has no uncertain tax positions at December 31,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Company’s statutory income tax rate to the Company’s effective income tax rate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53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(18,964 )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(79,418 )</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(62,695 )</w:t>
            </w:r>
          </w:p>
        </w:tc>
        <w:tc>
          <w:tcPr>
            <w:tcW w:w="60" w:type="dxa"/>
            <w:vAlign w:val="bottom"/>
          </w:tcPr>
          <w:p>
            <w:pPr>
              <w:spacing w:after="0"/>
              <w:rPr>
                <w:sz w:val="20"/>
                <w:szCs w:val="20"/>
                <w:color w:val="auto"/>
              </w:rPr>
            </w:pPr>
          </w:p>
        </w:tc>
      </w:tr>
      <w:tr>
        <w:trPr>
          <w:trHeight w:val="23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tax rate</w:t>
            </w:r>
          </w:p>
        </w:tc>
        <w:tc>
          <w:tcPr>
            <w:tcW w:w="42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21 %</w:t>
            </w:r>
          </w:p>
        </w:tc>
        <w:tc>
          <w:tcPr>
            <w:tcW w:w="260" w:type="dxa"/>
            <w:vAlign w:val="bottom"/>
          </w:tcPr>
          <w:p>
            <w:pPr>
              <w:spacing w:after="0"/>
              <w:rPr>
                <w:sz w:val="20"/>
                <w:szCs w:val="20"/>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21 %</w:t>
            </w:r>
          </w:p>
        </w:tc>
        <w:tc>
          <w:tcPr>
            <w:tcW w:w="42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47"/>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taxes</w:t>
            </w:r>
          </w:p>
        </w:tc>
        <w:tc>
          <w:tcPr>
            <w:tcW w:w="4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(3,982 )</w:t>
            </w:r>
          </w:p>
        </w:tc>
        <w:tc>
          <w:tcPr>
            <w:tcW w:w="26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(16,678 )</w:t>
            </w:r>
          </w:p>
        </w:tc>
        <w:tc>
          <w:tcPr>
            <w:tcW w:w="4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(13,166 )</w:t>
            </w:r>
          </w:p>
        </w:tc>
        <w:tc>
          <w:tcPr>
            <w:tcW w:w="60" w:type="dxa"/>
            <w:vAlign w:val="bottom"/>
          </w:tcPr>
          <w:p>
            <w:pPr>
              <w:spacing w:after="0"/>
              <w:rPr>
                <w:sz w:val="21"/>
                <w:szCs w:val="21"/>
                <w:color w:val="auto"/>
              </w:rPr>
            </w:pPr>
          </w:p>
        </w:tc>
      </w:tr>
      <w:tr>
        <w:trPr>
          <w:trHeight w:val="23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effective tax rate due to:</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(4,079 )</w:t>
            </w:r>
          </w:p>
        </w:tc>
        <w:tc>
          <w:tcPr>
            <w:tcW w:w="4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(2,500 )</w:t>
            </w:r>
          </w:p>
        </w:tc>
        <w:tc>
          <w:tcPr>
            <w:tcW w:w="60" w:type="dxa"/>
            <w:vAlign w:val="bottom"/>
          </w:tcPr>
          <w:p>
            <w:pPr>
              <w:spacing w:after="0"/>
              <w:rPr>
                <w:sz w:val="21"/>
                <w:szCs w:val="21"/>
                <w:color w:val="auto"/>
              </w:rPr>
            </w:pPr>
          </w:p>
        </w:tc>
      </w:tr>
      <w:tr>
        <w:trPr>
          <w:trHeight w:val="23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420" w:type="dxa"/>
            <w:vAlign w:val="bottom"/>
          </w:tcPr>
          <w:p>
            <w:pPr>
              <w:spacing w:after="0"/>
              <w:rPr>
                <w:sz w:val="20"/>
                <w:szCs w:val="20"/>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7"/>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(1,492 )</w:t>
            </w:r>
          </w:p>
        </w:tc>
        <w:tc>
          <w:tcPr>
            <w:tcW w:w="60" w:type="dxa"/>
            <w:vAlign w:val="bottom"/>
          </w:tcPr>
          <w:p>
            <w:pPr>
              <w:spacing w:after="0"/>
              <w:rPr>
                <w:sz w:val="21"/>
                <w:szCs w:val="21"/>
                <w:color w:val="auto"/>
              </w:rPr>
            </w:pPr>
          </w:p>
        </w:tc>
      </w:tr>
      <w:tr>
        <w:trPr>
          <w:trHeight w:val="23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420" w:type="dxa"/>
            <w:vAlign w:val="bottom"/>
          </w:tcPr>
          <w:p>
            <w:pPr>
              <w:spacing w:after="0"/>
              <w:rPr>
                <w:sz w:val="20"/>
                <w:szCs w:val="20"/>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(373 )</w:t>
            </w:r>
          </w:p>
        </w:tc>
        <w:tc>
          <w:tcPr>
            <w:tcW w:w="26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(6,669 )</w:t>
            </w: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4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3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26,309</w:t>
            </w: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17,111</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income taxes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0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5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-187960</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-187960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income before taxes is attributable to the following tax jurisdictions: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45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operations</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(19,576 )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(79,788 )</w:t>
            </w: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(62,902 )</w:t>
            </w:r>
          </w:p>
        </w:tc>
      </w:tr>
      <w:tr>
        <w:trPr>
          <w:trHeight w:val="23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operations</w:t>
            </w: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0"/>
                <w:szCs w:val="20"/>
                <w:color w:val="auto"/>
              </w:rPr>
            </w:pPr>
          </w:p>
        </w:tc>
      </w:tr>
      <w:tr>
        <w:trPr>
          <w:trHeight w:val="257"/>
        </w:trPr>
        <w:tc>
          <w:tcPr>
            <w:tcW w:w="4540" w:type="dxa"/>
            <w:vAlign w:val="bottom"/>
            <w:shd w:val="clear" w:color="auto" w:fill="CFF0FC"/>
          </w:tcPr>
          <w:p>
            <w:pPr>
              <w:spacing w:after="0"/>
              <w:rPr>
                <w:sz w:val="22"/>
                <w:szCs w:val="22"/>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(18,964 )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(79,418 )</w:t>
            </w: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(62,695 )</w:t>
            </w: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-24765</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-8255</wp:posOffset>
            </wp:positionV>
            <wp:extent cx="774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-8255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40" w:type="dxa"/>
            <w:vAlign w:val="bottom"/>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70,701</w:t>
            </w:r>
          </w:p>
        </w:tc>
        <w:tc>
          <w:tcPr>
            <w:tcW w:w="26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64,644</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100" w:type="dxa"/>
            <w:vAlign w:val="bottom"/>
            <w:shd w:val="clear" w:color="auto" w:fill="CFF0FC"/>
          </w:tcPr>
          <w:p>
            <w:pPr>
              <w:spacing w:after="0"/>
              <w:rPr>
                <w:sz w:val="21"/>
                <w:szCs w:val="21"/>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Fixed assets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0"/>
                <w:szCs w:val="20"/>
                <w:color w:val="auto"/>
              </w:rPr>
            </w:pPr>
          </w:p>
        </w:tc>
      </w:tr>
      <w:tr>
        <w:trPr>
          <w:trHeight w:val="243"/>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Total gross deferred tax assets, net</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74,016</w:t>
            </w: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70,616</w:t>
            </w:r>
          </w:p>
        </w:tc>
        <w:tc>
          <w:tcPr>
            <w:tcW w:w="100" w:type="dxa"/>
            <w:vAlign w:val="bottom"/>
          </w:tcPr>
          <w:p>
            <w:pPr>
              <w:spacing w:after="0"/>
              <w:rPr>
                <w:sz w:val="20"/>
                <w:szCs w:val="20"/>
                <w:color w:val="auto"/>
              </w:rPr>
            </w:pPr>
          </w:p>
        </w:tc>
      </w:tr>
      <w:tr>
        <w:trPr>
          <w:trHeight w:val="241"/>
        </w:trPr>
        <w:tc>
          <w:tcPr>
            <w:tcW w:w="73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Valuation allowance</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(74,016 )</w:t>
            </w:r>
          </w:p>
        </w:tc>
        <w:tc>
          <w:tcPr>
            <w:tcW w:w="52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(70,616 )</w:t>
            </w:r>
          </w:p>
        </w:tc>
      </w:tr>
      <w:tr>
        <w:trPr>
          <w:trHeight w:val="239"/>
        </w:trPr>
        <w:tc>
          <w:tcPr>
            <w:tcW w:w="73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Net deferred tax assets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 (long term):</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Warrants</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7320" w:type="dxa"/>
            <w:vAlign w:val="bottom"/>
            <w:tcBorders>
              <w:bottom w:val="single" w:sz="8" w:color="CFF0FC"/>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Net deferred tax assets</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-976630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300"/>
          </w:cols>
          <w:pgMar w:left="320" w:top="76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9" w:right="27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Realization of the future tax benefits is dependent on the Company’s ability to generate sufficient taxable income within the carryforward period. A valuation allowance is provided for deferred tax assets when it is “more likely than not” that some portion of the deferred tax asset will not be realized. Because of the Company’s recent history of operating losses, management believes the recognition of the deferred tax assets arising from the above-mentioned future tax benefits is currently not more likely than not to be realized and, accordingly, has provided a full valuation allowance. A valuation allowance has been recorded for the net deferred tax assets at December 31, 2023 and 2022.</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maintains a full valuation allowance on its net deferred tax assets. The assessment regarding whether a valuation allowance is required considers both positive and negative evidence when determining whether it is more likely than not that deferred tax assets are recoverable. In making this assessment, significant weight is given to evidence that can be objectively verified. Management considered the Company’s cumulative loss in recent years and forecasted losses in the near term as significant negative evidence. Based upon a review of the four sources of income identified within ASC 740, management determined that the negative evidence outweighed the positive evidence and that a full valuation allowance on the net deferred tax assets will be maintained. Management will continue to assess the realizability of our deferred tax assets going forward and will adjust the valuation allowance as needed. The Company’s valuation allowance increased by $3.4 million during the year ended December 31, 2023 primarily due to increases in its net operating loss carryforwards.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2023, the Company has federal and state net operating loss carryovers (“NOL”) of approximately $282.5 million and $246.9 million, respectively, which are available to reduce future taxable income. The NOL carryforwards begin to expire in 2032 and may become subject to annual limitation in the event of certain cumulative changes in the ownership interest of significant stockholders over a three-year period in excess of 50%, as defined under I.R.C. Section 382. This could limit the amount of tax attributes that can be utilized annually to offset future taxable income or future tax liabilities. The federal losses generated from 2018 onward do not expire.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U.S. federal and state and Israeli income taxes with varying statutes of limitations. The Company is not currently under examination by any income tax authority, nor has it been notified that an examination is contemplated. The Company is no longer subject to U.S. federal, state or local income tax examinations by the tax authorities for years before 2019. The Israel subsidiary tax assessments filed by the Company through the year 2017 are considered closed.</w:t>
      </w:r>
    </w:p>
    <w:p>
      <w:pPr>
        <w:spacing w:after="0" w:line="284" w:lineRule="exact"/>
        <w:rPr>
          <w:sz w:val="20"/>
          <w:szCs w:val="20"/>
          <w:color w:val="auto"/>
        </w:rPr>
      </w:pPr>
    </w:p>
    <w:p>
      <w:pPr>
        <w:ind w:right="5320"/>
        <w:spacing w:after="0" w:line="504" w:lineRule="auto"/>
        <w:rPr>
          <w:sz w:val="20"/>
          <w:szCs w:val="20"/>
          <w:color w:val="auto"/>
        </w:rPr>
      </w:pPr>
      <w:r>
        <w:rPr>
          <w:rFonts w:ascii="Times New Roman" w:cs="Times New Roman" w:eastAsia="Times New Roman" w:hAnsi="Times New Roman"/>
          <w:sz w:val="17"/>
          <w:szCs w:val="17"/>
          <w:b w:val="1"/>
          <w:bCs w:val="1"/>
          <w:color w:val="auto"/>
        </w:rPr>
        <w:t xml:space="preserve">NOTE 11. ACCRUED EXPENSES AND OTHER CURRENT LIABILITIES </w:t>
      </w:r>
      <w:r>
        <w:rPr>
          <w:rFonts w:ascii="Times New Roman" w:cs="Times New Roman" w:eastAsia="Times New Roman" w:hAnsi="Times New Roman"/>
          <w:sz w:val="17"/>
          <w:szCs w:val="17"/>
          <w:color w:val="auto"/>
        </w:rPr>
        <w:t>Accrued expenses and other current liabilities are comprised of the following:</w:t>
      </w:r>
    </w:p>
    <w:tbl>
      <w:tblPr>
        <w:tblLayout w:type="fixed"/>
        <w:tblInd w:w="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 compensation</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96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00" w:type="dxa"/>
            <w:vAlign w:val="bottom"/>
            <w:shd w:val="clear" w:color="auto" w:fill="CFF0FC"/>
          </w:tcPr>
          <w:p>
            <w:pPr>
              <w:spacing w:after="0"/>
              <w:rPr>
                <w:sz w:val="20"/>
                <w:szCs w:val="20"/>
                <w:color w:val="auto"/>
              </w:rPr>
            </w:pPr>
          </w:p>
        </w:tc>
      </w:tr>
      <w:tr>
        <w:trPr>
          <w:trHeight w:val="239"/>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User acquisition</w:t>
            </w:r>
          </w:p>
        </w:tc>
        <w:tc>
          <w:tcPr>
            <w:tcW w:w="5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Pr>
          <w:p>
            <w:pPr>
              <w:spacing w:after="0"/>
              <w:rPr>
                <w:sz w:val="20"/>
                <w:szCs w:val="20"/>
                <w:color w:val="auto"/>
              </w:rPr>
            </w:pPr>
          </w:p>
        </w:tc>
      </w:tr>
      <w:tr>
        <w:trPr>
          <w:trHeight w:val="247"/>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5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FF0FC"/>
          </w:tcPr>
          <w:p>
            <w:pPr>
              <w:spacing w:after="0"/>
              <w:rPr>
                <w:sz w:val="21"/>
                <w:szCs w:val="21"/>
                <w:color w:val="auto"/>
              </w:rPr>
            </w:pPr>
          </w:p>
        </w:tc>
      </w:tr>
      <w:tr>
        <w:trPr>
          <w:trHeight w:val="239"/>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 costs</w:t>
            </w:r>
          </w:p>
        </w:tc>
        <w:tc>
          <w:tcPr>
            <w:tcW w:w="5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20"/>
                <w:szCs w:val="20"/>
                <w:color w:val="auto"/>
              </w:rPr>
            </w:pPr>
          </w:p>
        </w:tc>
      </w:tr>
      <w:tr>
        <w:trPr>
          <w:trHeight w:val="243"/>
        </w:trPr>
        <w:tc>
          <w:tcPr>
            <w:tcW w:w="6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3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16,502</w:t>
            </w:r>
          </w:p>
        </w:tc>
        <w:tc>
          <w:tcPr>
            <w:tcW w:w="100" w:type="dxa"/>
            <w:vAlign w:val="bottom"/>
          </w:tcPr>
          <w:p>
            <w:pPr>
              <w:spacing w:after="0"/>
              <w:rPr>
                <w:sz w:val="20"/>
                <w:szCs w:val="20"/>
                <w:color w:val="auto"/>
              </w:rPr>
            </w:pPr>
          </w:p>
        </w:tc>
      </w:tr>
      <w:tr>
        <w:trPr>
          <w:trHeight w:val="20"/>
        </w:trPr>
        <w:tc>
          <w:tcPr>
            <w:tcW w:w="6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-187960</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VARIABLE INTEREST ENTITIES ("VIEs")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second quarter of 2022, the Company completed a transition with respect to its relationship with its providers, transitioning to a structure whereby Talkspace LLC has entered into various agreements with a Texas professional association entity (Talkspace Provider Network, PA or “TPN”), which in turn contracts with our other affiliated professional entities ("PC entities"), physicians, therapists, and other licensed professionals for clinical and professional services provided to the Company's members. Talkspace LLC is party to various Management Services Agreements (“MSAs”) with TPN as well the PC entities as part of this transition. The Company believes the transition to a structure where it operates under various MSAs with professional associations and professional corporations authorized by state law to contract with affiliated professionals to delivery teletherapy services to its members, helps ensure the Company is able to comply with all applicable regulatory requirements, including the corporate practice of medicine and fee-splitting laws, that are necessarily implicated by engaging in telehealth care that can only be delivered by physicians. The Company is continuing to transition its current agreements with its clients, members and other business partners to TPN or the PC entities, where applicable.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MSAs, Talkspace LLC is the managing entity (the “Manager”) and provides management and administrative resources and services essential to the operations of TPN and the PC entities and receives a management fee for these services and reimbursement of expenses incurred. TPN and the PC entities in turn have the obligation under the MSAs to engage all licensed physicians and other health professionals to provide behavioral healthcare services to the Company's members. In addition, to the extent that TPN or the PC entities lack sufficient funds to meet their obligations, the Manager may, at its sole discretion, advance funds to TPN or the PC entities to cover these obligations. Such advances would be considered loans made by Manager and should be repaid as per the terms of the management agreement. No such advances have been made by the Manager to TPN or the PC entities for years ended December 31, 2023 and 2022.</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holds a variable interest in TPN and the PC entities. The Company evaluates whether an entity in which it has a variable interest is considered a VIE. VIEs are generally entities that have either a total equity investment that is insufficient to permit the entity to finance its activities without additional subordinated financial support, or whose equity investors lack the characteristics of a controlling financial interest (i.e., ability to direct the activities of the entity that most significantly impact the entity's economic performance through voting rights and a right to receive the expected residual returns of the entity or an obligation to absorb the expected losses of the entity).</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provisions of ASC 810, “Consolidation”, an entity consolidates a VIE if it is determined to be the primary beneficiary of the VIE. The primary beneficiary has both (a) the power to direct the activities of the VIE that most significantly impact the entity’s economic performance, and (b) the obligation to absorb losses or the right to receive benefits from the VIE that could potentially be significant to the VIE.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determined that it is able to direct the activities of TPN and the PC entities that most significantly impact their economic performance and it funds and absorbs all losses of these VIEs resulting in the Company being the primary beneficiary of these entities. Accordingly, the Company consolidates these VIEs.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assets and liabilities of the VIEs as of December 31, 2023 and 2022. The assets and liabilities in the table below are presented prior to consolidation and thus a portion of these assets and liabilities are eliminated in consolidation.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6"/>
                <w:szCs w:val="16"/>
                <w:color w:val="auto"/>
              </w:rPr>
            </w:pPr>
          </w:p>
        </w:tc>
        <w:tc>
          <w:tcPr>
            <w:tcW w:w="17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7"/>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shd w:val="clear" w:color="auto" w:fill="CFF0FC"/>
          </w:tcPr>
          <w:p>
            <w:pPr>
              <w:spacing w:after="0"/>
              <w:rPr>
                <w:sz w:val="20"/>
                <w:szCs w:val="20"/>
                <w:color w:val="auto"/>
              </w:rPr>
            </w:pPr>
          </w:p>
        </w:tc>
        <w:tc>
          <w:tcPr>
            <w:tcW w:w="170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20"/>
                <w:szCs w:val="20"/>
                <w:color w:val="auto"/>
              </w:rPr>
            </w:pPr>
          </w:p>
        </w:tc>
      </w:tr>
      <w:tr>
        <w:trPr>
          <w:trHeight w:val="247"/>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shd w:val="clear" w:color="auto" w:fill="CFF0FC"/>
          </w:tcPr>
          <w:p>
            <w:pPr>
              <w:spacing w:after="0"/>
              <w:rPr>
                <w:sz w:val="21"/>
                <w:szCs w:val="21"/>
                <w:color w:val="auto"/>
              </w:rPr>
            </w:pPr>
          </w:p>
        </w:tc>
      </w:tr>
      <w:tr>
        <w:trPr>
          <w:trHeight w:val="23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00" w:type="dxa"/>
            <w:vAlign w:val="bottom"/>
          </w:tcPr>
          <w:p>
            <w:pPr>
              <w:spacing w:after="0"/>
              <w:rPr>
                <w:sz w:val="20"/>
                <w:szCs w:val="20"/>
                <w:color w:val="auto"/>
              </w:rPr>
            </w:pPr>
          </w:p>
        </w:tc>
      </w:tr>
      <w:tr>
        <w:trPr>
          <w:trHeight w:val="281"/>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15,691</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100" w:type="dxa"/>
            <w:vAlign w:val="bottom"/>
            <w:shd w:val="clear" w:color="auto" w:fill="CFF0FC"/>
          </w:tcPr>
          <w:p>
            <w:pPr>
              <w:spacing w:after="0"/>
              <w:rPr>
                <w:sz w:val="24"/>
                <w:szCs w:val="24"/>
                <w:color w:val="auto"/>
              </w:rPr>
            </w:pPr>
          </w:p>
        </w:tc>
      </w:tr>
      <w:tr>
        <w:trPr>
          <w:trHeight w:val="219"/>
        </w:trPr>
        <w:tc>
          <w:tcPr>
            <w:tcW w:w="6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6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00" w:type="dxa"/>
            <w:vAlign w:val="bottom"/>
          </w:tcPr>
          <w:p>
            <w:pPr>
              <w:spacing w:after="0"/>
              <w:rPr>
                <w:sz w:val="20"/>
                <w:szCs w:val="20"/>
                <w:color w:val="auto"/>
              </w:rPr>
            </w:pPr>
          </w:p>
        </w:tc>
      </w:tr>
      <w:tr>
        <w:trPr>
          <w:trHeight w:val="20"/>
        </w:trPr>
        <w:tc>
          <w:tcPr>
            <w:tcW w:w="6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-521970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-504825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-187960</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22, 2024, the Company announced that its Board of Directors has approved a share repurchase program which authorizes the repurchase of up to $15 million of the currently outstanding shares of the Company’s common stock over a period of twenty-four months beginning on March 1, 2024 (the “Repurchase Program”). Under the Repurchase Program, the Company may repurchase shares through various methods, including open market purchases and privately-negotiated transactions, or otherwise in accordance with applicable federal securities laws, including Rule 10b-18 of the Securities Exchange Act of 1934 (the “Exchange Act”). Such purchases will be at times and in amounts as the Company deems appropriate, based on factors such as price, market conditions, corporate and regulatory requirements, constraints specified in any Rule 10b5-1 trading plans, alternative investment opportunities and other business considerations.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Repurchase Program does not obligate the Company to repurchase any dollar amount or number of shares, and may be suspended or terminated at any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1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preparation of this report, an evaluation was carried out by certain members of Company management, with the participation of the Chief Executive Officer and our Chief Financial Officer of the effectiveness of the Company’s disclosure controls and procedures (as defined in Securities and Exchange Commission’s (“SEC”) Rules 13a-15(e) and 15d-15(e) under the Securities Exchange Act of 1934, as amended (“Exchange Act”)), as of December 31, 2023. Disclosure controls and procedures are designed to ensure that information required to be disclosed in reports filed or submitted under the Exchange Act is recorded, processed, summarized, and reported within the time periods specified in the SEC’s rules and forms, and that such information is accumulated and communicated to management, including the Chief Executive Officer and the Chief Financial Officer, to allow timely decisions regarding required disclosures. Based upon that evaluation, our management concluded that our internal control over financial reporting was effective as of December 31, 2023.</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also believes that the consolidated financial statements in this Annual Report on Form 10-K present, in all material aspects, the company’s financial condition as reported, in conformity with U.S. Generally Accepted Accounting Principles (“US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 and includes those policies and procedures that: (1) pertain to the maintenance of records that in reasonable detail accurately and fairly reflect our transactions and the dispositions of our assets; (2) provide reasonable assurance that our transactions are recorded as necessary to permit preparation of financial statements in accordance with generally accepted accounting principles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consolidated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of and with the participation of our management, including our Chief Executive Officer and Chief Financial Officer, we assessed the effectiveness of our internal control over financial reporting as of December 31, 2023, using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Based upon that evaluation, our management concluded that our internal control over financial reporting was effective as of December 31, 2023.</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Kost Forer Gabbay &amp; Kasierer, A Member of EY Global, which audited our consolidated financial statements included in this Form 10-K, has audited the effectiveness of the Company’s internal control over financial reporting as of December 31, 2023, and has issued an attestation, which appears in their report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reported in Item 9A of our Annual Report on Form 10-K for the fiscal year ended December 31, 2022, as of that fiscal year-end, we had ineffective controls with respect to certain information technology general controls (ITGCs) and, as a result, certain business process controls (automated and IT-dependent manual controls) that were dependent on the ineffective ITGCs, or that use data produced from systems impacted by the ineffective ITGCs, were deemed ineffective.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had a material weakness in connection with our process to monitor and provide oversight over the testing and assessment of the design and operating effectiveness of internal control over financial reporting in a timely manner.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reported, we have over time been implementing improvements to our control system with the goal of remediating these material weaknesses in internal control over financial reporting by December 31, 2023. During the fiscal quarter ended December 31, 2023, we completed our remediation plan. As a result, management has determined that, as of December 31, 2023, there are no longer any material weaknesses in our internal control over financial reporting. Among the aggregate improvements we have made, we have:</w:t>
      </w:r>
    </w:p>
    <w:p>
      <w:pPr>
        <w:spacing w:after="0" w:line="7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additional personnel with appropriate technical skill sets;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 execution plan and resourcing to test controls and providing timely feedback of any deficiencies noted to complete and maintain remediation;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training program for the entire organization to support ongoing execution of internal controls and adherence to control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monitored (and continue to monitor) corrective actions and providing status reporting to leadership on the progress.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aggregate effect of the foregoing improvements and after testing both the design and operating effectiveness of the redesigned controls, management has determined that, as of December 31, 2023, our previously reported material weaknesses in internal control over financial reporting have been remediated.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fiscal quarter ended December 31, 2023, no director or officer of the Company adopted or terminated a “Rule 10b5-1 trading arrangement” or “non-Rule 10b5-1 trading arrangement,” as the terms are defined in Item 408(a) of Regulation S-K.</w:t>
      </w:r>
    </w:p>
    <w:p>
      <w:pPr>
        <w:spacing w:after="0" w:line="266" w:lineRule="exact"/>
        <w:rPr>
          <w:sz w:val="20"/>
          <w:szCs w:val="20"/>
          <w:color w:val="auto"/>
        </w:rPr>
      </w:pPr>
    </w:p>
    <w:p>
      <w:pPr>
        <w:ind w:right="314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which will be filed with the SEC no later than 120 days after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which will be filed with the SEC no later than 120 days after December 31, 2023.</w:t>
      </w:r>
    </w:p>
    <w:p>
      <w:pPr>
        <w:spacing w:after="0" w:line="26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which will be filed with the SEC no later than 120 days after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which will be filed with the SEC no later than 120 days after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which will be filed with the SEC no later than 120 days after December 31, 2023.</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w:t>
      </w:r>
    </w:p>
    <w:p>
      <w:pPr>
        <w:spacing w:after="0" w:line="117" w:lineRule="exact"/>
        <w:rPr>
          <w:sz w:val="20"/>
          <w:szCs w:val="20"/>
          <w:color w:val="auto"/>
        </w:rPr>
      </w:pPr>
    </w:p>
    <w:p>
      <w:pPr>
        <w:ind w:left="1400" w:hanging="374"/>
        <w:spacing w:after="0" w:line="282" w:lineRule="auto"/>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Financial Statements are listed in the Index to Consolidated Financial Statements and Supplemental Data filed as part of this Form 10-K. See Item 8 (pages 60 to 78)</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Not Applicable</w:t>
      </w:r>
    </w:p>
    <w:p>
      <w:pPr>
        <w:spacing w:after="0" w:line="99" w:lineRule="exact"/>
        <w:rPr>
          <w:sz w:val="20"/>
          <w:szCs w:val="20"/>
          <w:color w:val="auto"/>
        </w:rPr>
      </w:pPr>
    </w:p>
    <w:p>
      <w:pPr>
        <w:ind w:left="1400" w:hanging="374"/>
        <w:spacing w:after="0" w:line="282" w:lineRule="auto"/>
        <w:tabs>
          <w:tab w:leader="none" w:pos="14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which are filed with this Form 10-K or are incorporated herein by reference are set forth in the Exhibit Index (pages 83 to 84)</w:t>
      </w:r>
    </w:p>
    <w:p>
      <w:pPr>
        <w:spacing w:after="0" w:line="16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See the Exhibit Index included hereinafter on pages 83 to 84</w:t>
      </w:r>
    </w:p>
    <w:p>
      <w:pPr>
        <w:spacing w:after="0" w:line="207" w:lineRule="exact"/>
        <w:rPr>
          <w:sz w:val="20"/>
          <w:szCs w:val="20"/>
          <w:color w:val="auto"/>
        </w:rPr>
      </w:pPr>
    </w:p>
    <w:p>
      <w:pPr>
        <w:ind w:left="900" w:right="4620" w:hanging="383"/>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excluded from the annual report to stockholders None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Incorporated by Reference</w:t>
            </w:r>
          </w:p>
        </w:tc>
        <w:tc>
          <w:tcPr>
            <w:tcW w:w="540" w:type="dxa"/>
            <w:vAlign w:val="bottom"/>
            <w:tcBorders>
              <w:bottom w:val="single" w:sz="8" w:color="auto"/>
            </w:tcBorders>
          </w:tcPr>
          <w:p>
            <w:pPr>
              <w:spacing w:after="0"/>
              <w:rPr>
                <w:sz w:val="17"/>
                <w:szCs w:val="17"/>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54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40" w:type="dxa"/>
            <w:vAlign w:val="bottom"/>
            <w:vMerge w:val="restart"/>
          </w:tcPr>
          <w:p>
            <w:pPr>
              <w:jc w:val="center"/>
              <w:ind w:left="87"/>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87"/>
        </w:trPr>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3"/>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gridSpan w:val="2"/>
          </w:tcPr>
          <w:p>
            <w:pPr>
              <w:jc w:val="right"/>
              <w:ind w:right="480"/>
              <w:spacing w:after="0" w:line="155" w:lineRule="exact"/>
              <w:rPr>
                <w:rFonts w:ascii="Times New Roman" w:cs="Times New Roman" w:eastAsia="Times New Roman" w:hAnsi="Times New Roman"/>
                <w:sz w:val="16"/>
                <w:szCs w:val="16"/>
                <w:color w:val="0000FF"/>
                <w:w w:val="96"/>
              </w:rPr>
            </w:pPr>
            <w:hyperlink r:id="rId300">
              <w:r>
                <w:rPr>
                  <w:rFonts w:ascii="Times New Roman" w:cs="Times New Roman" w:eastAsia="Times New Roman" w:hAnsi="Times New Roman"/>
                  <w:sz w:val="16"/>
                  <w:szCs w:val="16"/>
                  <w:color w:val="0000FF"/>
                  <w:w w:val="96"/>
                </w:rPr>
                <w:t>2.</w:t>
              </w:r>
              <w:r>
                <w:rPr>
                  <w:rFonts w:ascii="Times New Roman" w:cs="Times New Roman" w:eastAsia="Times New Roman" w:hAnsi="Times New Roman"/>
                  <w:sz w:val="16"/>
                  <w:szCs w:val="16"/>
                  <w:u w:val="single" w:color="auto"/>
                  <w:color w:val="0000FF"/>
                  <w:w w:val="96"/>
                </w:rPr>
                <w:t>1</w:t>
              </w:r>
            </w:hyperlink>
            <w:r>
              <w:rPr>
                <w:rFonts w:ascii="Times New Roman" w:cs="Times New Roman" w:eastAsia="Times New Roman" w:hAnsi="Times New Roman"/>
                <w:sz w:val="16"/>
                <w:szCs w:val="16"/>
                <w:color w:val="000000"/>
                <w:w w:val="96"/>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00" w:type="dxa"/>
            <w:vAlign w:val="bottom"/>
            <w:gridSpan w:val="5"/>
          </w:tcPr>
          <w:p>
            <w:pPr>
              <w:spacing w:after="0" w:line="155" w:lineRule="exact"/>
              <w:rPr>
                <w:rFonts w:ascii="Times New Roman" w:cs="Times New Roman" w:eastAsia="Times New Roman" w:hAnsi="Times New Roman"/>
                <w:sz w:val="16"/>
                <w:szCs w:val="16"/>
                <w:color w:val="0000FF"/>
              </w:rPr>
            </w:pPr>
            <w:hyperlink r:id="rId300">
              <w:r>
                <w:rPr>
                  <w:rFonts w:ascii="Times New Roman" w:cs="Times New Roman" w:eastAsia="Times New Roman" w:hAnsi="Times New Roman"/>
                  <w:sz w:val="16"/>
                  <w:szCs w:val="16"/>
                  <w:color w:val="0000FF"/>
                </w:rPr>
                <w:t>Agreement and Plan of Merger, dated as of January 12, 2021, by and among Hudson Executive</w:t>
              </w:r>
            </w:hyperlink>
          </w:p>
        </w:tc>
        <w:tc>
          <w:tcPr>
            <w:tcW w:w="540" w:type="dxa"/>
            <w:vAlign w:val="bottom"/>
          </w:tcPr>
          <w:p>
            <w:pPr>
              <w:jc w:val="center"/>
              <w:ind w:left="68"/>
              <w:spacing w:after="0" w:line="155" w:lineRule="exact"/>
              <w:rPr>
                <w:sz w:val="20"/>
                <w:szCs w:val="20"/>
                <w:color w:val="auto"/>
              </w:rPr>
            </w:pPr>
            <w:r>
              <w:rPr>
                <w:rFonts w:ascii="Times New Roman" w:cs="Times New Roman" w:eastAsia="Times New Roman" w:hAnsi="Times New Roman"/>
                <w:sz w:val="14"/>
                <w:szCs w:val="14"/>
                <w:color w:val="auto"/>
              </w:rPr>
              <w:t>S-4</w:t>
            </w:r>
          </w:p>
        </w:tc>
        <w:tc>
          <w:tcPr>
            <w:tcW w:w="1040" w:type="dxa"/>
            <w:vAlign w:val="bottom"/>
          </w:tcPr>
          <w:p>
            <w:pPr>
              <w:jc w:val="right"/>
              <w:ind w:right="27"/>
              <w:spacing w:after="0" w:line="155" w:lineRule="exact"/>
              <w:rPr>
                <w:sz w:val="20"/>
                <w:szCs w:val="20"/>
                <w:color w:val="auto"/>
              </w:rPr>
            </w:pPr>
            <w:r>
              <w:rPr>
                <w:rFonts w:ascii="Times New Roman" w:cs="Times New Roman" w:eastAsia="Times New Roman" w:hAnsi="Times New Roman"/>
                <w:sz w:val="14"/>
                <w:szCs w:val="14"/>
                <w:color w:val="auto"/>
              </w:rPr>
              <w:t>333-252638</w:t>
            </w:r>
          </w:p>
        </w:tc>
        <w:tc>
          <w:tcPr>
            <w:tcW w:w="780" w:type="dxa"/>
            <w:vAlign w:val="bottom"/>
          </w:tcPr>
          <w:p>
            <w:pPr>
              <w:jc w:val="right"/>
              <w:ind w:right="288"/>
              <w:spacing w:after="0" w:line="155" w:lineRule="exact"/>
              <w:rPr>
                <w:sz w:val="20"/>
                <w:szCs w:val="20"/>
                <w:color w:val="auto"/>
              </w:rPr>
            </w:pPr>
            <w:r>
              <w:rPr>
                <w:rFonts w:ascii="Times New Roman" w:cs="Times New Roman" w:eastAsia="Times New Roman" w:hAnsi="Times New Roman"/>
                <w:sz w:val="14"/>
                <w:szCs w:val="14"/>
                <w:color w:val="auto"/>
              </w:rPr>
              <w:t>2.1</w:t>
            </w:r>
          </w:p>
        </w:tc>
        <w:tc>
          <w:tcPr>
            <w:tcW w:w="540" w:type="dxa"/>
            <w:vAlign w:val="bottom"/>
          </w:tcPr>
          <w:p>
            <w:pPr>
              <w:jc w:val="center"/>
              <w:ind w:right="28"/>
              <w:spacing w:after="0" w:line="155" w:lineRule="exact"/>
              <w:rPr>
                <w:sz w:val="20"/>
                <w:szCs w:val="20"/>
                <w:color w:val="auto"/>
              </w:rPr>
            </w:pPr>
            <w:r>
              <w:rPr>
                <w:rFonts w:ascii="Times New Roman" w:cs="Times New Roman" w:eastAsia="Times New Roman" w:hAnsi="Times New Roman"/>
                <w:sz w:val="14"/>
                <w:szCs w:val="14"/>
                <w:color w:val="auto"/>
              </w:rPr>
              <w:t>2/2/21</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60" w:type="dxa"/>
            <w:vAlign w:val="bottom"/>
            <w:tcBorders>
              <w:bottom w:val="single" w:sz="8" w:color="0000FF"/>
            </w:tcBorders>
            <w:gridSpan w:val="4"/>
          </w:tcPr>
          <w:p>
            <w:pPr>
              <w:spacing w:after="0" w:line="183" w:lineRule="exact"/>
              <w:rPr>
                <w:rFonts w:ascii="Times New Roman" w:cs="Times New Roman" w:eastAsia="Times New Roman" w:hAnsi="Times New Roman"/>
                <w:sz w:val="16"/>
                <w:szCs w:val="16"/>
                <w:color w:val="0000FF"/>
              </w:rPr>
            </w:pPr>
            <w:hyperlink r:id="rId300">
              <w:r>
                <w:rPr>
                  <w:rFonts w:ascii="Times New Roman" w:cs="Times New Roman" w:eastAsia="Times New Roman" w:hAnsi="Times New Roman"/>
                  <w:sz w:val="16"/>
                  <w:szCs w:val="16"/>
                  <w:color w:val="0000FF"/>
                </w:rPr>
                <w:t>Investment Corp., Tailwind Merger Sub I, Inc., Tailwind Merger Sub II, LLC, and Groop Internet</w:t>
              </w:r>
            </w:hyperlink>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100" w:type="dxa"/>
            <w:vAlign w:val="bottom"/>
            <w:tcBorders>
              <w:bottom w:val="single" w:sz="8" w:color="0000FF"/>
            </w:tcBorders>
          </w:tcPr>
          <w:p>
            <w:pPr>
              <w:spacing w:after="0" w:line="183" w:lineRule="exact"/>
              <w:rPr>
                <w:rFonts w:ascii="Times New Roman" w:cs="Times New Roman" w:eastAsia="Times New Roman" w:hAnsi="Times New Roman"/>
                <w:sz w:val="16"/>
                <w:szCs w:val="16"/>
                <w:color w:val="0000FF"/>
                <w:w w:val="99"/>
              </w:rPr>
            </w:pPr>
            <w:hyperlink r:id="rId300">
              <w:r>
                <w:rPr>
                  <w:rFonts w:ascii="Times New Roman" w:cs="Times New Roman" w:eastAsia="Times New Roman" w:hAnsi="Times New Roman"/>
                  <w:sz w:val="16"/>
                  <w:szCs w:val="16"/>
                  <w:color w:val="0000FF"/>
                  <w:w w:val="99"/>
                </w:rPr>
                <w:t>Platform, Inc. (d/b/a Talkspace).</w:t>
              </w:r>
            </w:hyperlink>
          </w:p>
        </w:tc>
        <w:tc>
          <w:tcPr>
            <w:tcW w:w="20" w:type="dxa"/>
            <w:vAlign w:val="bottom"/>
            <w:tcBorders>
              <w:bottom w:val="single" w:sz="8" w:color="0000EE"/>
            </w:tcBorders>
          </w:tcPr>
          <w:p>
            <w:pPr>
              <w:spacing w:after="0"/>
              <w:rPr>
                <w:sz w:val="15"/>
                <w:szCs w:val="15"/>
                <w:color w:val="auto"/>
              </w:rPr>
            </w:pPr>
          </w:p>
        </w:tc>
        <w:tc>
          <w:tcPr>
            <w:tcW w:w="4380" w:type="dxa"/>
            <w:vAlign w:val="bottom"/>
            <w:gridSpan w:val="3"/>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0" w:type="dxa"/>
            <w:vAlign w:val="bottom"/>
            <w:gridSpan w:val="2"/>
          </w:tcPr>
          <w:p>
            <w:pPr>
              <w:spacing w:after="0"/>
              <w:rPr>
                <w:rFonts w:ascii="Times New Roman" w:cs="Times New Roman" w:eastAsia="Times New Roman" w:hAnsi="Times New Roman"/>
                <w:sz w:val="16"/>
                <w:szCs w:val="16"/>
                <w:color w:val="0000FF"/>
                <w:w w:val="79"/>
              </w:rPr>
            </w:pPr>
            <w:hyperlink r:id="rId301">
              <w:r>
                <w:rPr>
                  <w:rFonts w:ascii="Times New Roman" w:cs="Times New Roman" w:eastAsia="Times New Roman" w:hAnsi="Times New Roman"/>
                  <w:sz w:val="16"/>
                  <w:szCs w:val="16"/>
                  <w:color w:val="0000FF"/>
                  <w:w w:val="79"/>
                </w:rPr>
                <w:t>3.</w:t>
              </w:r>
              <w:r>
                <w:rPr>
                  <w:rFonts w:ascii="Times New Roman" w:cs="Times New Roman" w:eastAsia="Times New Roman" w:hAnsi="Times New Roman"/>
                  <w:sz w:val="16"/>
                  <w:szCs w:val="16"/>
                  <w:u w:val="single" w:color="auto"/>
                  <w:color w:val="0000FF"/>
                  <w:w w:val="79"/>
                </w:rPr>
                <w:t>1</w:t>
              </w:r>
            </w:hyperlink>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380" w:type="dxa"/>
            <w:vAlign w:val="bottom"/>
            <w:gridSpan w:val="11"/>
          </w:tcPr>
          <w:p>
            <w:pPr>
              <w:spacing w:after="0"/>
              <w:rPr>
                <w:rFonts w:ascii="Times New Roman" w:cs="Times New Roman" w:eastAsia="Times New Roman" w:hAnsi="Times New Roman"/>
                <w:sz w:val="16"/>
                <w:szCs w:val="16"/>
                <w:color w:val="0000FF"/>
              </w:rPr>
            </w:pPr>
            <w:hyperlink r:id="rId301">
              <w:r>
                <w:rPr>
                  <w:rFonts w:ascii="Times New Roman" w:cs="Times New Roman" w:eastAsia="Times New Roman" w:hAnsi="Times New Roman"/>
                  <w:sz w:val="16"/>
                  <w:szCs w:val="16"/>
                  <w:color w:val="0000FF"/>
                </w:rPr>
                <w:t>Second Amended and Restated Certificate of Incorporation of Talkspace, Inc.</w:t>
              </w:r>
            </w:hyperlink>
          </w:p>
        </w:tc>
      </w:tr>
      <w:tr>
        <w:trPr>
          <w:trHeight w:val="20"/>
        </w:trPr>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00" w:type="dxa"/>
            <w:vAlign w:val="bottom"/>
            <w:gridSpan w:val="2"/>
          </w:tcPr>
          <w:p>
            <w:pPr>
              <w:spacing w:after="0"/>
              <w:rPr>
                <w:rFonts w:ascii="Times New Roman" w:cs="Times New Roman" w:eastAsia="Times New Roman" w:hAnsi="Times New Roman"/>
                <w:sz w:val="16"/>
                <w:szCs w:val="16"/>
                <w:color w:val="0000FF"/>
                <w:w w:val="79"/>
              </w:rPr>
            </w:pPr>
            <w:hyperlink r:id="rId302">
              <w:r>
                <w:rPr>
                  <w:rFonts w:ascii="Times New Roman" w:cs="Times New Roman" w:eastAsia="Times New Roman" w:hAnsi="Times New Roman"/>
                  <w:sz w:val="16"/>
                  <w:szCs w:val="16"/>
                  <w:color w:val="0000FF"/>
                  <w:w w:val="79"/>
                </w:rPr>
                <w:t>3.</w:t>
              </w:r>
              <w:r>
                <w:rPr>
                  <w:rFonts w:ascii="Times New Roman" w:cs="Times New Roman" w:eastAsia="Times New Roman" w:hAnsi="Times New Roman"/>
                  <w:sz w:val="16"/>
                  <w:szCs w:val="16"/>
                  <w:u w:val="single" w:color="auto"/>
                  <w:color w:val="0000FF"/>
                  <w:w w:val="79"/>
                </w:rPr>
                <w:t>2</w:t>
              </w:r>
            </w:hyperlink>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380" w:type="dxa"/>
            <w:vAlign w:val="bottom"/>
            <w:gridSpan w:val="11"/>
          </w:tcPr>
          <w:p>
            <w:pPr>
              <w:spacing w:after="0"/>
              <w:rPr>
                <w:rFonts w:ascii="Times New Roman" w:cs="Times New Roman" w:eastAsia="Times New Roman" w:hAnsi="Times New Roman"/>
                <w:sz w:val="16"/>
                <w:szCs w:val="16"/>
                <w:color w:val="0000FF"/>
              </w:rPr>
            </w:pPr>
            <w:hyperlink r:id="rId302">
              <w:r>
                <w:rPr>
                  <w:rFonts w:ascii="Times New Roman" w:cs="Times New Roman" w:eastAsia="Times New Roman" w:hAnsi="Times New Roman"/>
                  <w:sz w:val="16"/>
                  <w:szCs w:val="16"/>
                  <w:color w:val="0000FF"/>
                </w:rPr>
                <w:t>Bylaws of Talkspace, Inc.</w:t>
              </w:r>
            </w:hyperlink>
          </w:p>
        </w:tc>
      </w:tr>
      <w:tr>
        <w:trPr>
          <w:trHeight w:val="20"/>
        </w:trPr>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00" w:type="dxa"/>
            <w:vAlign w:val="bottom"/>
            <w:gridSpan w:val="2"/>
          </w:tcPr>
          <w:p>
            <w:pPr>
              <w:spacing w:after="0"/>
              <w:rPr>
                <w:rFonts w:ascii="Times New Roman" w:cs="Times New Roman" w:eastAsia="Times New Roman" w:hAnsi="Times New Roman"/>
                <w:sz w:val="16"/>
                <w:szCs w:val="16"/>
                <w:color w:val="0000FF"/>
                <w:w w:val="79"/>
              </w:rPr>
            </w:pPr>
            <w:hyperlink r:id="rId303">
              <w:r>
                <w:rPr>
                  <w:rFonts w:ascii="Times New Roman" w:cs="Times New Roman" w:eastAsia="Times New Roman" w:hAnsi="Times New Roman"/>
                  <w:sz w:val="16"/>
                  <w:szCs w:val="16"/>
                  <w:color w:val="0000FF"/>
                  <w:w w:val="79"/>
                </w:rPr>
                <w:t>4.</w:t>
              </w:r>
              <w:r>
                <w:rPr>
                  <w:rFonts w:ascii="Times New Roman" w:cs="Times New Roman" w:eastAsia="Times New Roman" w:hAnsi="Times New Roman"/>
                  <w:sz w:val="16"/>
                  <w:szCs w:val="16"/>
                  <w:u w:val="single" w:color="auto"/>
                  <w:color w:val="0000FF"/>
                  <w:w w:val="79"/>
                </w:rPr>
                <w:t>1</w:t>
              </w:r>
            </w:hyperlink>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380" w:type="dxa"/>
            <w:vAlign w:val="bottom"/>
            <w:gridSpan w:val="11"/>
          </w:tcPr>
          <w:p>
            <w:pPr>
              <w:spacing w:after="0"/>
              <w:rPr>
                <w:rFonts w:ascii="Times New Roman" w:cs="Times New Roman" w:eastAsia="Times New Roman" w:hAnsi="Times New Roman"/>
                <w:sz w:val="16"/>
                <w:szCs w:val="16"/>
                <w:color w:val="0000FF"/>
              </w:rPr>
            </w:pPr>
            <w:hyperlink r:id="rId303">
              <w:r>
                <w:rPr>
                  <w:rFonts w:ascii="Times New Roman" w:cs="Times New Roman" w:eastAsia="Times New Roman" w:hAnsi="Times New Roman"/>
                  <w:sz w:val="16"/>
                  <w:szCs w:val="16"/>
                  <w:color w:val="0000FF"/>
                </w:rPr>
                <w:t>Warrant Agreement, dated as of June 8, 2020, by and between Continental Stock Transfer &amp; Trust</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380" w:type="dxa"/>
            <w:vAlign w:val="bottom"/>
            <w:gridSpan w:val="11"/>
          </w:tcPr>
          <w:p>
            <w:pPr>
              <w:spacing w:after="0" w:line="183" w:lineRule="exact"/>
              <w:rPr>
                <w:rFonts w:ascii="Times New Roman" w:cs="Times New Roman" w:eastAsia="Times New Roman" w:hAnsi="Times New Roman"/>
                <w:sz w:val="16"/>
                <w:szCs w:val="16"/>
                <w:color w:val="0000FF"/>
              </w:rPr>
            </w:pPr>
            <w:hyperlink r:id="rId303">
              <w:r>
                <w:rPr>
                  <w:rFonts w:ascii="Times New Roman" w:cs="Times New Roman" w:eastAsia="Times New Roman" w:hAnsi="Times New Roman"/>
                  <w:sz w:val="16"/>
                  <w:szCs w:val="16"/>
                  <w:color w:val="0000FF"/>
                </w:rPr>
                <w:t>Company and Hudson Executive Investment Corp.</w:t>
              </w:r>
            </w:hyperlink>
          </w:p>
        </w:tc>
      </w:tr>
      <w:tr>
        <w:trPr>
          <w:trHeight w:val="20"/>
        </w:trPr>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38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00" w:type="dxa"/>
            <w:vAlign w:val="bottom"/>
            <w:gridSpan w:val="2"/>
          </w:tcPr>
          <w:p>
            <w:pPr>
              <w:spacing w:after="0"/>
              <w:rPr>
                <w:rFonts w:ascii="Times New Roman" w:cs="Times New Roman" w:eastAsia="Times New Roman" w:hAnsi="Times New Roman"/>
                <w:sz w:val="16"/>
                <w:szCs w:val="16"/>
                <w:color w:val="0000FF"/>
                <w:w w:val="79"/>
              </w:rPr>
            </w:pPr>
            <w:hyperlink r:id="rId304">
              <w:r>
                <w:rPr>
                  <w:rFonts w:ascii="Times New Roman" w:cs="Times New Roman" w:eastAsia="Times New Roman" w:hAnsi="Times New Roman"/>
                  <w:sz w:val="16"/>
                  <w:szCs w:val="16"/>
                  <w:color w:val="0000FF"/>
                  <w:w w:val="79"/>
                </w:rPr>
                <w:t>4.</w:t>
              </w:r>
              <w:r>
                <w:rPr>
                  <w:rFonts w:ascii="Times New Roman" w:cs="Times New Roman" w:eastAsia="Times New Roman" w:hAnsi="Times New Roman"/>
                  <w:sz w:val="16"/>
                  <w:szCs w:val="16"/>
                  <w:u w:val="single" w:color="auto"/>
                  <w:color w:val="0000FF"/>
                  <w:w w:val="79"/>
                </w:rPr>
                <w:t>2</w:t>
              </w:r>
            </w:hyperlink>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380" w:type="dxa"/>
            <w:vAlign w:val="bottom"/>
            <w:gridSpan w:val="11"/>
          </w:tcPr>
          <w:p>
            <w:pPr>
              <w:spacing w:after="0"/>
              <w:rPr>
                <w:rFonts w:ascii="Times New Roman" w:cs="Times New Roman" w:eastAsia="Times New Roman" w:hAnsi="Times New Roman"/>
                <w:sz w:val="16"/>
                <w:szCs w:val="16"/>
                <w:color w:val="0000FF"/>
              </w:rPr>
            </w:pPr>
            <w:hyperlink r:id="rId304">
              <w:r>
                <w:rPr>
                  <w:rFonts w:ascii="Times New Roman" w:cs="Times New Roman" w:eastAsia="Times New Roman" w:hAnsi="Times New Roman"/>
                  <w:sz w:val="16"/>
                  <w:szCs w:val="16"/>
                  <w:color w:val="0000FF"/>
                </w:rPr>
                <w:t>Specimen Warrant Certificate of the Registrant.</w:t>
              </w:r>
            </w:hyperlink>
          </w:p>
        </w:tc>
      </w:tr>
      <w:tr>
        <w:trPr>
          <w:trHeight w:val="20"/>
        </w:trPr>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00" w:type="dxa"/>
            <w:vAlign w:val="bottom"/>
            <w:gridSpan w:val="2"/>
          </w:tcPr>
          <w:p>
            <w:pPr>
              <w:spacing w:after="0"/>
              <w:rPr>
                <w:rFonts w:ascii="Times New Roman" w:cs="Times New Roman" w:eastAsia="Times New Roman" w:hAnsi="Times New Roman"/>
                <w:sz w:val="16"/>
                <w:szCs w:val="16"/>
                <w:color w:val="0000FF"/>
                <w:w w:val="79"/>
              </w:rPr>
            </w:pPr>
            <w:hyperlink r:id="rId305">
              <w:r>
                <w:rPr>
                  <w:rFonts w:ascii="Times New Roman" w:cs="Times New Roman" w:eastAsia="Times New Roman" w:hAnsi="Times New Roman"/>
                  <w:sz w:val="16"/>
                  <w:szCs w:val="16"/>
                  <w:color w:val="0000FF"/>
                  <w:w w:val="79"/>
                </w:rPr>
                <w:t>4.</w:t>
              </w:r>
              <w:r>
                <w:rPr>
                  <w:rFonts w:ascii="Times New Roman" w:cs="Times New Roman" w:eastAsia="Times New Roman" w:hAnsi="Times New Roman"/>
                  <w:sz w:val="16"/>
                  <w:szCs w:val="16"/>
                  <w:u w:val="single" w:color="auto"/>
                  <w:color w:val="0000FF"/>
                  <w:w w:val="79"/>
                </w:rPr>
                <w:t>3</w:t>
              </w:r>
            </w:hyperlink>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380" w:type="dxa"/>
            <w:vAlign w:val="bottom"/>
            <w:gridSpan w:val="11"/>
          </w:tcPr>
          <w:p>
            <w:pPr>
              <w:spacing w:after="0"/>
              <w:rPr>
                <w:rFonts w:ascii="Times New Roman" w:cs="Times New Roman" w:eastAsia="Times New Roman" w:hAnsi="Times New Roman"/>
                <w:sz w:val="16"/>
                <w:szCs w:val="16"/>
                <w:color w:val="0000FF"/>
              </w:rPr>
            </w:pPr>
            <w:hyperlink r:id="rId305">
              <w:r>
                <w:rPr>
                  <w:rFonts w:ascii="Times New Roman" w:cs="Times New Roman" w:eastAsia="Times New Roman" w:hAnsi="Times New Roman"/>
                  <w:sz w:val="16"/>
                  <w:szCs w:val="16"/>
                  <w:color w:val="0000FF"/>
                </w:rPr>
                <w:t>Specimen Common Stock Certificate.</w:t>
              </w:r>
            </w:hyperlink>
          </w:p>
        </w:tc>
      </w:tr>
      <w:tr>
        <w:trPr>
          <w:trHeight w:val="20"/>
        </w:trPr>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720" w:type="dxa"/>
            <w:vAlign w:val="bottom"/>
            <w:tcBorders>
              <w:left w:val="single" w:sz="8" w:color="0000FF"/>
            </w:tcBorders>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00" w:type="dxa"/>
            <w:vAlign w:val="bottom"/>
            <w:gridSpan w:val="2"/>
          </w:tcPr>
          <w:p>
            <w:pPr>
              <w:spacing w:after="0"/>
              <w:rPr>
                <w:rFonts w:ascii="Times New Roman" w:cs="Times New Roman" w:eastAsia="Times New Roman" w:hAnsi="Times New Roman"/>
                <w:sz w:val="16"/>
                <w:szCs w:val="16"/>
                <w:color w:val="0000FF"/>
                <w:w w:val="79"/>
              </w:rPr>
            </w:pPr>
            <w:hyperlink r:id="rId306">
              <w:r>
                <w:rPr>
                  <w:rFonts w:ascii="Times New Roman" w:cs="Times New Roman" w:eastAsia="Times New Roman" w:hAnsi="Times New Roman"/>
                  <w:sz w:val="16"/>
                  <w:szCs w:val="16"/>
                  <w:color w:val="0000FF"/>
                  <w:w w:val="79"/>
                </w:rPr>
                <w:t>4.</w:t>
              </w:r>
              <w:r>
                <w:rPr>
                  <w:rFonts w:ascii="Times New Roman" w:cs="Times New Roman" w:eastAsia="Times New Roman" w:hAnsi="Times New Roman"/>
                  <w:sz w:val="16"/>
                  <w:szCs w:val="16"/>
                  <w:u w:val="single" w:color="auto"/>
                  <w:color w:val="0000FF"/>
                  <w:w w:val="79"/>
                </w:rPr>
                <w:t>4</w:t>
              </w:r>
            </w:hyperlink>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380" w:type="dxa"/>
            <w:vAlign w:val="bottom"/>
            <w:gridSpan w:val="11"/>
          </w:tcPr>
          <w:p>
            <w:pPr>
              <w:spacing w:after="0"/>
              <w:rPr>
                <w:rFonts w:ascii="Times New Roman" w:cs="Times New Roman" w:eastAsia="Times New Roman" w:hAnsi="Times New Roman"/>
                <w:sz w:val="16"/>
                <w:szCs w:val="16"/>
                <w:color w:val="0000FF"/>
              </w:rPr>
            </w:pPr>
            <w:hyperlink r:id="rId306">
              <w:r>
                <w:rPr>
                  <w:rFonts w:ascii="Times New Roman" w:cs="Times New Roman" w:eastAsia="Times New Roman" w:hAnsi="Times New Roman"/>
                  <w:sz w:val="16"/>
                  <w:szCs w:val="16"/>
                  <w:color w:val="0000FF"/>
                </w:rPr>
                <w:t>Description of Common Stock.</w:t>
              </w:r>
            </w:hyperlink>
          </w:p>
        </w:tc>
      </w:tr>
      <w:tr>
        <w:trPr>
          <w:trHeight w:val="20"/>
        </w:trPr>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40" w:type="dxa"/>
            <w:vAlign w:val="bottom"/>
            <w:gridSpan w:val="4"/>
          </w:tcPr>
          <w:p>
            <w:pPr>
              <w:spacing w:after="0"/>
              <w:rPr>
                <w:rFonts w:ascii="Times New Roman" w:cs="Times New Roman" w:eastAsia="Times New Roman" w:hAnsi="Times New Roman"/>
                <w:sz w:val="16"/>
                <w:szCs w:val="16"/>
                <w:color w:val="0000FF"/>
              </w:rPr>
            </w:pPr>
            <w:hyperlink r:id="rId307">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hyperlink>
            <w:r>
              <w:rPr>
                <w:rFonts w:ascii="Times New Roman" w:cs="Times New Roman" w:eastAsia="Times New Roman" w:hAnsi="Times New Roman"/>
                <w:sz w:val="16"/>
                <w:szCs w:val="16"/>
                <w:color w:val="000000"/>
              </w:rPr>
              <w:t>†</w:t>
            </w:r>
          </w:p>
        </w:tc>
        <w:tc>
          <w:tcPr>
            <w:tcW w:w="320" w:type="dxa"/>
            <w:vAlign w:val="bottom"/>
          </w:tcPr>
          <w:p>
            <w:pPr>
              <w:spacing w:after="0"/>
              <w:rPr>
                <w:rFonts w:ascii="Times New Roman" w:cs="Times New Roman" w:eastAsia="Times New Roman" w:hAnsi="Times New Roman"/>
                <w:sz w:val="16"/>
                <w:szCs w:val="16"/>
                <w:color w:val="0000FF"/>
                <w:w w:val="93"/>
              </w:rPr>
            </w:pPr>
            <w:hyperlink r:id="rId307">
              <w:r>
                <w:rPr>
                  <w:rFonts w:ascii="Times New Roman" w:cs="Times New Roman" w:eastAsia="Times New Roman" w:hAnsi="Times New Roman"/>
                  <w:sz w:val="16"/>
                  <w:szCs w:val="16"/>
                  <w:color w:val="0000FF"/>
                  <w:w w:val="93"/>
                </w:rPr>
                <w:t>2021</w:t>
              </w:r>
            </w:hyperlink>
          </w:p>
        </w:tc>
        <w:tc>
          <w:tcPr>
            <w:tcW w:w="6060" w:type="dxa"/>
            <w:vAlign w:val="bottom"/>
            <w:gridSpan w:val="10"/>
          </w:tcPr>
          <w:p>
            <w:pPr>
              <w:ind w:left="20"/>
              <w:spacing w:after="0"/>
              <w:rPr>
                <w:rFonts w:ascii="Times New Roman" w:cs="Times New Roman" w:eastAsia="Times New Roman" w:hAnsi="Times New Roman"/>
                <w:sz w:val="16"/>
                <w:szCs w:val="16"/>
                <w:color w:val="0000FF"/>
              </w:rPr>
            </w:pPr>
            <w:hyperlink r:id="rId307">
              <w:r>
                <w:rPr>
                  <w:rFonts w:ascii="Times New Roman" w:cs="Times New Roman" w:eastAsia="Times New Roman" w:hAnsi="Times New Roman"/>
                  <w:sz w:val="16"/>
                  <w:szCs w:val="16"/>
                  <w:color w:val="0000FF"/>
                </w:rPr>
                <w:t>Incentive Award Plan.</w:t>
              </w:r>
            </w:hyperlink>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2"/>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40" w:type="dxa"/>
            <w:vAlign w:val="bottom"/>
            <w:gridSpan w:val="4"/>
          </w:tcPr>
          <w:p>
            <w:pPr>
              <w:spacing w:after="0"/>
              <w:rPr>
                <w:rFonts w:ascii="Times New Roman" w:cs="Times New Roman" w:eastAsia="Times New Roman" w:hAnsi="Times New Roman"/>
                <w:sz w:val="16"/>
                <w:szCs w:val="16"/>
                <w:color w:val="0000FF"/>
              </w:rPr>
            </w:pPr>
            <w:hyperlink r:id="rId308">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w:t>
              </w:r>
            </w:hyperlink>
            <w:r>
              <w:rPr>
                <w:rFonts w:ascii="Times New Roman" w:cs="Times New Roman" w:eastAsia="Times New Roman" w:hAnsi="Times New Roman"/>
                <w:sz w:val="16"/>
                <w:szCs w:val="16"/>
                <w:color w:val="000000"/>
              </w:rPr>
              <w:t>†</w:t>
            </w:r>
          </w:p>
        </w:tc>
        <w:tc>
          <w:tcPr>
            <w:tcW w:w="320" w:type="dxa"/>
            <w:vAlign w:val="bottom"/>
          </w:tcPr>
          <w:p>
            <w:pPr>
              <w:spacing w:after="0"/>
              <w:rPr>
                <w:rFonts w:ascii="Times New Roman" w:cs="Times New Roman" w:eastAsia="Times New Roman" w:hAnsi="Times New Roman"/>
                <w:sz w:val="16"/>
                <w:szCs w:val="16"/>
                <w:color w:val="0000FF"/>
                <w:w w:val="93"/>
              </w:rPr>
            </w:pPr>
            <w:hyperlink r:id="rId308">
              <w:r>
                <w:rPr>
                  <w:rFonts w:ascii="Times New Roman" w:cs="Times New Roman" w:eastAsia="Times New Roman" w:hAnsi="Times New Roman"/>
                  <w:sz w:val="16"/>
                  <w:szCs w:val="16"/>
                  <w:color w:val="0000FF"/>
                  <w:w w:val="93"/>
                </w:rPr>
                <w:t>2021</w:t>
              </w:r>
            </w:hyperlink>
          </w:p>
        </w:tc>
        <w:tc>
          <w:tcPr>
            <w:tcW w:w="6060" w:type="dxa"/>
            <w:vAlign w:val="bottom"/>
            <w:gridSpan w:val="10"/>
          </w:tcPr>
          <w:p>
            <w:pPr>
              <w:ind w:left="20"/>
              <w:spacing w:after="0"/>
              <w:rPr>
                <w:rFonts w:ascii="Times New Roman" w:cs="Times New Roman" w:eastAsia="Times New Roman" w:hAnsi="Times New Roman"/>
                <w:sz w:val="16"/>
                <w:szCs w:val="16"/>
                <w:color w:val="0000FF"/>
              </w:rPr>
            </w:pPr>
            <w:hyperlink r:id="rId308">
              <w:r>
                <w:rPr>
                  <w:rFonts w:ascii="Times New Roman" w:cs="Times New Roman" w:eastAsia="Times New Roman" w:hAnsi="Times New Roman"/>
                  <w:sz w:val="16"/>
                  <w:szCs w:val="16"/>
                  <w:color w:val="0000FF"/>
                </w:rPr>
                <w:t>Employee Stock Purchase Plan.</w:t>
              </w:r>
            </w:hyperlink>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40" w:type="dxa"/>
            <w:vAlign w:val="bottom"/>
            <w:gridSpan w:val="4"/>
          </w:tcPr>
          <w:p>
            <w:pPr>
              <w:spacing w:after="0"/>
              <w:rPr>
                <w:rFonts w:ascii="Times New Roman" w:cs="Times New Roman" w:eastAsia="Times New Roman" w:hAnsi="Times New Roman"/>
                <w:sz w:val="16"/>
                <w:szCs w:val="16"/>
                <w:color w:val="0000FF"/>
              </w:rPr>
            </w:pPr>
            <w:hyperlink r:id="rId309">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3</w:t>
              </w:r>
            </w:hyperlink>
            <w:r>
              <w:rPr>
                <w:rFonts w:ascii="Times New Roman" w:cs="Times New Roman" w:eastAsia="Times New Roman" w:hAnsi="Times New Roman"/>
                <w:sz w:val="16"/>
                <w:szCs w:val="16"/>
                <w:color w:val="000000"/>
              </w:rPr>
              <w:t>†</w:t>
            </w:r>
          </w:p>
        </w:tc>
        <w:tc>
          <w:tcPr>
            <w:tcW w:w="320" w:type="dxa"/>
            <w:vAlign w:val="bottom"/>
          </w:tcPr>
          <w:p>
            <w:pPr>
              <w:spacing w:after="0"/>
              <w:rPr>
                <w:rFonts w:ascii="Times New Roman" w:cs="Times New Roman" w:eastAsia="Times New Roman" w:hAnsi="Times New Roman"/>
                <w:sz w:val="16"/>
                <w:szCs w:val="16"/>
                <w:color w:val="0000FF"/>
                <w:w w:val="93"/>
              </w:rPr>
            </w:pPr>
            <w:hyperlink r:id="rId309">
              <w:r>
                <w:rPr>
                  <w:rFonts w:ascii="Times New Roman" w:cs="Times New Roman" w:eastAsia="Times New Roman" w:hAnsi="Times New Roman"/>
                  <w:sz w:val="16"/>
                  <w:szCs w:val="16"/>
                  <w:color w:val="0000FF"/>
                  <w:w w:val="93"/>
                </w:rPr>
                <w:t>2014</w:t>
              </w:r>
            </w:hyperlink>
          </w:p>
        </w:tc>
        <w:tc>
          <w:tcPr>
            <w:tcW w:w="6060" w:type="dxa"/>
            <w:vAlign w:val="bottom"/>
            <w:gridSpan w:val="10"/>
          </w:tcPr>
          <w:p>
            <w:pPr>
              <w:ind w:left="20"/>
              <w:spacing w:after="0"/>
              <w:rPr>
                <w:rFonts w:ascii="Times New Roman" w:cs="Times New Roman" w:eastAsia="Times New Roman" w:hAnsi="Times New Roman"/>
                <w:sz w:val="16"/>
                <w:szCs w:val="16"/>
                <w:color w:val="0000FF"/>
              </w:rPr>
            </w:pPr>
            <w:hyperlink r:id="rId309">
              <w:r>
                <w:rPr>
                  <w:rFonts w:ascii="Times New Roman" w:cs="Times New Roman" w:eastAsia="Times New Roman" w:hAnsi="Times New Roman"/>
                  <w:sz w:val="16"/>
                  <w:szCs w:val="16"/>
                  <w:color w:val="0000FF"/>
                </w:rPr>
                <w:t>Stock Incentive Plan.</w:t>
              </w:r>
            </w:hyperlink>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940" w:type="dxa"/>
            <w:vAlign w:val="bottom"/>
            <w:gridSpan w:val="4"/>
          </w:tcPr>
          <w:p>
            <w:pPr>
              <w:spacing w:after="0"/>
              <w:rPr>
                <w:rFonts w:ascii="Times New Roman" w:cs="Times New Roman" w:eastAsia="Times New Roman" w:hAnsi="Times New Roman"/>
                <w:sz w:val="16"/>
                <w:szCs w:val="16"/>
                <w:color w:val="0000FF"/>
              </w:rPr>
            </w:pPr>
            <w:hyperlink r:id="rId310">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4</w:t>
              </w:r>
            </w:hyperlink>
            <w:r>
              <w:rPr>
                <w:rFonts w:ascii="Times New Roman" w:cs="Times New Roman" w:eastAsia="Times New Roman" w:hAnsi="Times New Roman"/>
                <w:sz w:val="16"/>
                <w:szCs w:val="16"/>
                <w:color w:val="000000"/>
              </w:rPr>
              <w:t>†</w:t>
            </w:r>
          </w:p>
        </w:tc>
        <w:tc>
          <w:tcPr>
            <w:tcW w:w="6380" w:type="dxa"/>
            <w:vAlign w:val="bottom"/>
            <w:gridSpan w:val="11"/>
          </w:tcPr>
          <w:p>
            <w:pPr>
              <w:spacing w:after="0"/>
              <w:rPr>
                <w:rFonts w:ascii="Times New Roman" w:cs="Times New Roman" w:eastAsia="Times New Roman" w:hAnsi="Times New Roman"/>
                <w:sz w:val="16"/>
                <w:szCs w:val="16"/>
                <w:color w:val="0000FF"/>
              </w:rPr>
            </w:pPr>
            <w:hyperlink r:id="rId310">
              <w:r>
                <w:rPr>
                  <w:rFonts w:ascii="Times New Roman" w:cs="Times New Roman" w:eastAsia="Times New Roman" w:hAnsi="Times New Roman"/>
                  <w:sz w:val="16"/>
                  <w:szCs w:val="16"/>
                  <w:color w:val="0000FF"/>
                </w:rPr>
                <w:t>Form of Indemnification Agreement.</w:t>
              </w:r>
            </w:hyperlink>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80" w:type="dxa"/>
            <w:vAlign w:val="bottom"/>
            <w:gridSpan w:val="3"/>
          </w:tcPr>
          <w:p>
            <w:pPr>
              <w:spacing w:after="0"/>
              <w:rPr>
                <w:rFonts w:ascii="Times New Roman" w:cs="Times New Roman" w:eastAsia="Times New Roman" w:hAnsi="Times New Roman"/>
                <w:sz w:val="16"/>
                <w:szCs w:val="16"/>
                <w:color w:val="0000FF"/>
                <w:w w:val="85"/>
              </w:rPr>
            </w:pPr>
            <w:hyperlink r:id="rId311">
              <w:r>
                <w:rPr>
                  <w:rFonts w:ascii="Times New Roman" w:cs="Times New Roman" w:eastAsia="Times New Roman" w:hAnsi="Times New Roman"/>
                  <w:sz w:val="16"/>
                  <w:szCs w:val="16"/>
                  <w:color w:val="0000FF"/>
                  <w:w w:val="85"/>
                </w:rPr>
                <w:t>10.</w:t>
              </w:r>
              <w:r>
                <w:rPr>
                  <w:rFonts w:ascii="Times New Roman" w:cs="Times New Roman" w:eastAsia="Times New Roman" w:hAnsi="Times New Roman"/>
                  <w:sz w:val="16"/>
                  <w:szCs w:val="16"/>
                  <w:u w:val="single" w:color="auto"/>
                  <w:color w:val="0000FF"/>
                  <w:w w:val="85"/>
                </w:rPr>
                <w:t>5</w:t>
              </w:r>
            </w:hyperlink>
          </w:p>
        </w:tc>
        <w:tc>
          <w:tcPr>
            <w:tcW w:w="660" w:type="dxa"/>
            <w:vAlign w:val="bottom"/>
          </w:tcPr>
          <w:p>
            <w:pPr>
              <w:spacing w:after="0"/>
              <w:rPr>
                <w:sz w:val="17"/>
                <w:szCs w:val="17"/>
                <w:color w:val="auto"/>
              </w:rPr>
            </w:pPr>
          </w:p>
        </w:tc>
        <w:tc>
          <w:tcPr>
            <w:tcW w:w="6380" w:type="dxa"/>
            <w:vAlign w:val="bottom"/>
            <w:gridSpan w:val="11"/>
          </w:tcPr>
          <w:p>
            <w:pPr>
              <w:spacing w:after="0"/>
              <w:rPr>
                <w:rFonts w:ascii="Times New Roman" w:cs="Times New Roman" w:eastAsia="Times New Roman" w:hAnsi="Times New Roman"/>
                <w:sz w:val="16"/>
                <w:szCs w:val="16"/>
                <w:color w:val="0000FF"/>
              </w:rPr>
            </w:pPr>
            <w:hyperlink r:id="rId311">
              <w:r>
                <w:rPr>
                  <w:rFonts w:ascii="Times New Roman" w:cs="Times New Roman" w:eastAsia="Times New Roman" w:hAnsi="Times New Roman"/>
                  <w:sz w:val="16"/>
                  <w:szCs w:val="16"/>
                  <w:color w:val="0000FF"/>
                </w:rPr>
                <w:t>Amended and Restated Registration Rights Agreement, by and among Talkspace, Inc. and the</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4720" w:type="dxa"/>
            <w:vAlign w:val="bottom"/>
            <w:gridSpan w:val="8"/>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380" w:type="dxa"/>
            <w:vAlign w:val="bottom"/>
            <w:gridSpan w:val="11"/>
          </w:tcPr>
          <w:p>
            <w:pPr>
              <w:spacing w:after="0" w:line="183" w:lineRule="exact"/>
              <w:rPr>
                <w:rFonts w:ascii="Times New Roman" w:cs="Times New Roman" w:eastAsia="Times New Roman" w:hAnsi="Times New Roman"/>
                <w:sz w:val="16"/>
                <w:szCs w:val="16"/>
                <w:color w:val="0000FF"/>
              </w:rPr>
            </w:pPr>
            <w:hyperlink r:id="rId311">
              <w:r>
                <w:rPr>
                  <w:rFonts w:ascii="Times New Roman" w:cs="Times New Roman" w:eastAsia="Times New Roman" w:hAnsi="Times New Roman"/>
                  <w:sz w:val="16"/>
                  <w:szCs w:val="16"/>
                  <w:color w:val="0000FF"/>
                </w:rPr>
                <w:t>holders party thereto.</w:t>
              </w:r>
            </w:hyperlink>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8-K/A</w:t>
            </w: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001-39314</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60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6/23/21</w:t>
            </w:r>
          </w:p>
        </w:tc>
      </w:tr>
      <w:tr>
        <w:trPr>
          <w:trHeight w:val="216"/>
        </w:trPr>
        <w:tc>
          <w:tcPr>
            <w:tcW w:w="4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8-K/A</w:t>
            </w: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001-39314</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60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6/23/21</w:t>
            </w:r>
          </w:p>
        </w:tc>
      </w:tr>
      <w:tr>
        <w:trPr>
          <w:trHeight w:val="216"/>
        </w:trPr>
        <w:tc>
          <w:tcPr>
            <w:tcW w:w="4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001-39314</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60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6/11/20</w:t>
            </w:r>
          </w:p>
        </w:tc>
      </w:tr>
      <w:tr>
        <w:trPr>
          <w:trHeight w:val="418"/>
        </w:trPr>
        <w:tc>
          <w:tcPr>
            <w:tcW w:w="4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S-1/A</w:t>
            </w: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333-238583</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60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6/5/20</w:t>
            </w:r>
          </w:p>
        </w:tc>
      </w:tr>
      <w:tr>
        <w:trPr>
          <w:trHeight w:val="216"/>
        </w:trPr>
        <w:tc>
          <w:tcPr>
            <w:tcW w:w="4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S-4/A</w:t>
            </w:r>
          </w:p>
        </w:tc>
        <w:tc>
          <w:tcPr>
            <w:tcW w:w="1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333-252638</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60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5/20/21</w:t>
            </w:r>
          </w:p>
        </w:tc>
      </w:tr>
      <w:tr>
        <w:trPr>
          <w:trHeight w:val="216"/>
        </w:trPr>
        <w:tc>
          <w:tcPr>
            <w:tcW w:w="4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10-K</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001-39314</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60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2/25/22</w:t>
            </w:r>
          </w:p>
        </w:tc>
      </w:tr>
      <w:tr>
        <w:trPr>
          <w:trHeight w:val="216"/>
        </w:trPr>
        <w:tc>
          <w:tcPr>
            <w:tcW w:w="4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S-8</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333-259165</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99.1</w:t>
            </w:r>
          </w:p>
        </w:tc>
        <w:tc>
          <w:tcPr>
            <w:tcW w:w="60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8/30/21</w:t>
            </w:r>
          </w:p>
        </w:tc>
      </w:tr>
      <w:tr>
        <w:trPr>
          <w:trHeight w:val="216"/>
        </w:trPr>
        <w:tc>
          <w:tcPr>
            <w:tcW w:w="4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S-8</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333-259165</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99.2</w:t>
            </w:r>
          </w:p>
        </w:tc>
        <w:tc>
          <w:tcPr>
            <w:tcW w:w="60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8/30/21</w:t>
            </w:r>
          </w:p>
        </w:tc>
      </w:tr>
      <w:tr>
        <w:trPr>
          <w:trHeight w:val="216"/>
        </w:trPr>
        <w:tc>
          <w:tcPr>
            <w:tcW w:w="4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S-8</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333-259165</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99.3</w:t>
            </w:r>
          </w:p>
        </w:tc>
        <w:tc>
          <w:tcPr>
            <w:tcW w:w="60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8/30/21</w:t>
            </w:r>
          </w:p>
        </w:tc>
      </w:tr>
      <w:tr>
        <w:trPr>
          <w:trHeight w:val="216"/>
        </w:trPr>
        <w:tc>
          <w:tcPr>
            <w:tcW w:w="4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001-39314</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60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6/23/21</w:t>
            </w:r>
          </w:p>
        </w:tc>
      </w:tr>
      <w:tr>
        <w:trPr>
          <w:trHeight w:val="216"/>
        </w:trPr>
        <w:tc>
          <w:tcPr>
            <w:tcW w:w="4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8-K</w:t>
            </w: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001-39314</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60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6/23/21</w:t>
            </w:r>
          </w:p>
        </w:tc>
      </w:tr>
    </w:tbl>
    <w:p>
      <w:pPr>
        <w:spacing w:after="0" w:line="230" w:lineRule="exact"/>
        <w:rPr>
          <w:sz w:val="20"/>
          <w:szCs w:val="20"/>
          <w:color w:val="auto"/>
        </w:rPr>
      </w:pPr>
    </w:p>
    <w:p>
      <w:pPr>
        <w:sectPr>
          <w:pgSz w:w="11900" w:h="16838" w:orient="portrait"/>
          <w:cols w:equalWidth="0" w:num="2">
            <w:col w:w="7340" w:space="260"/>
            <w:col w:w="3640"/>
          </w:cols>
          <w:pgMar w:left="320" w:top="769" w:right="339" w:bottom="1440" w:gutter="0" w:footer="0" w:header="0"/>
          <w:type w:val="continuous"/>
        </w:sectPr>
      </w:pP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40" w:type="dxa"/>
            <w:vAlign w:val="bottom"/>
            <w:gridSpan w:val="5"/>
          </w:tcPr>
          <w:p>
            <w:pPr>
              <w:spacing w:after="0"/>
              <w:rPr>
                <w:rFonts w:ascii="Times New Roman" w:cs="Times New Roman" w:eastAsia="Times New Roman" w:hAnsi="Times New Roman"/>
                <w:sz w:val="16"/>
                <w:szCs w:val="16"/>
                <w:color w:val="0000FF"/>
              </w:rPr>
            </w:pPr>
            <w:hyperlink r:id="rId312">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6</w:t>
              </w:r>
            </w:hyperlink>
            <w:r>
              <w:rPr>
                <w:rFonts w:ascii="Times New Roman" w:cs="Times New Roman" w:eastAsia="Times New Roman" w:hAnsi="Times New Roman"/>
                <w:sz w:val="16"/>
                <w:szCs w:val="16"/>
                <w:color w:val="000000"/>
              </w:rPr>
              <w:t>†</w:t>
            </w:r>
          </w:p>
        </w:tc>
        <w:tc>
          <w:tcPr>
            <w:tcW w:w="6300" w:type="dxa"/>
            <w:vAlign w:val="bottom"/>
            <w:gridSpan w:val="11"/>
          </w:tcPr>
          <w:p>
            <w:pPr>
              <w:spacing w:after="0"/>
              <w:rPr>
                <w:rFonts w:ascii="Times New Roman" w:cs="Times New Roman" w:eastAsia="Times New Roman" w:hAnsi="Times New Roman"/>
                <w:sz w:val="16"/>
                <w:szCs w:val="16"/>
                <w:color w:val="0000FF"/>
              </w:rPr>
            </w:pPr>
            <w:hyperlink r:id="rId312">
              <w:r>
                <w:rPr>
                  <w:rFonts w:ascii="Times New Roman" w:cs="Times New Roman" w:eastAsia="Times New Roman" w:hAnsi="Times New Roman"/>
                  <w:sz w:val="16"/>
                  <w:szCs w:val="16"/>
                  <w:color w:val="0000FF"/>
                </w:rPr>
                <w:t>Non-Employee Director Compensation Program.</w:t>
              </w:r>
            </w:hyperlink>
          </w:p>
        </w:tc>
      </w:tr>
      <w:tr>
        <w:trPr>
          <w:trHeight w:val="20"/>
        </w:trPr>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gridSpan w:val="5"/>
          </w:tcPr>
          <w:p>
            <w:pPr>
              <w:spacing w:after="0"/>
              <w:rPr>
                <w:rFonts w:ascii="Times New Roman" w:cs="Times New Roman" w:eastAsia="Times New Roman" w:hAnsi="Times New Roman"/>
                <w:sz w:val="16"/>
                <w:szCs w:val="16"/>
                <w:color w:val="0000FF"/>
              </w:rPr>
            </w:pPr>
            <w:hyperlink r:id="rId313">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7</w:t>
              </w:r>
            </w:hyperlink>
            <w:r>
              <w:rPr>
                <w:rFonts w:ascii="Times New Roman" w:cs="Times New Roman" w:eastAsia="Times New Roman" w:hAnsi="Times New Roman"/>
                <w:sz w:val="16"/>
                <w:szCs w:val="16"/>
                <w:color w:val="000000"/>
              </w:rPr>
              <w:t>†</w:t>
            </w:r>
          </w:p>
        </w:tc>
        <w:tc>
          <w:tcPr>
            <w:tcW w:w="6300" w:type="dxa"/>
            <w:vAlign w:val="bottom"/>
            <w:gridSpan w:val="11"/>
          </w:tcPr>
          <w:p>
            <w:pPr>
              <w:spacing w:after="0"/>
              <w:rPr>
                <w:rFonts w:ascii="Times New Roman" w:cs="Times New Roman" w:eastAsia="Times New Roman" w:hAnsi="Times New Roman"/>
                <w:sz w:val="16"/>
                <w:szCs w:val="16"/>
                <w:color w:val="0000FF"/>
              </w:rPr>
            </w:pPr>
            <w:hyperlink r:id="rId313">
              <w:r>
                <w:rPr>
                  <w:rFonts w:ascii="Times New Roman" w:cs="Times New Roman" w:eastAsia="Times New Roman" w:hAnsi="Times New Roman"/>
                  <w:sz w:val="16"/>
                  <w:szCs w:val="16"/>
                  <w:color w:val="0000FF"/>
                </w:rPr>
                <w:t>Form of Stock Option Agreement under the Talkspace, Inc. 2021 Incentive Award Plan.</w:t>
              </w:r>
            </w:hyperlink>
          </w:p>
        </w:tc>
      </w:tr>
      <w:tr>
        <w:trPr>
          <w:trHeight w:val="20"/>
        </w:trPr>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78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gridSpan w:val="5"/>
          </w:tcPr>
          <w:p>
            <w:pPr>
              <w:spacing w:after="0"/>
              <w:rPr>
                <w:rFonts w:ascii="Times New Roman" w:cs="Times New Roman" w:eastAsia="Times New Roman" w:hAnsi="Times New Roman"/>
                <w:sz w:val="16"/>
                <w:szCs w:val="16"/>
                <w:color w:val="0000FF"/>
              </w:rPr>
            </w:pPr>
            <w:hyperlink r:id="rId314">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8</w:t>
              </w:r>
            </w:hyperlink>
            <w:r>
              <w:rPr>
                <w:rFonts w:ascii="Times New Roman" w:cs="Times New Roman" w:eastAsia="Times New Roman" w:hAnsi="Times New Roman"/>
                <w:sz w:val="16"/>
                <w:szCs w:val="16"/>
                <w:color w:val="000000"/>
              </w:rPr>
              <w:t>†</w:t>
            </w:r>
          </w:p>
        </w:tc>
        <w:tc>
          <w:tcPr>
            <w:tcW w:w="6300" w:type="dxa"/>
            <w:vAlign w:val="bottom"/>
            <w:gridSpan w:val="11"/>
          </w:tcPr>
          <w:p>
            <w:pPr>
              <w:spacing w:after="0"/>
              <w:rPr>
                <w:rFonts w:ascii="Times New Roman" w:cs="Times New Roman" w:eastAsia="Times New Roman" w:hAnsi="Times New Roman"/>
                <w:sz w:val="16"/>
                <w:szCs w:val="16"/>
                <w:color w:val="0000FF"/>
              </w:rPr>
            </w:pPr>
            <w:hyperlink r:id="rId314">
              <w:r>
                <w:rPr>
                  <w:rFonts w:ascii="Times New Roman" w:cs="Times New Roman" w:eastAsia="Times New Roman" w:hAnsi="Times New Roman"/>
                  <w:sz w:val="16"/>
                  <w:szCs w:val="16"/>
                  <w:color w:val="0000FF"/>
                </w:rPr>
                <w:t>Form of Restricted Stock Unit Agreement under the Talkspace, Inc. 2021 Incentive Award Plan.</w:t>
              </w:r>
            </w:hyperlink>
          </w:p>
        </w:tc>
      </w:tr>
      <w:tr>
        <w:trPr>
          <w:trHeight w:val="20"/>
        </w:trPr>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78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gridSpan w:val="5"/>
          </w:tcPr>
          <w:p>
            <w:pPr>
              <w:spacing w:after="0"/>
              <w:rPr>
                <w:rFonts w:ascii="Times New Roman" w:cs="Times New Roman" w:eastAsia="Times New Roman" w:hAnsi="Times New Roman"/>
                <w:sz w:val="16"/>
                <w:szCs w:val="16"/>
                <w:color w:val="0000FF"/>
              </w:rPr>
            </w:pPr>
            <w:hyperlink r:id="rId315">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9</w:t>
              </w:r>
            </w:hyperlink>
            <w:r>
              <w:rPr>
                <w:rFonts w:ascii="Times New Roman" w:cs="Times New Roman" w:eastAsia="Times New Roman" w:hAnsi="Times New Roman"/>
                <w:sz w:val="16"/>
                <w:szCs w:val="16"/>
                <w:color w:val="000000"/>
              </w:rPr>
              <w:t>†</w:t>
            </w:r>
          </w:p>
        </w:tc>
        <w:tc>
          <w:tcPr>
            <w:tcW w:w="6300" w:type="dxa"/>
            <w:vAlign w:val="bottom"/>
            <w:gridSpan w:val="11"/>
          </w:tcPr>
          <w:p>
            <w:pPr>
              <w:spacing w:after="0"/>
              <w:rPr>
                <w:rFonts w:ascii="Times New Roman" w:cs="Times New Roman" w:eastAsia="Times New Roman" w:hAnsi="Times New Roman"/>
                <w:sz w:val="16"/>
                <w:szCs w:val="16"/>
                <w:color w:val="0000FF"/>
              </w:rPr>
            </w:pPr>
            <w:hyperlink r:id="rId315">
              <w:r>
                <w:rPr>
                  <w:rFonts w:ascii="Times New Roman" w:cs="Times New Roman" w:eastAsia="Times New Roman" w:hAnsi="Times New Roman"/>
                  <w:sz w:val="16"/>
                  <w:szCs w:val="16"/>
                  <w:color w:val="0000FF"/>
                </w:rPr>
                <w:t>Executive Severance Plan.</w:t>
              </w:r>
            </w:hyperlink>
          </w:p>
        </w:tc>
      </w:tr>
      <w:tr>
        <w:trPr>
          <w:trHeight w:val="20"/>
        </w:trPr>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gridSpan w:val="5"/>
          </w:tcPr>
          <w:p>
            <w:pPr>
              <w:spacing w:after="0"/>
              <w:rPr>
                <w:rFonts w:ascii="Times New Roman" w:cs="Times New Roman" w:eastAsia="Times New Roman" w:hAnsi="Times New Roman"/>
                <w:sz w:val="16"/>
                <w:szCs w:val="16"/>
                <w:color w:val="0000FF"/>
              </w:rPr>
            </w:pPr>
            <w:hyperlink r:id="rId316">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10</w:t>
              </w:r>
              <w:r>
                <w:rPr>
                  <w:rFonts w:ascii="Times New Roman" w:cs="Times New Roman" w:eastAsia="Times New Roman" w:hAnsi="Times New Roman"/>
                  <w:sz w:val="16"/>
                  <w:szCs w:val="16"/>
                  <w:color w:val="000000"/>
                </w:rPr>
                <w:t>+</w:t>
              </w:r>
            </w:hyperlink>
          </w:p>
        </w:tc>
        <w:tc>
          <w:tcPr>
            <w:tcW w:w="6300" w:type="dxa"/>
            <w:vAlign w:val="bottom"/>
            <w:gridSpan w:val="11"/>
          </w:tcPr>
          <w:p>
            <w:pPr>
              <w:spacing w:after="0"/>
              <w:rPr>
                <w:rFonts w:ascii="Times New Roman" w:cs="Times New Roman" w:eastAsia="Times New Roman" w:hAnsi="Times New Roman"/>
                <w:sz w:val="16"/>
                <w:szCs w:val="16"/>
                <w:color w:val="0000FF"/>
              </w:rPr>
            </w:pPr>
            <w:hyperlink r:id="rId316">
              <w:r>
                <w:rPr>
                  <w:rFonts w:ascii="Times New Roman" w:cs="Times New Roman" w:eastAsia="Times New Roman" w:hAnsi="Times New Roman"/>
                  <w:sz w:val="16"/>
                  <w:szCs w:val="16"/>
                  <w:color w:val="0000FF"/>
                </w:rPr>
                <w:t>Credit and Security Agreement, dated as of March 15, 2021, by and among Talkspace Network</w:t>
              </w:r>
            </w:hyperlink>
          </w:p>
        </w:tc>
      </w:tr>
      <w:tr>
        <w:trPr>
          <w:trHeight w:val="20"/>
        </w:trPr>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tcBorders>
              <w:right w:val="single" w:sz="8" w:color="0000FF"/>
            </w:tcBorders>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300" w:type="dxa"/>
            <w:vAlign w:val="bottom"/>
            <w:gridSpan w:val="11"/>
          </w:tcPr>
          <w:p>
            <w:pPr>
              <w:spacing w:after="0" w:line="183" w:lineRule="exact"/>
              <w:rPr>
                <w:rFonts w:ascii="Times New Roman" w:cs="Times New Roman" w:eastAsia="Times New Roman" w:hAnsi="Times New Roman"/>
                <w:sz w:val="16"/>
                <w:szCs w:val="16"/>
                <w:color w:val="0000FF"/>
              </w:rPr>
            </w:pPr>
            <w:hyperlink r:id="rId316">
              <w:r>
                <w:rPr>
                  <w:rFonts w:ascii="Times New Roman" w:cs="Times New Roman" w:eastAsia="Times New Roman" w:hAnsi="Times New Roman"/>
                  <w:sz w:val="16"/>
                  <w:szCs w:val="16"/>
                  <w:color w:val="0000FF"/>
                </w:rPr>
                <w:t>LLC, Groop Internet Platform, Inc. and JPMorgan Chase Bank, N.A.</w:t>
              </w:r>
            </w:hyperlink>
          </w:p>
        </w:tc>
      </w:tr>
      <w:tr>
        <w:trPr>
          <w:trHeight w:val="20"/>
        </w:trPr>
        <w:tc>
          <w:tcPr>
            <w:tcW w:w="380" w:type="dxa"/>
            <w:vAlign w:val="bottom"/>
            <w:gridSpan w:val="3"/>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tcBorders>
              <w:right w:val="single" w:sz="8" w:color="0000EE"/>
            </w:tcBorders>
            <w:gridSpan w:val="3"/>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gridSpan w:val="5"/>
          </w:tcPr>
          <w:p>
            <w:pPr>
              <w:spacing w:after="0"/>
              <w:rPr>
                <w:rFonts w:ascii="Times New Roman" w:cs="Times New Roman" w:eastAsia="Times New Roman" w:hAnsi="Times New Roman"/>
                <w:sz w:val="16"/>
                <w:szCs w:val="16"/>
                <w:color w:val="0000FF"/>
              </w:rPr>
            </w:pPr>
            <w:hyperlink r:id="rId317">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11</w:t>
              </w:r>
            </w:hyperlink>
            <w:r>
              <w:rPr>
                <w:rFonts w:ascii="Times New Roman" w:cs="Times New Roman" w:eastAsia="Times New Roman" w:hAnsi="Times New Roman"/>
                <w:sz w:val="16"/>
                <w:szCs w:val="16"/>
                <w:color w:val="000000"/>
              </w:rPr>
              <w:t>†</w:t>
            </w:r>
          </w:p>
        </w:tc>
        <w:tc>
          <w:tcPr>
            <w:tcW w:w="6300" w:type="dxa"/>
            <w:vAlign w:val="bottom"/>
            <w:gridSpan w:val="11"/>
          </w:tcPr>
          <w:p>
            <w:pPr>
              <w:spacing w:after="0"/>
              <w:rPr>
                <w:rFonts w:ascii="Times New Roman" w:cs="Times New Roman" w:eastAsia="Times New Roman" w:hAnsi="Times New Roman"/>
                <w:sz w:val="16"/>
                <w:szCs w:val="16"/>
                <w:color w:val="0000FF"/>
              </w:rPr>
            </w:pPr>
            <w:hyperlink r:id="rId317">
              <w:r>
                <w:rPr>
                  <w:rFonts w:ascii="Times New Roman" w:cs="Times New Roman" w:eastAsia="Times New Roman" w:hAnsi="Times New Roman"/>
                  <w:sz w:val="16"/>
                  <w:szCs w:val="16"/>
                  <w:color w:val="0000FF"/>
                </w:rPr>
                <w:t>Employment Agreement, dated July 2, 2021, between the Company and Jennifer Fulk.</w:t>
              </w:r>
            </w:hyperlink>
          </w:p>
        </w:tc>
      </w:tr>
      <w:tr>
        <w:trPr>
          <w:trHeight w:val="20"/>
        </w:trPr>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840" w:type="dxa"/>
            <w:vAlign w:val="bottom"/>
            <w:gridSpan w:val="4"/>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gridSpan w:val="5"/>
          </w:tcPr>
          <w:p>
            <w:pPr>
              <w:spacing w:after="0"/>
              <w:rPr>
                <w:rFonts w:ascii="Times New Roman" w:cs="Times New Roman" w:eastAsia="Times New Roman" w:hAnsi="Times New Roman"/>
                <w:sz w:val="16"/>
                <w:szCs w:val="16"/>
                <w:color w:val="0000FF"/>
              </w:rPr>
            </w:pPr>
            <w:hyperlink r:id="rId318">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12</w:t>
              </w:r>
            </w:hyperlink>
            <w:r>
              <w:rPr>
                <w:rFonts w:ascii="Times New Roman" w:cs="Times New Roman" w:eastAsia="Times New Roman" w:hAnsi="Times New Roman"/>
                <w:sz w:val="16"/>
                <w:szCs w:val="16"/>
                <w:color w:val="000000"/>
              </w:rPr>
              <w:t>†</w:t>
            </w:r>
          </w:p>
        </w:tc>
        <w:tc>
          <w:tcPr>
            <w:tcW w:w="6300" w:type="dxa"/>
            <w:vAlign w:val="bottom"/>
            <w:gridSpan w:val="11"/>
          </w:tcPr>
          <w:p>
            <w:pPr>
              <w:spacing w:after="0"/>
              <w:rPr>
                <w:rFonts w:ascii="Times New Roman" w:cs="Times New Roman" w:eastAsia="Times New Roman" w:hAnsi="Times New Roman"/>
                <w:sz w:val="16"/>
                <w:szCs w:val="16"/>
                <w:color w:val="0000FF"/>
              </w:rPr>
            </w:pPr>
            <w:hyperlink r:id="rId318">
              <w:r>
                <w:rPr>
                  <w:rFonts w:ascii="Times New Roman" w:cs="Times New Roman" w:eastAsia="Times New Roman" w:hAnsi="Times New Roman"/>
                  <w:sz w:val="16"/>
                  <w:szCs w:val="16"/>
                  <w:color w:val="0000FF"/>
                </w:rPr>
                <w:t>Retention Agreement, dated December 6, 2021 by and between the Company and Jennifer Fulk.</w:t>
              </w:r>
            </w:hyperlink>
          </w:p>
        </w:tc>
      </w:tr>
      <w:tr>
        <w:trPr>
          <w:trHeight w:val="20"/>
        </w:trPr>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8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40" w:type="dxa"/>
            <w:vAlign w:val="bottom"/>
            <w:gridSpan w:val="5"/>
          </w:tcPr>
          <w:p>
            <w:pPr>
              <w:spacing w:after="0"/>
              <w:rPr>
                <w:rFonts w:ascii="Times New Roman" w:cs="Times New Roman" w:eastAsia="Times New Roman" w:hAnsi="Times New Roman"/>
                <w:sz w:val="16"/>
                <w:szCs w:val="16"/>
                <w:color w:val="0000FF"/>
              </w:rPr>
            </w:pPr>
            <w:hyperlink r:id="rId319">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16</w:t>
              </w:r>
            </w:hyperlink>
            <w:r>
              <w:rPr>
                <w:rFonts w:ascii="Times New Roman" w:cs="Times New Roman" w:eastAsia="Times New Roman" w:hAnsi="Times New Roman"/>
                <w:sz w:val="16"/>
                <w:szCs w:val="16"/>
                <w:color w:val="000000"/>
              </w:rPr>
              <w:t>†</w:t>
            </w:r>
          </w:p>
        </w:tc>
        <w:tc>
          <w:tcPr>
            <w:tcW w:w="6300" w:type="dxa"/>
            <w:vAlign w:val="bottom"/>
            <w:gridSpan w:val="11"/>
          </w:tcPr>
          <w:p>
            <w:pPr>
              <w:spacing w:after="0"/>
              <w:rPr>
                <w:rFonts w:ascii="Times New Roman" w:cs="Times New Roman" w:eastAsia="Times New Roman" w:hAnsi="Times New Roman"/>
                <w:sz w:val="16"/>
                <w:szCs w:val="16"/>
                <w:color w:val="0000FF"/>
              </w:rPr>
            </w:pPr>
            <w:hyperlink r:id="rId319">
              <w:r>
                <w:rPr>
                  <w:rFonts w:ascii="Times New Roman" w:cs="Times New Roman" w:eastAsia="Times New Roman" w:hAnsi="Times New Roman"/>
                  <w:sz w:val="16"/>
                  <w:szCs w:val="16"/>
                  <w:color w:val="0000FF"/>
                </w:rPr>
                <w:t>Employment Offer Letter, dated as of June 22, 2021, by and between Talkspace, Inc. and Gil</w:t>
              </w:r>
            </w:hyperlink>
          </w:p>
        </w:tc>
      </w:tr>
      <w:tr>
        <w:trPr>
          <w:trHeight w:val="20"/>
        </w:trPr>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80" w:type="dxa"/>
            <w:vAlign w:val="bottom"/>
            <w:gridSpan w:val="6"/>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300" w:type="dxa"/>
            <w:vAlign w:val="bottom"/>
            <w:gridSpan w:val="11"/>
          </w:tcPr>
          <w:p>
            <w:pPr>
              <w:spacing w:after="0" w:line="183" w:lineRule="exact"/>
              <w:rPr>
                <w:rFonts w:ascii="Times New Roman" w:cs="Times New Roman" w:eastAsia="Times New Roman" w:hAnsi="Times New Roman"/>
                <w:sz w:val="16"/>
                <w:szCs w:val="16"/>
                <w:color w:val="0000FF"/>
              </w:rPr>
            </w:pPr>
            <w:hyperlink r:id="rId319">
              <w:r>
                <w:rPr>
                  <w:rFonts w:ascii="Times New Roman" w:cs="Times New Roman" w:eastAsia="Times New Roman" w:hAnsi="Times New Roman"/>
                  <w:sz w:val="16"/>
                  <w:szCs w:val="16"/>
                  <w:color w:val="0000FF"/>
                </w:rPr>
                <w:t>Margolin.</w:t>
              </w:r>
            </w:hyperlink>
          </w:p>
        </w:tc>
      </w:tr>
      <w:tr>
        <w:trPr>
          <w:trHeight w:val="20"/>
        </w:trPr>
        <w:tc>
          <w:tcPr>
            <w:tcW w:w="380" w:type="dxa"/>
            <w:vAlign w:val="bottom"/>
            <w:gridSpan w:val="3"/>
          </w:tcPr>
          <w:p>
            <w:pPr>
              <w:spacing w:after="0" w:line="20" w:lineRule="exact"/>
              <w:rPr>
                <w:sz w:val="1"/>
                <w:szCs w:val="1"/>
                <w:color w:val="auto"/>
              </w:rPr>
            </w:pPr>
          </w:p>
        </w:tc>
        <w:tc>
          <w:tcPr>
            <w:tcW w:w="560" w:type="dxa"/>
            <w:vAlign w:val="bottom"/>
            <w:tcBorders>
              <w:right w:val="single" w:sz="8" w:color="0000EE"/>
            </w:tcBorders>
            <w:gridSpan w:val="2"/>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60" w:type="dxa"/>
            <w:vAlign w:val="bottom"/>
            <w:gridSpan w:val="9"/>
          </w:tcPr>
          <w:p>
            <w:pPr>
              <w:spacing w:after="0" w:line="20" w:lineRule="exact"/>
              <w:rPr>
                <w:sz w:val="1"/>
                <w:szCs w:val="1"/>
                <w:color w:val="auto"/>
              </w:rPr>
            </w:pPr>
          </w:p>
        </w:tc>
      </w:tr>
      <w:tr>
        <w:trPr>
          <w:trHeight w:val="196"/>
        </w:trPr>
        <w:tc>
          <w:tcPr>
            <w:tcW w:w="940" w:type="dxa"/>
            <w:vAlign w:val="bottom"/>
            <w:gridSpan w:val="5"/>
          </w:tcPr>
          <w:p>
            <w:pPr>
              <w:spacing w:after="0"/>
              <w:rPr>
                <w:rFonts w:ascii="Times New Roman" w:cs="Times New Roman" w:eastAsia="Times New Roman" w:hAnsi="Times New Roman"/>
                <w:sz w:val="16"/>
                <w:szCs w:val="16"/>
                <w:color w:val="0000FF"/>
              </w:rPr>
            </w:pPr>
            <w:hyperlink r:id="rId320">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17</w:t>
              </w:r>
              <w:r>
                <w:rPr>
                  <w:rFonts w:ascii="Times New Roman" w:cs="Times New Roman" w:eastAsia="Times New Roman" w:hAnsi="Times New Roman"/>
                  <w:sz w:val="16"/>
                  <w:szCs w:val="16"/>
                  <w:color w:val="000000"/>
                </w:rPr>
                <w:t>†</w:t>
              </w:r>
            </w:hyperlink>
          </w:p>
        </w:tc>
        <w:tc>
          <w:tcPr>
            <w:tcW w:w="6300" w:type="dxa"/>
            <w:vAlign w:val="bottom"/>
            <w:gridSpan w:val="11"/>
          </w:tcPr>
          <w:p>
            <w:pPr>
              <w:spacing w:after="0"/>
              <w:rPr>
                <w:rFonts w:ascii="Times New Roman" w:cs="Times New Roman" w:eastAsia="Times New Roman" w:hAnsi="Times New Roman"/>
                <w:sz w:val="16"/>
                <w:szCs w:val="16"/>
                <w:color w:val="0000FF"/>
              </w:rPr>
            </w:pPr>
            <w:hyperlink r:id="rId320">
              <w:r>
                <w:rPr>
                  <w:rFonts w:ascii="Times New Roman" w:cs="Times New Roman" w:eastAsia="Times New Roman" w:hAnsi="Times New Roman"/>
                  <w:sz w:val="16"/>
                  <w:szCs w:val="16"/>
                  <w:color w:val="0000FF"/>
                </w:rPr>
                <w:t>Employment Offer Letter, dated as of June 22, 2021, by and between Talkspace, Inc. and Samara</w:t>
              </w:r>
            </w:hyperlink>
          </w:p>
        </w:tc>
      </w:tr>
      <w:tr>
        <w:trPr>
          <w:trHeight w:val="20"/>
        </w:trPr>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560" w:type="dxa"/>
            <w:vAlign w:val="bottom"/>
            <w:gridSpan w:val="9"/>
            <w:shd w:val="clear" w:color="auto" w:fill="0000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300" w:type="dxa"/>
            <w:vAlign w:val="bottom"/>
            <w:gridSpan w:val="11"/>
          </w:tcPr>
          <w:p>
            <w:pPr>
              <w:spacing w:after="0" w:line="183" w:lineRule="exact"/>
              <w:rPr>
                <w:rFonts w:ascii="Times New Roman" w:cs="Times New Roman" w:eastAsia="Times New Roman" w:hAnsi="Times New Roman"/>
                <w:sz w:val="16"/>
                <w:szCs w:val="16"/>
                <w:color w:val="0000FF"/>
              </w:rPr>
            </w:pPr>
            <w:hyperlink r:id="rId320">
              <w:r>
                <w:rPr>
                  <w:rFonts w:ascii="Times New Roman" w:cs="Times New Roman" w:eastAsia="Times New Roman" w:hAnsi="Times New Roman"/>
                  <w:sz w:val="16"/>
                  <w:szCs w:val="16"/>
                  <w:color w:val="0000FF"/>
                </w:rPr>
                <w:t>Braunstein.</w:t>
              </w:r>
            </w:hyperlink>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001-39314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6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6/23/21</w:t>
            </w:r>
          </w:p>
        </w:tc>
      </w:tr>
      <w:tr>
        <w:trPr>
          <w:trHeight w:val="216"/>
        </w:trPr>
        <w:tc>
          <w:tcPr>
            <w:tcW w:w="4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001-39314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10.7(a)</w:t>
            </w:r>
          </w:p>
        </w:tc>
        <w:tc>
          <w:tcPr>
            <w:tcW w:w="6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6/23/21</w:t>
            </w:r>
          </w:p>
        </w:tc>
      </w:tr>
      <w:tr>
        <w:trPr>
          <w:trHeight w:val="216"/>
        </w:trPr>
        <w:tc>
          <w:tcPr>
            <w:tcW w:w="4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001-39314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10.7(b)</w:t>
            </w:r>
          </w:p>
        </w:tc>
        <w:tc>
          <w:tcPr>
            <w:tcW w:w="6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6/23/21</w:t>
            </w:r>
          </w:p>
        </w:tc>
      </w:tr>
      <w:tr>
        <w:trPr>
          <w:trHeight w:val="216"/>
        </w:trPr>
        <w:tc>
          <w:tcPr>
            <w:tcW w:w="4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001-39314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10.9</w:t>
            </w:r>
          </w:p>
        </w:tc>
        <w:tc>
          <w:tcPr>
            <w:tcW w:w="6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6/23/21</w:t>
            </w:r>
          </w:p>
        </w:tc>
      </w:tr>
      <w:tr>
        <w:trPr>
          <w:trHeight w:val="216"/>
        </w:trPr>
        <w:tc>
          <w:tcPr>
            <w:tcW w:w="4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S-4/A</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333-252638</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10.19</w:t>
            </w:r>
          </w:p>
        </w:tc>
        <w:tc>
          <w:tcPr>
            <w:tcW w:w="6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4/6/21</w:t>
            </w:r>
          </w:p>
        </w:tc>
      </w:tr>
      <w:tr>
        <w:trPr>
          <w:trHeight w:val="418"/>
        </w:trPr>
        <w:tc>
          <w:tcPr>
            <w:tcW w:w="4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10-Q</w:t>
            </w: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001-39314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10.14</w:t>
            </w:r>
          </w:p>
        </w:tc>
        <w:tc>
          <w:tcPr>
            <w:tcW w:w="6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8/9/21</w:t>
            </w:r>
          </w:p>
        </w:tc>
      </w:tr>
      <w:tr>
        <w:trPr>
          <w:trHeight w:val="216"/>
        </w:trPr>
        <w:tc>
          <w:tcPr>
            <w:tcW w:w="4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001-39314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6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12/10/21</w:t>
            </w:r>
          </w:p>
        </w:tc>
      </w:tr>
      <w:tr>
        <w:trPr>
          <w:trHeight w:val="216"/>
        </w:trPr>
        <w:tc>
          <w:tcPr>
            <w:tcW w:w="4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10-K</w:t>
            </w: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001-39314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10.16</w:t>
            </w:r>
          </w:p>
        </w:tc>
        <w:tc>
          <w:tcPr>
            <w:tcW w:w="6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2/25/22</w:t>
            </w:r>
          </w:p>
        </w:tc>
      </w:tr>
      <w:tr>
        <w:trPr>
          <w:trHeight w:val="418"/>
        </w:trPr>
        <w:tc>
          <w:tcPr>
            <w:tcW w:w="4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10-K</w:t>
            </w: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001-39314</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10.17</w:t>
            </w:r>
          </w:p>
        </w:tc>
        <w:tc>
          <w:tcPr>
            <w:tcW w:w="6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2/25/22</w:t>
            </w:r>
          </w:p>
        </w:tc>
      </w:tr>
    </w:tbl>
    <w:p>
      <w:pPr>
        <w:spacing w:after="0" w:line="230" w:lineRule="exact"/>
        <w:rPr>
          <w:sz w:val="20"/>
          <w:szCs w:val="20"/>
          <w:color w:val="auto"/>
        </w:rPr>
      </w:pPr>
    </w:p>
    <w:p>
      <w:pPr>
        <w:sectPr>
          <w:pgSz w:w="11900" w:h="16838" w:orient="portrait"/>
          <w:cols w:equalWidth="0" w:num="2">
            <w:col w:w="7260" w:space="360"/>
            <w:col w:w="3620"/>
          </w:cols>
          <w:pgMar w:left="320" w:top="769" w:right="339" w:bottom="1440" w:gutter="0" w:footer="0" w:header="0"/>
          <w:type w:val="continuous"/>
        </w:sectPr>
      </w:pPr>
    </w:p>
    <w:tbl>
      <w:tblPr>
        <w:tblLayout w:type="fixed"/>
        <w:tblInd w:w="20" w:type="dxa"/>
        <w:tblCellMar>
          <w:top w:w="0" w:type="dxa"/>
          <w:left w:w="0" w:type="dxa"/>
          <w:bottom w:w="0" w:type="dxa"/>
          <w:right w:w="0" w:type="dxa"/>
        </w:tblCellMar>
      </w:tblPr>
      <w:tr>
        <w:trPr>
          <w:trHeight w:val="185"/>
        </w:trPr>
        <w:tc>
          <w:tcPr>
            <w:tcW w:w="940" w:type="dxa"/>
            <w:vAlign w:val="bottom"/>
            <w:gridSpan w:val="2"/>
          </w:tcPr>
          <w:p>
            <w:pPr>
              <w:spacing w:after="0"/>
              <w:rPr>
                <w:rFonts w:ascii="Times New Roman" w:cs="Times New Roman" w:eastAsia="Times New Roman" w:hAnsi="Times New Roman"/>
                <w:sz w:val="16"/>
                <w:szCs w:val="16"/>
                <w:color w:val="0000FF"/>
              </w:rPr>
            </w:pPr>
            <w:hyperlink r:id="rId321">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18</w:t>
              </w:r>
            </w:hyperlink>
            <w:r>
              <w:rPr>
                <w:rFonts w:ascii="Times New Roman" w:cs="Times New Roman" w:eastAsia="Times New Roman" w:hAnsi="Times New Roman"/>
                <w:sz w:val="16"/>
                <w:szCs w:val="16"/>
                <w:color w:val="000000"/>
              </w:rPr>
              <w:t>†</w:t>
            </w:r>
          </w:p>
        </w:tc>
        <w:tc>
          <w:tcPr>
            <w:tcW w:w="6320" w:type="dxa"/>
            <w:vAlign w:val="bottom"/>
            <w:gridSpan w:val="2"/>
          </w:tcPr>
          <w:p>
            <w:pPr>
              <w:spacing w:after="0"/>
              <w:rPr>
                <w:rFonts w:ascii="Times New Roman" w:cs="Times New Roman" w:eastAsia="Times New Roman" w:hAnsi="Times New Roman"/>
                <w:sz w:val="16"/>
                <w:szCs w:val="16"/>
                <w:color w:val="0000FF"/>
              </w:rPr>
            </w:pPr>
            <w:hyperlink r:id="rId321">
              <w:r>
                <w:rPr>
                  <w:rFonts w:ascii="Times New Roman" w:cs="Times New Roman" w:eastAsia="Times New Roman" w:hAnsi="Times New Roman"/>
                  <w:sz w:val="16"/>
                  <w:szCs w:val="16"/>
                  <w:color w:val="0000FF"/>
                </w:rPr>
                <w:t>Employment Offer Letter, dated as of June 22, 2021, by and between Talkspace, Inc. and John C.</w:t>
              </w:r>
            </w:hyperlink>
          </w:p>
        </w:tc>
        <w:tc>
          <w:tcPr>
            <w:tcW w:w="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10-K</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001-39314</w:t>
            </w: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10.18</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2/25/22</w:t>
            </w:r>
          </w:p>
        </w:tc>
      </w:tr>
      <w:tr>
        <w:trPr>
          <w:trHeight w:val="20"/>
        </w:trPr>
        <w:tc>
          <w:tcPr>
            <w:tcW w:w="3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9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320" w:type="dxa"/>
            <w:vAlign w:val="bottom"/>
            <w:gridSpan w:val="2"/>
          </w:tcPr>
          <w:p>
            <w:pPr>
              <w:spacing w:after="0" w:line="183" w:lineRule="exact"/>
              <w:rPr>
                <w:rFonts w:ascii="Times New Roman" w:cs="Times New Roman" w:eastAsia="Times New Roman" w:hAnsi="Times New Roman"/>
                <w:sz w:val="16"/>
                <w:szCs w:val="16"/>
                <w:color w:val="0000FF"/>
              </w:rPr>
            </w:pPr>
            <w:hyperlink r:id="rId321">
              <w:r>
                <w:rPr>
                  <w:rFonts w:ascii="Times New Roman" w:cs="Times New Roman" w:eastAsia="Times New Roman" w:hAnsi="Times New Roman"/>
                  <w:sz w:val="16"/>
                  <w:szCs w:val="16"/>
                  <w:color w:val="0000FF"/>
                </w:rPr>
                <w:t>Reilly.</w:t>
              </w:r>
            </w:hyperlink>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8" w:lineRule="exact"/>
        <w:rPr>
          <w:sz w:val="20"/>
          <w:szCs w:val="20"/>
          <w:color w:val="auto"/>
        </w:rPr>
      </w:pPr>
    </w:p>
    <w:p>
      <w:pPr>
        <w:sectPr>
          <w:pgSz w:w="11900" w:h="16838" w:orient="portrait"/>
          <w:cols w:equalWidth="0" w:num="1">
            <w:col w:w="11240"/>
          </w:cols>
          <w:pgMar w:left="320" w:top="769" w:right="339" w:bottom="1440" w:gutter="0" w:footer="0" w:header="0"/>
          <w:type w:val="continuous"/>
        </w:sectPr>
      </w:pPr>
    </w:p>
    <w:p>
      <w:pPr>
        <w:spacing w:after="0" w:line="9" w:lineRule="exact"/>
        <w:rPr>
          <w:sz w:val="20"/>
          <w:szCs w:val="20"/>
          <w:color w:val="auto"/>
        </w:rPr>
      </w:pPr>
    </w:p>
    <w:p>
      <w:pPr>
        <w:ind w:left="940" w:right="240" w:hanging="917"/>
        <w:spacing w:after="0" w:line="272" w:lineRule="auto"/>
        <w:tabs>
          <w:tab w:leader="none" w:pos="920" w:val="left"/>
        </w:tabs>
        <w:rPr>
          <w:rFonts w:ascii="Times New Roman" w:cs="Times New Roman" w:eastAsia="Times New Roman" w:hAnsi="Times New Roman"/>
          <w:sz w:val="16"/>
          <w:szCs w:val="16"/>
          <w:u w:val="single" w:color="auto"/>
          <w:color w:val="0000FF"/>
        </w:rPr>
      </w:pPr>
      <w:hyperlink r:id="rId322">
        <w:r>
          <w:rPr>
            <w:rFonts w:ascii="Times New Roman" w:cs="Times New Roman" w:eastAsia="Times New Roman" w:hAnsi="Times New Roman"/>
            <w:sz w:val="16"/>
            <w:szCs w:val="16"/>
            <w:u w:val="single" w:color="auto"/>
            <w:color w:val="0000FF"/>
          </w:rPr>
          <w:t>10.19</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ab/>
      </w:r>
      <w:hyperlink r:id="rId322">
        <w:r>
          <w:rPr>
            <w:rFonts w:ascii="Times New Roman" w:cs="Times New Roman" w:eastAsia="Times New Roman" w:hAnsi="Times New Roman"/>
            <w:sz w:val="16"/>
            <w:szCs w:val="16"/>
            <w:u w:val="single" w:color="auto"/>
            <w:color w:val="0000FF"/>
          </w:rPr>
          <w:t>Retention Agreement, dated as of December 6, 2021, by and between Talkspace, Inc. and Gil</w:t>
        </w:r>
      </w:hyperlink>
      <w:r>
        <w:rPr>
          <w:rFonts w:ascii="Times New Roman" w:cs="Times New Roman" w:eastAsia="Times New Roman" w:hAnsi="Times New Roman"/>
          <w:sz w:val="16"/>
          <w:szCs w:val="16"/>
          <w:u w:val="single" w:color="auto"/>
          <w:color w:val="0000FF"/>
        </w:rPr>
        <w:t xml:space="preserve"> </w:t>
      </w:r>
      <w:hyperlink r:id="rId322">
        <w:r>
          <w:rPr>
            <w:rFonts w:ascii="Times New Roman" w:cs="Times New Roman" w:eastAsia="Times New Roman" w:hAnsi="Times New Roman"/>
            <w:sz w:val="16"/>
            <w:szCs w:val="16"/>
            <w:u w:val="single" w:color="auto"/>
            <w:color w:val="0000FF"/>
          </w:rPr>
          <w:t>Margolin.</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13335</wp:posOffset>
            </wp:positionH>
            <wp:positionV relativeFrom="paragraph">
              <wp:posOffset>-152400</wp:posOffset>
            </wp:positionV>
            <wp:extent cx="444309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3">
                      <a:extLst>
                        <a:ext uri="{28A0092B-C50C-407E-A947-70E740481C1C}"/>
                      </a:extLst>
                    </a:blip>
                    <a:srcRect/>
                    <a:stretch>
                      <a:fillRect/>
                    </a:stretch>
                  </pic:blipFill>
                  <pic:spPr bwMode="auto">
                    <a:xfrm>
                      <a:off x="0" y="0"/>
                      <a:ext cx="444309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-24130</wp:posOffset>
            </wp:positionV>
            <wp:extent cx="4064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4">
                      <a:extLst>
                        <a:ext uri="{28A0092B-C50C-407E-A947-70E740481C1C}"/>
                      </a:extLst>
                    </a:blip>
                    <a:srcRect/>
                    <a:stretch>
                      <a:fillRect/>
                    </a:stretch>
                  </pic:blipFill>
                  <pic:spPr bwMode="auto">
                    <a:xfrm>
                      <a:off x="0" y="0"/>
                      <a:ext cx="406400" cy="8255"/>
                    </a:xfrm>
                    <a:prstGeom prst="rect">
                      <a:avLst/>
                    </a:prstGeom>
                    <a:noFill/>
                  </pic:spPr>
                </pic:pic>
              </a:graphicData>
            </a:graphic>
          </wp:anchor>
        </w:drawing>
      </w:r>
    </w:p>
    <w:p>
      <w:pPr>
        <w:ind w:left="940" w:hanging="917"/>
        <w:spacing w:after="0" w:line="269" w:lineRule="auto"/>
        <w:tabs>
          <w:tab w:leader="none" w:pos="920" w:val="left"/>
        </w:tabs>
        <w:rPr>
          <w:rFonts w:ascii="Times New Roman" w:cs="Times New Roman" w:eastAsia="Times New Roman" w:hAnsi="Times New Roman"/>
          <w:sz w:val="16"/>
          <w:szCs w:val="16"/>
          <w:u w:val="single" w:color="auto"/>
          <w:color w:val="0000FF"/>
        </w:rPr>
      </w:pPr>
      <w:hyperlink r:id="rId325">
        <w:r>
          <w:rPr>
            <w:rFonts w:ascii="Times New Roman" w:cs="Times New Roman" w:eastAsia="Times New Roman" w:hAnsi="Times New Roman"/>
            <w:sz w:val="16"/>
            <w:szCs w:val="16"/>
            <w:u w:val="single" w:color="auto"/>
            <w:color w:val="0000FF"/>
          </w:rPr>
          <w:t>10.20</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ab/>
      </w:r>
      <w:hyperlink r:id="rId325">
        <w:r>
          <w:rPr>
            <w:rFonts w:ascii="Times New Roman" w:cs="Times New Roman" w:eastAsia="Times New Roman" w:hAnsi="Times New Roman"/>
            <w:sz w:val="16"/>
            <w:szCs w:val="16"/>
            <w:u w:val="single" w:color="auto"/>
            <w:color w:val="0000FF"/>
          </w:rPr>
          <w:t>Retention Agreement, dated as of December 6,2021, by and between Talkspace, Inc. and Samara</w:t>
        </w:r>
      </w:hyperlink>
      <w:r>
        <w:rPr>
          <w:rFonts w:ascii="Times New Roman" w:cs="Times New Roman" w:eastAsia="Times New Roman" w:hAnsi="Times New Roman"/>
          <w:sz w:val="16"/>
          <w:szCs w:val="16"/>
          <w:u w:val="single" w:color="auto"/>
          <w:color w:val="0000FF"/>
        </w:rPr>
        <w:t xml:space="preserve"> </w:t>
      </w:r>
      <w:hyperlink r:id="rId325">
        <w:r>
          <w:rPr>
            <w:rFonts w:ascii="Times New Roman" w:cs="Times New Roman" w:eastAsia="Times New Roman" w:hAnsi="Times New Roman"/>
            <w:sz w:val="16"/>
            <w:szCs w:val="16"/>
            <w:u w:val="single" w:color="auto"/>
            <w:color w:val="0000FF"/>
          </w:rPr>
          <w:t>Braunstein.</w:t>
        </w:r>
      </w:hyperlink>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13335</wp:posOffset>
            </wp:positionH>
            <wp:positionV relativeFrom="paragraph">
              <wp:posOffset>-149860</wp:posOffset>
            </wp:positionV>
            <wp:extent cx="459486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6">
                      <a:extLst>
                        <a:ext uri="{28A0092B-C50C-407E-A947-70E740481C1C}"/>
                      </a:extLst>
                    </a:blip>
                    <a:srcRect/>
                    <a:stretch>
                      <a:fillRect/>
                    </a:stretch>
                  </pic:blipFill>
                  <pic:spPr bwMode="auto">
                    <a:xfrm>
                      <a:off x="0" y="0"/>
                      <a:ext cx="45948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-20955</wp:posOffset>
            </wp:positionV>
            <wp:extent cx="4711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7">
                      <a:extLst>
                        <a:ext uri="{28A0092B-C50C-407E-A947-70E740481C1C}"/>
                      </a:extLst>
                    </a:blip>
                    <a:srcRect/>
                    <a:stretch>
                      <a:fillRect/>
                    </a:stretch>
                  </pic:blipFill>
                  <pic:spPr bwMode="auto">
                    <a:xfrm>
                      <a:off x="0" y="0"/>
                      <a:ext cx="471170" cy="8890"/>
                    </a:xfrm>
                    <a:prstGeom prst="rect">
                      <a:avLst/>
                    </a:prstGeom>
                    <a:noFill/>
                  </pic:spPr>
                </pic:pic>
              </a:graphicData>
            </a:graphic>
          </wp:anchor>
        </w:drawing>
      </w:r>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br w:type="column"/>
      </w:r>
    </w:p>
    <w:p>
      <w:pPr>
        <w:spacing w:after="0"/>
        <w:tabs>
          <w:tab w:leader="none" w:pos="600" w:val="left"/>
          <w:tab w:leader="none" w:pos="1540" w:val="left"/>
          <w:tab w:leader="none" w:pos="2140" w:val="left"/>
        </w:tabs>
        <w:rPr>
          <w:sz w:val="20"/>
          <w:szCs w:val="20"/>
          <w:color w:val="auto"/>
        </w:rPr>
      </w:pPr>
      <w:r>
        <w:rPr>
          <w:rFonts w:ascii="Times New Roman" w:cs="Times New Roman" w:eastAsia="Times New Roman" w:hAnsi="Times New Roman"/>
          <w:sz w:val="14"/>
          <w:szCs w:val="14"/>
          <w:color w:val="auto"/>
        </w:rPr>
        <w:t>10-K</w:t>
      </w:r>
      <w:r>
        <w:rPr>
          <w:sz w:val="20"/>
          <w:szCs w:val="20"/>
          <w:color w:val="auto"/>
        </w:rPr>
        <w:tab/>
      </w:r>
      <w:r>
        <w:rPr>
          <w:rFonts w:ascii="Times New Roman" w:cs="Times New Roman" w:eastAsia="Times New Roman" w:hAnsi="Times New Roman"/>
          <w:sz w:val="14"/>
          <w:szCs w:val="14"/>
          <w:color w:val="auto"/>
        </w:rPr>
        <w:t>001-39314</w:t>
      </w:r>
      <w:r>
        <w:rPr>
          <w:sz w:val="20"/>
          <w:szCs w:val="20"/>
          <w:color w:val="auto"/>
        </w:rPr>
        <w:tab/>
      </w:r>
      <w:r>
        <w:rPr>
          <w:rFonts w:ascii="Times New Roman" w:cs="Times New Roman" w:eastAsia="Times New Roman" w:hAnsi="Times New Roman"/>
          <w:sz w:val="14"/>
          <w:szCs w:val="14"/>
          <w:color w:val="auto"/>
        </w:rPr>
        <w:t>10.19</w:t>
      </w:r>
      <w:r>
        <w:rPr>
          <w:sz w:val="20"/>
          <w:szCs w:val="20"/>
          <w:color w:val="auto"/>
        </w:rPr>
        <w:tab/>
      </w:r>
      <w:r>
        <w:rPr>
          <w:rFonts w:ascii="Times New Roman" w:cs="Times New Roman" w:eastAsia="Times New Roman" w:hAnsi="Times New Roman"/>
          <w:sz w:val="14"/>
          <w:szCs w:val="14"/>
          <w:color w:val="auto"/>
        </w:rPr>
        <w:t>2/25/22</w:t>
      </w:r>
    </w:p>
    <w:p>
      <w:pPr>
        <w:spacing w:after="0" w:line="258" w:lineRule="exact"/>
        <w:rPr>
          <w:rFonts w:ascii="Times New Roman" w:cs="Times New Roman" w:eastAsia="Times New Roman" w:hAnsi="Times New Roman"/>
          <w:sz w:val="16"/>
          <w:szCs w:val="16"/>
          <w:color w:val="0000FF"/>
        </w:rPr>
      </w:pPr>
    </w:p>
    <w:p>
      <w:pPr>
        <w:spacing w:after="0"/>
        <w:tabs>
          <w:tab w:leader="none" w:pos="600" w:val="left"/>
          <w:tab w:leader="none" w:pos="1540" w:val="left"/>
          <w:tab w:leader="none" w:pos="2140" w:val="left"/>
        </w:tabs>
        <w:rPr>
          <w:sz w:val="20"/>
          <w:szCs w:val="20"/>
          <w:color w:val="auto"/>
        </w:rPr>
      </w:pPr>
      <w:r>
        <w:rPr>
          <w:rFonts w:ascii="Times New Roman" w:cs="Times New Roman" w:eastAsia="Times New Roman" w:hAnsi="Times New Roman"/>
          <w:sz w:val="14"/>
          <w:szCs w:val="14"/>
          <w:color w:val="auto"/>
        </w:rPr>
        <w:t>10-K</w:t>
      </w:r>
      <w:r>
        <w:rPr>
          <w:sz w:val="20"/>
          <w:szCs w:val="20"/>
          <w:color w:val="auto"/>
        </w:rPr>
        <w:tab/>
      </w:r>
      <w:r>
        <w:rPr>
          <w:rFonts w:ascii="Times New Roman" w:cs="Times New Roman" w:eastAsia="Times New Roman" w:hAnsi="Times New Roman"/>
          <w:sz w:val="14"/>
          <w:szCs w:val="14"/>
          <w:color w:val="auto"/>
        </w:rPr>
        <w:t>001-39314</w:t>
      </w:r>
      <w:r>
        <w:rPr>
          <w:sz w:val="20"/>
          <w:szCs w:val="20"/>
          <w:color w:val="auto"/>
        </w:rPr>
        <w:tab/>
      </w:r>
      <w:r>
        <w:rPr>
          <w:rFonts w:ascii="Times New Roman" w:cs="Times New Roman" w:eastAsia="Times New Roman" w:hAnsi="Times New Roman"/>
          <w:sz w:val="14"/>
          <w:szCs w:val="14"/>
          <w:color w:val="auto"/>
        </w:rPr>
        <w:t>10.20</w:t>
      </w:r>
      <w:r>
        <w:rPr>
          <w:sz w:val="20"/>
          <w:szCs w:val="20"/>
          <w:color w:val="auto"/>
        </w:rPr>
        <w:tab/>
      </w:r>
      <w:r>
        <w:rPr>
          <w:rFonts w:ascii="Times New Roman" w:cs="Times New Roman" w:eastAsia="Times New Roman" w:hAnsi="Times New Roman"/>
          <w:sz w:val="14"/>
          <w:szCs w:val="14"/>
          <w:color w:val="auto"/>
        </w:rPr>
        <w:t>2/25/22</w:t>
      </w:r>
    </w:p>
    <w:p>
      <w:pPr>
        <w:spacing w:after="0" w:line="261" w:lineRule="exact"/>
        <w:rPr>
          <w:rFonts w:ascii="Times New Roman" w:cs="Times New Roman" w:eastAsia="Times New Roman" w:hAnsi="Times New Roman"/>
          <w:sz w:val="16"/>
          <w:szCs w:val="16"/>
          <w:color w:val="0000FF"/>
        </w:rPr>
      </w:pPr>
    </w:p>
    <w:p>
      <w:pPr>
        <w:sectPr>
          <w:pgSz w:w="11900" w:h="16838" w:orient="portrait"/>
          <w:cols w:equalWidth="0" w:num="2">
            <w:col w:w="7220" w:space="420"/>
            <w:col w:w="3600"/>
          </w:cols>
          <w:pgMar w:left="320" w:top="769" w:right="339" w:bottom="1440" w:gutter="0" w:footer="0" w:header="0"/>
          <w:type w:val="continuous"/>
        </w:sectPr>
      </w:pPr>
    </w:p>
    <w:tbl>
      <w:tblPr>
        <w:tblLayout w:type="fixed"/>
        <w:tblInd w:w="20" w:type="dxa"/>
        <w:tblCellMar>
          <w:top w:w="0" w:type="dxa"/>
          <w:left w:w="0" w:type="dxa"/>
          <w:bottom w:w="0" w:type="dxa"/>
          <w:right w:w="0" w:type="dxa"/>
        </w:tblCellMar>
      </w:tblPr>
      <w:tr>
        <w:trPr>
          <w:trHeight w:val="182"/>
        </w:trPr>
        <w:tc>
          <w:tcPr>
            <w:tcW w:w="940" w:type="dxa"/>
            <w:vAlign w:val="bottom"/>
            <w:gridSpan w:val="4"/>
          </w:tcPr>
          <w:p>
            <w:pPr>
              <w:spacing w:after="0" w:line="182" w:lineRule="exact"/>
              <w:rPr>
                <w:rFonts w:ascii="Times New Roman" w:cs="Times New Roman" w:eastAsia="Times New Roman" w:hAnsi="Times New Roman"/>
                <w:sz w:val="16"/>
                <w:szCs w:val="16"/>
                <w:color w:val="0000FF"/>
              </w:rPr>
            </w:pPr>
            <w:hyperlink r:id="rId328">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21</w:t>
              </w:r>
            </w:hyperlink>
            <w:r>
              <w:rPr>
                <w:rFonts w:ascii="Times New Roman" w:cs="Times New Roman" w:eastAsia="Times New Roman" w:hAnsi="Times New Roman"/>
                <w:sz w:val="16"/>
                <w:szCs w:val="16"/>
                <w:color w:val="000000"/>
              </w:rPr>
              <w:t>†</w:t>
            </w:r>
          </w:p>
        </w:tc>
        <w:tc>
          <w:tcPr>
            <w:tcW w:w="6420" w:type="dxa"/>
            <w:vAlign w:val="bottom"/>
            <w:gridSpan w:val="12"/>
          </w:tcPr>
          <w:p>
            <w:pPr>
              <w:spacing w:after="0" w:line="182" w:lineRule="exact"/>
              <w:rPr>
                <w:rFonts w:ascii="Times New Roman" w:cs="Times New Roman" w:eastAsia="Times New Roman" w:hAnsi="Times New Roman"/>
                <w:sz w:val="16"/>
                <w:szCs w:val="16"/>
                <w:color w:val="0000FF"/>
              </w:rPr>
            </w:pPr>
            <w:hyperlink r:id="rId328">
              <w:r>
                <w:rPr>
                  <w:rFonts w:ascii="Times New Roman" w:cs="Times New Roman" w:eastAsia="Times New Roman" w:hAnsi="Times New Roman"/>
                  <w:sz w:val="16"/>
                  <w:szCs w:val="16"/>
                  <w:color w:val="0000FF"/>
                </w:rPr>
                <w:t>Retention Agreement, dated as of December 6, 2021, by and between Talkspace, Inc. and John C.</w:t>
              </w:r>
            </w:hyperlink>
          </w:p>
        </w:tc>
        <w:tc>
          <w:tcPr>
            <w:tcW w:w="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10-K</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001-39314</w:t>
            </w: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10.21</w:t>
            </w:r>
          </w:p>
        </w:tc>
        <w:tc>
          <w:tcPr>
            <w:tcW w:w="1220" w:type="dxa"/>
            <w:vAlign w:val="bottom"/>
          </w:tcPr>
          <w:p>
            <w:pPr>
              <w:jc w:val="right"/>
              <w:ind w:right="564"/>
              <w:spacing w:after="0"/>
              <w:rPr>
                <w:sz w:val="20"/>
                <w:szCs w:val="20"/>
                <w:color w:val="auto"/>
              </w:rPr>
            </w:pPr>
            <w:r>
              <w:rPr>
                <w:rFonts w:ascii="Times New Roman" w:cs="Times New Roman" w:eastAsia="Times New Roman" w:hAnsi="Times New Roman"/>
                <w:sz w:val="14"/>
                <w:szCs w:val="14"/>
                <w:color w:val="auto"/>
              </w:rPr>
              <w:t>2/25/22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20" w:type="dxa"/>
            <w:vAlign w:val="bottom"/>
            <w:gridSpan w:val="12"/>
          </w:tcPr>
          <w:p>
            <w:pPr>
              <w:spacing w:after="0" w:line="183" w:lineRule="exact"/>
              <w:rPr>
                <w:rFonts w:ascii="Times New Roman" w:cs="Times New Roman" w:eastAsia="Times New Roman" w:hAnsi="Times New Roman"/>
                <w:sz w:val="16"/>
                <w:szCs w:val="16"/>
                <w:color w:val="0000FF"/>
              </w:rPr>
            </w:pPr>
            <w:hyperlink r:id="rId328">
              <w:r>
                <w:rPr>
                  <w:rFonts w:ascii="Times New Roman" w:cs="Times New Roman" w:eastAsia="Times New Roman" w:hAnsi="Times New Roman"/>
                  <w:sz w:val="16"/>
                  <w:szCs w:val="16"/>
                  <w:color w:val="0000FF"/>
                </w:rPr>
                <w:t>Reilly.</w:t>
              </w:r>
            </w:hyperlink>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10-K</w:t>
            </w:r>
          </w:p>
        </w:tc>
        <w:tc>
          <w:tcPr>
            <w:tcW w:w="9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001-39314</w:t>
            </w:r>
          </w:p>
        </w:tc>
        <w:tc>
          <w:tcPr>
            <w:tcW w:w="6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10.22</w:t>
            </w:r>
          </w:p>
        </w:tc>
        <w:tc>
          <w:tcPr>
            <w:tcW w:w="1220" w:type="dxa"/>
            <w:vAlign w:val="bottom"/>
            <w:vMerge w:val="restart"/>
          </w:tcPr>
          <w:p>
            <w:pPr>
              <w:jc w:val="right"/>
              <w:ind w:right="564"/>
              <w:spacing w:after="0"/>
              <w:rPr>
                <w:sz w:val="20"/>
                <w:szCs w:val="20"/>
                <w:color w:val="auto"/>
              </w:rPr>
            </w:pPr>
            <w:r>
              <w:rPr>
                <w:rFonts w:ascii="Times New Roman" w:cs="Times New Roman" w:eastAsia="Times New Roman" w:hAnsi="Times New Roman"/>
                <w:sz w:val="14"/>
                <w:szCs w:val="14"/>
                <w:color w:val="auto"/>
              </w:rPr>
              <w:t>3/10/23</w:t>
            </w: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4"/>
          </w:tcPr>
          <w:p>
            <w:pPr>
              <w:spacing w:after="0"/>
              <w:rPr>
                <w:rFonts w:ascii="Times New Roman" w:cs="Times New Roman" w:eastAsia="Times New Roman" w:hAnsi="Times New Roman"/>
                <w:sz w:val="16"/>
                <w:szCs w:val="16"/>
                <w:color w:val="0000FF"/>
              </w:rPr>
            </w:pPr>
            <w:hyperlink r:id="rId329">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22</w:t>
              </w:r>
            </w:hyperlink>
            <w:r>
              <w:rPr>
                <w:rFonts w:ascii="Times New Roman" w:cs="Times New Roman" w:eastAsia="Times New Roman" w:hAnsi="Times New Roman"/>
                <w:sz w:val="16"/>
                <w:szCs w:val="16"/>
                <w:color w:val="000000"/>
              </w:rPr>
              <w:t>†</w:t>
            </w:r>
          </w:p>
        </w:tc>
        <w:tc>
          <w:tcPr>
            <w:tcW w:w="6420" w:type="dxa"/>
            <w:vAlign w:val="bottom"/>
            <w:gridSpan w:val="12"/>
          </w:tcPr>
          <w:p>
            <w:pPr>
              <w:spacing w:after="0"/>
              <w:rPr>
                <w:rFonts w:ascii="Times New Roman" w:cs="Times New Roman" w:eastAsia="Times New Roman" w:hAnsi="Times New Roman"/>
                <w:sz w:val="16"/>
                <w:szCs w:val="16"/>
                <w:color w:val="0000FF"/>
              </w:rPr>
            </w:pPr>
            <w:hyperlink r:id="rId329">
              <w:r>
                <w:rPr>
                  <w:rFonts w:ascii="Times New Roman" w:cs="Times New Roman" w:eastAsia="Times New Roman" w:hAnsi="Times New Roman"/>
                  <w:sz w:val="16"/>
                  <w:szCs w:val="16"/>
                  <w:color w:val="0000FF"/>
                </w:rPr>
                <w:t>Employment Offer Letter, dated as of November 9, 2022, by and between Talkspace, Inc. and Jon</w:t>
              </w:r>
            </w:hyperlink>
          </w:p>
        </w:tc>
        <w:tc>
          <w:tcPr>
            <w:tcW w:w="7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20" w:type="dxa"/>
            <w:vAlign w:val="bottom"/>
            <w:gridSpan w:val="12"/>
          </w:tcPr>
          <w:p>
            <w:pPr>
              <w:spacing w:after="0" w:line="183" w:lineRule="exact"/>
              <w:rPr>
                <w:rFonts w:ascii="Times New Roman" w:cs="Times New Roman" w:eastAsia="Times New Roman" w:hAnsi="Times New Roman"/>
                <w:sz w:val="16"/>
                <w:szCs w:val="16"/>
                <w:color w:val="0000FF"/>
              </w:rPr>
            </w:pPr>
            <w:hyperlink r:id="rId329">
              <w:r>
                <w:rPr>
                  <w:rFonts w:ascii="Times New Roman" w:cs="Times New Roman" w:eastAsia="Times New Roman" w:hAnsi="Times New Roman"/>
                  <w:sz w:val="16"/>
                  <w:szCs w:val="16"/>
                  <w:color w:val="0000FF"/>
                </w:rPr>
                <w:t>R. Cohen.</w:t>
              </w:r>
            </w:hyperlink>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vMerge w:val="restart"/>
          </w:tcPr>
          <w:p>
            <w:pPr>
              <w:jc w:val="center"/>
              <w:ind w:left="98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23</w:t>
            </w:r>
            <w:r>
              <w:rPr>
                <w:rFonts w:ascii="Times New Roman" w:cs="Times New Roman" w:eastAsia="Times New Roman" w:hAnsi="Times New Roman"/>
                <w:sz w:val="16"/>
                <w:szCs w:val="16"/>
                <w:color w:val="000000"/>
              </w:rPr>
              <w:t>†</w:t>
            </w:r>
          </w:p>
        </w:tc>
        <w:tc>
          <w:tcPr>
            <w:tcW w:w="642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Employment Offer Letter, dated as of August 11, 2023, by and between Talkspace, Inc. and Nikole</w:t>
            </w: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2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FF"/>
              </w:rPr>
              <w:t>Benders-Hadi.</w:t>
            </w: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vMerge w:val="restart"/>
          </w:tcPr>
          <w:p>
            <w:pPr>
              <w:jc w:val="center"/>
              <w:ind w:left="98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EE"/>
            </w:tcBorders>
            <w:gridSpan w:val="3"/>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5"/>
              </w:rPr>
              <w:t>21.</w:t>
            </w:r>
            <w:r>
              <w:rPr>
                <w:rFonts w:ascii="Times New Roman" w:cs="Times New Roman" w:eastAsia="Times New Roman" w:hAnsi="Times New Roman"/>
                <w:sz w:val="16"/>
                <w:szCs w:val="16"/>
                <w:u w:val="single" w:color="auto"/>
                <w:color w:val="0000FF"/>
                <w:w w:val="85"/>
              </w:rPr>
              <w:t>1</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2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List of Subsidiaries of Talkspace, Inc.</w:t>
            </w: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vMerge w:val="restart"/>
          </w:tcPr>
          <w:p>
            <w:pPr>
              <w:jc w:val="center"/>
              <w:ind w:left="98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line="20" w:lineRule="exact"/>
              <w:rPr>
                <w:sz w:val="1"/>
                <w:szCs w:val="1"/>
                <w:color w:val="auto"/>
              </w:rPr>
            </w:pPr>
          </w:p>
        </w:tc>
      </w:tr>
      <w:tr>
        <w:trPr>
          <w:trHeight w:val="196"/>
        </w:trPr>
        <w:tc>
          <w:tcPr>
            <w:tcW w:w="2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5"/>
              </w:rPr>
              <w:t>23.</w:t>
            </w:r>
            <w:r>
              <w:rPr>
                <w:rFonts w:ascii="Times New Roman" w:cs="Times New Roman" w:eastAsia="Times New Roman" w:hAnsi="Times New Roman"/>
                <w:sz w:val="16"/>
                <w:szCs w:val="16"/>
                <w:u w:val="single" w:color="auto"/>
                <w:color w:val="0000FF"/>
                <w:w w:val="85"/>
              </w:rPr>
              <w:t>1</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2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Consent of Kost Forer Gabbay &amp; Kasierer, a member of Ernst &amp; Young Global, Independent</w:t>
            </w: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20" w:type="dxa"/>
            <w:vAlign w:val="bottom"/>
            <w:gridSpan w:val="12"/>
          </w:tcPr>
          <w:p>
            <w:pPr>
              <w:spacing w:after="0" w:line="183" w:lineRule="exact"/>
              <w:rPr>
                <w:sz w:val="20"/>
                <w:szCs w:val="20"/>
                <w:color w:val="auto"/>
              </w:rPr>
            </w:pPr>
            <w:r>
              <w:rPr>
                <w:rFonts w:ascii="Times New Roman" w:cs="Times New Roman" w:eastAsia="Times New Roman" w:hAnsi="Times New Roman"/>
                <w:sz w:val="16"/>
                <w:szCs w:val="16"/>
                <w:color w:val="0000FF"/>
              </w:rPr>
              <w:t>Registered Public Accounting Firm.</w:t>
            </w: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vMerge w:val="restart"/>
          </w:tcPr>
          <w:p>
            <w:pPr>
              <w:jc w:val="center"/>
              <w:ind w:left="98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5"/>
              </w:rPr>
              <w:t>31.</w:t>
            </w:r>
            <w:r>
              <w:rPr>
                <w:rFonts w:ascii="Times New Roman" w:cs="Times New Roman" w:eastAsia="Times New Roman" w:hAnsi="Times New Roman"/>
                <w:sz w:val="16"/>
                <w:szCs w:val="16"/>
                <w:u w:val="single" w:color="auto"/>
                <w:color w:val="0000FF"/>
                <w:w w:val="85"/>
              </w:rPr>
              <w:t>1</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2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13a-14(a)/15d-14(a).</w:t>
            </w: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vMerge w:val="restart"/>
          </w:tcPr>
          <w:p>
            <w:pPr>
              <w:jc w:val="center"/>
              <w:ind w:left="98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line="20" w:lineRule="exact"/>
              <w:rPr>
                <w:sz w:val="1"/>
                <w:szCs w:val="1"/>
                <w:color w:val="auto"/>
              </w:rPr>
            </w:pPr>
          </w:p>
        </w:tc>
      </w:tr>
      <w:tr>
        <w:trPr>
          <w:trHeight w:val="196"/>
        </w:trPr>
        <w:tc>
          <w:tcPr>
            <w:tcW w:w="2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5"/>
              </w:rPr>
              <w:t>31.</w:t>
            </w:r>
            <w:r>
              <w:rPr>
                <w:rFonts w:ascii="Times New Roman" w:cs="Times New Roman" w:eastAsia="Times New Roman" w:hAnsi="Times New Roman"/>
                <w:sz w:val="16"/>
                <w:szCs w:val="16"/>
                <w:u w:val="single" w:color="auto"/>
                <w:color w:val="0000FF"/>
                <w:w w:val="85"/>
              </w:rPr>
              <w:t>2</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2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13a-14(a)/15d-14(a).</w:t>
            </w: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vMerge w:val="restart"/>
          </w:tcPr>
          <w:p>
            <w:pPr>
              <w:jc w:val="center"/>
              <w:ind w:left="98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line="20" w:lineRule="exact"/>
              <w:rPr>
                <w:sz w:val="1"/>
                <w:szCs w:val="1"/>
                <w:color w:val="auto"/>
              </w:rPr>
            </w:pPr>
          </w:p>
        </w:tc>
      </w:tr>
      <w:tr>
        <w:trPr>
          <w:trHeight w:val="196"/>
        </w:trPr>
        <w:tc>
          <w:tcPr>
            <w:tcW w:w="2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5"/>
              </w:rPr>
              <w:t>32.</w:t>
            </w:r>
            <w:r>
              <w:rPr>
                <w:rFonts w:ascii="Times New Roman" w:cs="Times New Roman" w:eastAsia="Times New Roman" w:hAnsi="Times New Roman"/>
                <w:sz w:val="16"/>
                <w:szCs w:val="16"/>
                <w:u w:val="single" w:color="auto"/>
                <w:color w:val="0000FF"/>
                <w:w w:val="85"/>
              </w:rPr>
              <w:t>1</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2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w:t>
            </w: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1520" w:type="dxa"/>
            <w:vAlign w:val="bottom"/>
            <w:tcBorders>
              <w:left w:val="single" w:sz="8" w:color="0000FF"/>
            </w:tcBorders>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vMerge w:val="restart"/>
          </w:tcPr>
          <w:p>
            <w:pPr>
              <w:jc w:val="center"/>
              <w:ind w:left="98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line="20" w:lineRule="exact"/>
              <w:rPr>
                <w:sz w:val="1"/>
                <w:szCs w:val="1"/>
                <w:color w:val="auto"/>
              </w:rPr>
            </w:pPr>
          </w:p>
        </w:tc>
      </w:tr>
      <w:tr>
        <w:trPr>
          <w:trHeight w:val="196"/>
        </w:trPr>
        <w:tc>
          <w:tcPr>
            <w:tcW w:w="2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5"/>
              </w:rPr>
              <w:t>32.</w:t>
            </w:r>
            <w:r>
              <w:rPr>
                <w:rFonts w:ascii="Times New Roman" w:cs="Times New Roman" w:eastAsia="Times New Roman" w:hAnsi="Times New Roman"/>
                <w:sz w:val="16"/>
                <w:szCs w:val="16"/>
                <w:u w:val="single" w:color="auto"/>
                <w:color w:val="0000FF"/>
                <w:w w:val="85"/>
              </w:rPr>
              <w:t>2</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2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w:t>
            </w: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vMerge w:val="restart"/>
          </w:tcPr>
          <w:p>
            <w:pPr>
              <w:jc w:val="center"/>
              <w:ind w:left="98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line="20" w:lineRule="exact"/>
              <w:rPr>
                <w:sz w:val="1"/>
                <w:szCs w:val="1"/>
                <w:color w:val="auto"/>
              </w:rPr>
            </w:pPr>
          </w:p>
        </w:tc>
      </w:tr>
      <w:tr>
        <w:trPr>
          <w:trHeight w:val="196"/>
        </w:trPr>
        <w:tc>
          <w:tcPr>
            <w:tcW w:w="2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5"/>
              </w:rPr>
              <w:t>97.</w:t>
            </w:r>
            <w:r>
              <w:rPr>
                <w:rFonts w:ascii="Times New Roman" w:cs="Times New Roman" w:eastAsia="Times New Roman" w:hAnsi="Times New Roman"/>
                <w:sz w:val="16"/>
                <w:szCs w:val="16"/>
                <w:u w:val="single" w:color="auto"/>
                <w:color w:val="0000FF"/>
                <w:w w:val="85"/>
              </w:rPr>
              <w:t>1</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2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Talkspace, Inc. Clawback Policy.</w:t>
            </w: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8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w:t>
            </w: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File because XBRL tags are embedded within the Inline XBRL document.</w:t>
            </w: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4"/>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8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8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Cover Page Interactive Data File (as formatted as Inline XBRL and contained</w:t>
            </w: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 Exhibit 101).</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4230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2" w:lineRule="exact"/>
        <w:rPr>
          <w:sz w:val="20"/>
          <w:szCs w:val="20"/>
          <w:color w:val="auto"/>
        </w:rPr>
      </w:pPr>
    </w:p>
    <w:p>
      <w:pPr>
        <w:ind w:left="240" w:hanging="232"/>
        <w:spacing w:after="0"/>
        <w:tabs>
          <w:tab w:leader="none" w:pos="2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Furnished herewith.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Indicates management contract or compensatory plan.</w:t>
      </w:r>
    </w:p>
    <w:p>
      <w:pPr>
        <w:spacing w:after="0" w:line="44" w:lineRule="exact"/>
        <w:rPr>
          <w:sz w:val="20"/>
          <w:szCs w:val="20"/>
          <w:color w:val="auto"/>
        </w:rPr>
      </w:pPr>
    </w:p>
    <w:p>
      <w:pPr>
        <w:ind w:left="240" w:right="1760" w:hanging="232"/>
        <w:spacing w:after="0" w:line="261" w:lineRule="auto"/>
        <w:tabs>
          <w:tab w:leader="none" w:pos="25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Schedules and exhibits have been omitted pursuant to Item 601(b)(2) of Regulation S-K. The Registrant agrees to furnish supplementally a copy of any omitted schedule or exhibit to the SEC upon request.</w:t>
      </w:r>
    </w:p>
    <w:p>
      <w:pPr>
        <w:spacing w:after="0" w:line="38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769" w:right="7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TALKSPACE, INC.</w:t>
            </w:r>
          </w:p>
        </w:tc>
      </w:tr>
      <w:tr>
        <w:trPr>
          <w:trHeight w:val="47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2024</w:t>
            </w:r>
          </w:p>
        </w:tc>
        <w:tc>
          <w:tcPr>
            <w:tcW w:w="25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 R. Cohen</w:t>
            </w:r>
          </w:p>
        </w:tc>
      </w:tr>
      <w:tr>
        <w:trPr>
          <w:trHeight w:val="205"/>
        </w:trPr>
        <w:tc>
          <w:tcPr>
            <w:tcW w:w="3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2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Jon R. Cohen</w:t>
            </w: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8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2024</w:t>
            </w:r>
          </w:p>
        </w:tc>
        <w:tc>
          <w:tcPr>
            <w:tcW w:w="25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Jennifer Fulk</w:t>
            </w:r>
          </w:p>
        </w:tc>
      </w:tr>
      <w:tr>
        <w:trPr>
          <w:trHeight w:val="205"/>
        </w:trPr>
        <w:tc>
          <w:tcPr>
            <w:tcW w:w="3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2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Jennifer Fulk</w:t>
            </w: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1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Jon R. Cohen</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r>
      <w:tr>
        <w:trPr>
          <w:trHeight w:val="227"/>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Jon R. Cohen</w:t>
            </w:r>
          </w:p>
        </w:tc>
        <w:tc>
          <w:tcPr>
            <w:tcW w:w="12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2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Jennifer Fulk</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r>
      <w:tr>
        <w:trPr>
          <w:trHeight w:val="227"/>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Jennifer Fulk</w:t>
            </w:r>
          </w:p>
        </w:tc>
        <w:tc>
          <w:tcPr>
            <w:tcW w:w="12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2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Douglas Braunstein</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r>
      <w:tr>
        <w:trPr>
          <w:trHeight w:val="227"/>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Douglas Braunstein</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7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Erez Shachar</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Erez Shachar</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96"/>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Curtis Warfield</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Curtis Warfield</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96"/>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Jacqueline Yeaney</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Jacqueline Yeaney</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96"/>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Hansen</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Michael Hansen</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96"/>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Madhu Pawar</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Madhu Pawar</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96"/>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Liat Ben-Zur</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Liat Ben-Zur</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39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Swati Abbott</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Swati Abbott</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836"/>
        </w:trPr>
        <w:tc>
          <w:tcPr>
            <w:tcW w:w="3720" w:type="dxa"/>
            <w:vAlign w:val="bottom"/>
          </w:tcPr>
          <w:p>
            <w:pPr>
              <w:spacing w:after="0"/>
              <w:rPr>
                <w:sz w:val="24"/>
                <w:szCs w:val="24"/>
                <w:color w:val="auto"/>
              </w:rPr>
            </w:pPr>
          </w:p>
        </w:tc>
        <w:tc>
          <w:tcPr>
            <w:tcW w:w="4980" w:type="dxa"/>
            <w:vAlign w:val="bottom"/>
            <w:gridSpan w:val="2"/>
          </w:tcPr>
          <w:p>
            <w:pPr>
              <w:jc w:val="right"/>
              <w:ind w:right="289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763"/>
        </w:trPr>
        <w:tc>
          <w:tcPr>
            <w:tcW w:w="3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7" w:name="page88"/>
    <w:bookmarkEnd w:id="87"/>
    <w:p>
      <w:pPr>
        <w:ind w:left="120"/>
        <w:spacing w:after="0"/>
        <w:rPr>
          <w:sz w:val="20"/>
          <w:szCs w:val="20"/>
          <w:color w:val="auto"/>
        </w:rPr>
      </w:pPr>
      <w:r>
        <w:rPr>
          <w:rFonts w:ascii="Times New Roman" w:cs="Times New Roman" w:eastAsia="Times New Roman" w:hAnsi="Times New Roman"/>
          <w:sz w:val="22"/>
          <w:szCs w:val="22"/>
          <w:color w:val="auto"/>
        </w:rPr>
        <w:t>August 11, 2023</w:t>
      </w:r>
    </w:p>
    <w:p>
      <w:pPr>
        <w:spacing w:after="0" w:line="3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Dear Nikole,</w:t>
      </w:r>
    </w:p>
    <w:p>
      <w:pPr>
        <w:spacing w:after="0" w:line="310" w:lineRule="exact"/>
        <w:rPr>
          <w:sz w:val="20"/>
          <w:szCs w:val="20"/>
          <w:color w:val="auto"/>
        </w:rPr>
      </w:pPr>
    </w:p>
    <w:p>
      <w:pPr>
        <w:jc w:val="both"/>
        <w:ind w:left="240" w:right="120" w:firstLine="749"/>
        <w:spacing w:after="0" w:line="237" w:lineRule="auto"/>
        <w:rPr>
          <w:sz w:val="20"/>
          <w:szCs w:val="20"/>
          <w:color w:val="auto"/>
        </w:rPr>
      </w:pPr>
      <w:r>
        <w:rPr>
          <w:rFonts w:ascii="Times New Roman" w:cs="Times New Roman" w:eastAsia="Times New Roman" w:hAnsi="Times New Roman"/>
          <w:sz w:val="22"/>
          <w:szCs w:val="22"/>
          <w:color w:val="auto"/>
        </w:rPr>
        <w:t>We are very pleased to offer you (“</w:t>
      </w:r>
      <w:r>
        <w:rPr>
          <w:rFonts w:ascii="Times New Roman" w:cs="Times New Roman" w:eastAsia="Times New Roman" w:hAnsi="Times New Roman"/>
          <w:sz w:val="22"/>
          <w:szCs w:val="22"/>
          <w:b w:val="1"/>
          <w:bCs w:val="1"/>
          <w:color w:val="auto"/>
        </w:rPr>
        <w:t>you</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the position of Chief Medical Officer (this “Position”) with Talkspace LLC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Talkspace</w:t>
      </w:r>
      <w:r>
        <w:rPr>
          <w:rFonts w:ascii="Times New Roman" w:cs="Times New Roman" w:eastAsia="Times New Roman" w:hAnsi="Times New Roman"/>
          <w:sz w:val="22"/>
          <w:szCs w:val="22"/>
          <w:color w:val="auto"/>
        </w:rPr>
        <w:t>”), with an anticipated start date of November 15, 2023 (“</w:t>
      </w:r>
      <w:r>
        <w:rPr>
          <w:rFonts w:ascii="Times New Roman" w:cs="Times New Roman" w:eastAsia="Times New Roman" w:hAnsi="Times New Roman"/>
          <w:sz w:val="22"/>
          <w:szCs w:val="22"/>
          <w:b w:val="1"/>
          <w:bCs w:val="1"/>
          <w:color w:val="auto"/>
        </w:rPr>
        <w:t>Start Date</w:t>
      </w:r>
      <w:r>
        <w:rPr>
          <w:rFonts w:ascii="Times New Roman" w:cs="Times New Roman" w:eastAsia="Times New Roman" w:hAnsi="Times New Roman"/>
          <w:sz w:val="22"/>
          <w:szCs w:val="22"/>
          <w:color w:val="auto"/>
        </w:rPr>
        <w:t>”). This offer of at-will employment is conditioned on your satisfactory completion of certain requirements, as explained in this letter. Your employment is subject to the terms and conditions set forth in this letter, which override anything communicated to you, orally or in writing, during your interview or as part of any other communication, about your employment with Talkspace LLC.</w:t>
      </w:r>
    </w:p>
    <w:p>
      <w:pPr>
        <w:spacing w:after="0" w:line="229" w:lineRule="exact"/>
        <w:rPr>
          <w:sz w:val="20"/>
          <w:szCs w:val="20"/>
          <w:color w:val="auto"/>
        </w:rPr>
      </w:pPr>
    </w:p>
    <w:p>
      <w:pPr>
        <w:ind w:left="980" w:hanging="747"/>
        <w:spacing w:after="0"/>
        <w:tabs>
          <w:tab w:leader="none" w:pos="98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Position Responsibilities, and Supervision.</w:t>
      </w:r>
    </w:p>
    <w:p>
      <w:pPr>
        <w:spacing w:after="0" w:line="210" w:lineRule="exact"/>
        <w:rPr>
          <w:sz w:val="20"/>
          <w:szCs w:val="20"/>
          <w:color w:val="auto"/>
        </w:rPr>
      </w:pPr>
    </w:p>
    <w:p>
      <w:pPr>
        <w:jc w:val="both"/>
        <w:ind w:left="240" w:right="120" w:firstLine="749"/>
        <w:spacing w:after="0" w:line="244" w:lineRule="auto"/>
        <w:rPr>
          <w:sz w:val="20"/>
          <w:szCs w:val="20"/>
          <w:color w:val="auto"/>
        </w:rPr>
      </w:pPr>
      <w:r>
        <w:rPr>
          <w:rFonts w:ascii="Times New Roman" w:cs="Times New Roman" w:eastAsia="Times New Roman" w:hAnsi="Times New Roman"/>
          <w:sz w:val="22"/>
          <w:szCs w:val="22"/>
          <w:color w:val="auto"/>
        </w:rPr>
        <w:t>As an employee in this Position, you will be classified as exempt and not entitled to overtime compensation pursuant to applicable federal, state and local wage and hour laws. You will be subject to all applicable employment and other policies of Talkspace, as outlined in the Talkspace Handbook and elsewhere.</w:t>
      </w:r>
    </w:p>
    <w:p>
      <w:pPr>
        <w:spacing w:after="0" w:line="173" w:lineRule="exact"/>
        <w:rPr>
          <w:sz w:val="20"/>
          <w:szCs w:val="20"/>
          <w:color w:val="auto"/>
        </w:rPr>
      </w:pPr>
    </w:p>
    <w:p>
      <w:pPr>
        <w:jc w:val="both"/>
        <w:ind w:left="240" w:right="120" w:firstLine="749"/>
        <w:spacing w:after="0" w:line="238" w:lineRule="auto"/>
        <w:rPr>
          <w:sz w:val="20"/>
          <w:szCs w:val="20"/>
          <w:color w:val="auto"/>
        </w:rPr>
      </w:pPr>
      <w:r>
        <w:rPr>
          <w:rFonts w:ascii="Times New Roman" w:cs="Times New Roman" w:eastAsia="Times New Roman" w:hAnsi="Times New Roman"/>
          <w:sz w:val="22"/>
          <w:szCs w:val="22"/>
          <w:color w:val="auto"/>
        </w:rPr>
        <w:t>In this Position you will perform all duties and responsibilities that are reasonable and consistent with this Position, or as may be assigned to you by the Company from time to time. In this position you will be reporting to the Chief Executive Officer and serving as an integral member of the senior management team. You shall perform these duties professionally and competently and shall devote your full business time, attention, and best efforts to the performance of your duties and to the furtherance of Talkspace’s interests.</w:t>
      </w:r>
    </w:p>
    <w:p>
      <w:pPr>
        <w:spacing w:after="0" w:line="173" w:lineRule="exact"/>
        <w:rPr>
          <w:sz w:val="20"/>
          <w:szCs w:val="20"/>
          <w:color w:val="auto"/>
        </w:rPr>
      </w:pPr>
    </w:p>
    <w:p>
      <w:pPr>
        <w:ind w:left="980" w:hanging="747"/>
        <w:spacing w:after="0"/>
        <w:tabs>
          <w:tab w:leader="none" w:pos="98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and Benefits.</w:t>
      </w:r>
    </w:p>
    <w:p>
      <w:pPr>
        <w:spacing w:after="0" w:line="210" w:lineRule="exact"/>
        <w:rPr>
          <w:rFonts w:ascii="Times New Roman" w:cs="Times New Roman" w:eastAsia="Times New Roman" w:hAnsi="Times New Roman"/>
          <w:sz w:val="22"/>
          <w:szCs w:val="22"/>
          <w:b w:val="1"/>
          <w:bCs w:val="1"/>
          <w:color w:val="auto"/>
        </w:rPr>
      </w:pPr>
    </w:p>
    <w:p>
      <w:pPr>
        <w:jc w:val="both"/>
        <w:ind w:left="600" w:right="120" w:firstLine="382"/>
        <w:spacing w:after="0" w:line="239" w:lineRule="auto"/>
        <w:tabs>
          <w:tab w:leader="none" w:pos="1463"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Salary and Pay Frequency</w:t>
      </w:r>
      <w:r>
        <w:rPr>
          <w:rFonts w:ascii="Times New Roman" w:cs="Times New Roman" w:eastAsia="Times New Roman" w:hAnsi="Times New Roman"/>
          <w:sz w:val="22"/>
          <w:szCs w:val="22"/>
          <w:color w:val="auto"/>
        </w:rPr>
        <w:t>. As a full-time employee you will receive an annual salary of $325,000 subject to tax and other authorized withholdings pursuant to applicable law, which will be paid semi-monthly in accordance with the Company's normal payroll procedures (your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Talkspace reserves the right, in its sole discretion, to prospectively modify your compensation at any time and for any reason, to the extent permitted by applicable law.</w:t>
      </w:r>
    </w:p>
    <w:p>
      <w:pPr>
        <w:spacing w:after="0" w:line="180" w:lineRule="exact"/>
        <w:rPr>
          <w:rFonts w:ascii="Times New Roman" w:cs="Times New Roman" w:eastAsia="Times New Roman" w:hAnsi="Times New Roman"/>
          <w:sz w:val="22"/>
          <w:szCs w:val="22"/>
          <w:color w:val="auto"/>
        </w:rPr>
      </w:pPr>
    </w:p>
    <w:p>
      <w:pPr>
        <w:jc w:val="both"/>
        <w:ind w:left="600" w:right="140" w:firstLine="381"/>
        <w:spacing w:after="0" w:line="235" w:lineRule="auto"/>
        <w:tabs>
          <w:tab w:leader="none" w:pos="1461"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You will be eligible for an annual bonus under the Company’s annual incentive program (your “</w:t>
      </w:r>
      <w:r>
        <w:rPr>
          <w:rFonts w:ascii="Times New Roman" w:cs="Times New Roman" w:eastAsia="Times New Roman" w:hAnsi="Times New Roman"/>
          <w:sz w:val="22"/>
          <w:szCs w:val="22"/>
          <w:b w:val="1"/>
          <w:bCs w:val="1"/>
          <w:color w:val="auto"/>
        </w:rPr>
        <w:t>Annual Bonus</w:t>
      </w:r>
      <w:r>
        <w:rPr>
          <w:rFonts w:ascii="Times New Roman" w:cs="Times New Roman" w:eastAsia="Times New Roman" w:hAnsi="Times New Roman"/>
          <w:sz w:val="22"/>
          <w:szCs w:val="22"/>
          <w:color w:val="auto"/>
        </w:rPr>
        <w:t>”). Your target Annual Bonus will be equal to 45% of your annual salary. Your Annual Bonus will be awarded based on the achievement of both individual and Company goals as communicated to you by the Company on an annual basis, approved by the Chief Executive Officer and Board of Directors, and subject to the terms and conditions of the applicable annual incentive program. You will have the opportunity to achieve up to a total of 45% of your target Annual Bonus based on achieving max goals as defined by the CEO and Board of Directors. Details on assessment, tracking,</w:t>
      </w:r>
    </w:p>
    <w:p>
      <w:pPr>
        <w:spacing w:after="0" w:line="200" w:lineRule="exact"/>
        <w:rPr>
          <w:sz w:val="20"/>
          <w:szCs w:val="20"/>
          <w:color w:val="auto"/>
        </w:rPr>
      </w:pPr>
    </w:p>
    <w:p>
      <w:pPr>
        <w:spacing w:after="0" w:line="213" w:lineRule="exact"/>
        <w:rPr>
          <w:sz w:val="20"/>
          <w:szCs w:val="20"/>
          <w:color w:val="auto"/>
        </w:rPr>
      </w:pPr>
    </w:p>
    <w:p>
      <w:pPr>
        <w:ind w:left="620"/>
        <w:spacing w:after="0" w:line="219" w:lineRule="auto"/>
        <w:rPr>
          <w:sz w:val="20"/>
          <w:szCs w:val="20"/>
          <w:color w:val="auto"/>
        </w:rPr>
      </w:pPr>
      <w:r>
        <w:rPr>
          <w:rFonts w:ascii="Times New Roman" w:cs="Times New Roman" w:eastAsia="Times New Roman" w:hAnsi="Times New Roman"/>
          <w:sz w:val="22"/>
          <w:szCs w:val="22"/>
          <w:color w:val="auto"/>
        </w:rPr>
        <w:t>and eligibility is detailed in the Talkspace Handbook. Your 2023 target Annual Bonus will prorate at 2.5/12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annual amount reflecting your start date.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695960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260" w:right="339" w:bottom="1440" w:gutter="0" w:footer="0" w:header="0"/>
        </w:sectPr>
      </w:pPr>
    </w:p>
    <w:bookmarkStart w:id="88" w:name="page89"/>
    <w:bookmarkEnd w:id="88"/>
    <w:p>
      <w:pPr>
        <w:spacing w:after="0" w:line="23" w:lineRule="exact"/>
        <w:rPr>
          <w:sz w:val="20"/>
          <w:szCs w:val="20"/>
          <w:color w:val="auto"/>
        </w:rPr>
      </w:pPr>
    </w:p>
    <w:p>
      <w:pPr>
        <w:jc w:val="both"/>
        <w:ind w:left="600" w:firstLine="382"/>
        <w:spacing w:after="0" w:line="238" w:lineRule="auto"/>
        <w:tabs>
          <w:tab w:leader="none" w:pos="146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Inducement Grant</w:t>
      </w:r>
      <w:r>
        <w:rPr>
          <w:rFonts w:ascii="Times New Roman" w:cs="Times New Roman" w:eastAsia="Times New Roman" w:hAnsi="Times New Roman"/>
          <w:sz w:val="22"/>
          <w:szCs w:val="22"/>
          <w:color w:val="auto"/>
        </w:rPr>
        <w:t>. Subject to approval by the Board of Directors of Talkspace, Inc., you are eligible for and will be granted $75,000 of restricted stock units (“RSUs”) in accordance with Talkspace, Inc.'s 2021 Stock Incentive Plan (the "Plan"). The Inducement Grant has annual vesting over four years; vesting at the end of each year on the anniversary of the Grant Award Date. The Grant Award Date will be December 1, 2023, the next open Company grant window.</w:t>
      </w:r>
    </w:p>
    <w:p>
      <w:pPr>
        <w:spacing w:after="0" w:line="176" w:lineRule="exact"/>
        <w:rPr>
          <w:rFonts w:ascii="Times New Roman" w:cs="Times New Roman" w:eastAsia="Times New Roman" w:hAnsi="Times New Roman"/>
          <w:sz w:val="22"/>
          <w:szCs w:val="22"/>
          <w:color w:val="auto"/>
        </w:rPr>
      </w:pPr>
    </w:p>
    <w:p>
      <w:pPr>
        <w:jc w:val="both"/>
        <w:ind w:left="600" w:firstLine="382"/>
        <w:spacing w:after="0" w:line="232" w:lineRule="auto"/>
        <w:tabs>
          <w:tab w:leader="none" w:pos="146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Award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12121"/>
        </w:rPr>
        <w:t>Subject to standard approval of the Board of Directors of the Company (or a subcommittee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12121"/>
        </w:rPr>
        <w:t>thereof) (the “</w:t>
      </w:r>
      <w:r>
        <w:rPr>
          <w:rFonts w:ascii="Times New Roman" w:cs="Times New Roman" w:eastAsia="Times New Roman" w:hAnsi="Times New Roman"/>
          <w:sz w:val="22"/>
          <w:szCs w:val="22"/>
          <w:b w:val="1"/>
          <w:bCs w:val="1"/>
          <w:color w:val="212121"/>
        </w:rPr>
        <w:t>Board</w:t>
      </w:r>
      <w:r>
        <w:rPr>
          <w:rFonts w:ascii="Times New Roman" w:cs="Times New Roman" w:eastAsia="Times New Roman" w:hAnsi="Times New Roman"/>
          <w:sz w:val="22"/>
          <w:szCs w:val="22"/>
          <w:color w:val="212121"/>
        </w:rPr>
        <w:t>”), the Company shall grant to you equity-based compensation awards under the Talkspace, Inc. 2021 Incentive Award Plan (the “</w:t>
      </w:r>
      <w:r>
        <w:rPr>
          <w:rFonts w:ascii="Times New Roman" w:cs="Times New Roman" w:eastAsia="Times New Roman" w:hAnsi="Times New Roman"/>
          <w:sz w:val="22"/>
          <w:szCs w:val="22"/>
          <w:b w:val="1"/>
          <w:bCs w:val="1"/>
          <w:color w:val="212121"/>
        </w:rPr>
        <w:t>Plan</w:t>
      </w:r>
      <w:r>
        <w:rPr>
          <w:rFonts w:ascii="Times New Roman" w:cs="Times New Roman" w:eastAsia="Times New Roman" w:hAnsi="Times New Roman"/>
          <w:sz w:val="22"/>
          <w:szCs w:val="22"/>
          <w:color w:val="212121"/>
        </w:rPr>
        <w:t>”) for the 2023 fiscal year with an aggregate approximate value equal to 2.5/12</w:t>
      </w:r>
      <w:r>
        <w:rPr>
          <w:rFonts w:ascii="Times New Roman" w:cs="Times New Roman" w:eastAsia="Times New Roman" w:hAnsi="Times New Roman"/>
          <w:sz w:val="14"/>
          <w:szCs w:val="14"/>
          <w:color w:val="212121"/>
        </w:rPr>
        <w:t>ths</w:t>
      </w:r>
      <w:r>
        <w:rPr>
          <w:rFonts w:ascii="Times New Roman" w:cs="Times New Roman" w:eastAsia="Times New Roman" w:hAnsi="Times New Roman"/>
          <w:sz w:val="22"/>
          <w:szCs w:val="22"/>
          <w:color w:val="212121"/>
        </w:rPr>
        <w:t xml:space="preserve"> of your annual expected target Long Term Incentive Compensation based on a future 2024 fiscal year expectation of a full year $75,000 award level. Of such amount, 80% shall be granted in the form of a restricted stock units and 20% in the form of ISO eligible options (the “</w:t>
      </w:r>
      <w:r>
        <w:rPr>
          <w:rFonts w:ascii="Times New Roman" w:cs="Times New Roman" w:eastAsia="Times New Roman" w:hAnsi="Times New Roman"/>
          <w:sz w:val="22"/>
          <w:szCs w:val="22"/>
          <w:b w:val="1"/>
          <w:bCs w:val="1"/>
          <w:color w:val="212121"/>
        </w:rPr>
        <w:t>Award</w:t>
      </w:r>
      <w:r>
        <w:rPr>
          <w:rFonts w:ascii="Times New Roman" w:cs="Times New Roman" w:eastAsia="Times New Roman" w:hAnsi="Times New Roman"/>
          <w:sz w:val="22"/>
          <w:szCs w:val="22"/>
          <w:color w:val="212121"/>
        </w:rPr>
        <w:t xml:space="preserve">”), subject to your continued employment through the applicable grant date and subject to continued CEO and Board approval of the estimated ratio of RSU to ISOs. </w:t>
      </w:r>
      <w:r>
        <w:rPr>
          <w:rFonts w:ascii="Times New Roman" w:cs="Times New Roman" w:eastAsia="Times New Roman" w:hAnsi="Times New Roman"/>
          <w:sz w:val="22"/>
          <w:szCs w:val="22"/>
          <w:color w:val="000000"/>
        </w:rPr>
        <w:t>The number of shares of</w:t>
      </w:r>
      <w:r>
        <w:rPr>
          <w:rFonts w:ascii="Times New Roman" w:cs="Times New Roman" w:eastAsia="Times New Roman" w:hAnsi="Times New Roman"/>
          <w:sz w:val="22"/>
          <w:szCs w:val="22"/>
          <w:color w:val="212121"/>
        </w:rPr>
        <w:t xml:space="preserve"> </w:t>
      </w:r>
      <w:r>
        <w:rPr>
          <w:rFonts w:ascii="Times New Roman" w:cs="Times New Roman" w:eastAsia="Times New Roman" w:hAnsi="Times New Roman"/>
          <w:sz w:val="22"/>
          <w:szCs w:val="22"/>
          <w:color w:val="000000"/>
        </w:rPr>
        <w:t xml:space="preserve">Company common stock subject to the Award will be determined by dividing the applicable the Award grant value by the average Fair Market Value (as defined in the Plan) of the Company’s common stock over the five (5) trading days immediately preceding (but not including) the applicable grant date. </w:t>
      </w:r>
      <w:r>
        <w:rPr>
          <w:rFonts w:ascii="Times New Roman" w:cs="Times New Roman" w:eastAsia="Times New Roman" w:hAnsi="Times New Roman"/>
          <w:sz w:val="22"/>
          <w:szCs w:val="22"/>
          <w:color w:val="212121"/>
        </w:rPr>
        <w:t>Subject to your continued service with the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212121"/>
        </w:rPr>
        <w:t>Company through the applicable vesting date, the Award shall vest with respect to 25% of the shares underlying such Award, on the first anniversary of the grant date, and as to the remaining 75% of the shares underlying such Award, in substantially equal installments on each of the 12 quarterly anniversaries thereafter (the “</w:t>
      </w:r>
      <w:r>
        <w:rPr>
          <w:rFonts w:ascii="Times New Roman" w:cs="Times New Roman" w:eastAsia="Times New Roman" w:hAnsi="Times New Roman"/>
          <w:sz w:val="22"/>
          <w:szCs w:val="22"/>
          <w:b w:val="1"/>
          <w:bCs w:val="1"/>
          <w:color w:val="212121"/>
        </w:rPr>
        <w:t>Vesting Schedule</w:t>
      </w:r>
      <w:r>
        <w:rPr>
          <w:rFonts w:ascii="Times New Roman" w:cs="Times New Roman" w:eastAsia="Times New Roman" w:hAnsi="Times New Roman"/>
          <w:sz w:val="22"/>
          <w:szCs w:val="22"/>
          <w:color w:val="212121"/>
        </w:rPr>
        <w:t>”). The terms and conditions of each Award shall be set forth in one or more separate award agreement(s) in a form(s) prescribed by the Company, to be entered into by the Company and you (the “</w:t>
      </w:r>
      <w:r>
        <w:rPr>
          <w:rFonts w:ascii="Times New Roman" w:cs="Times New Roman" w:eastAsia="Times New Roman" w:hAnsi="Times New Roman"/>
          <w:sz w:val="22"/>
          <w:szCs w:val="22"/>
          <w:b w:val="1"/>
          <w:bCs w:val="1"/>
          <w:color w:val="212121"/>
        </w:rPr>
        <w:t>Award Agreements</w:t>
      </w:r>
      <w:r>
        <w:rPr>
          <w:rFonts w:ascii="Times New Roman" w:cs="Times New Roman" w:eastAsia="Times New Roman" w:hAnsi="Times New Roman"/>
          <w:sz w:val="22"/>
          <w:szCs w:val="22"/>
          <w:color w:val="212121"/>
        </w:rPr>
        <w:t>”). Except as otherwise specifically provided in this Agreement, Award(s) shall be governed in all respects by the terms of and conditions of the Plan and the applicable Award Agreement.</w:t>
      </w:r>
    </w:p>
    <w:p>
      <w:pPr>
        <w:spacing w:after="0" w:line="81" w:lineRule="exact"/>
        <w:rPr>
          <w:rFonts w:ascii="Times New Roman" w:cs="Times New Roman" w:eastAsia="Times New Roman" w:hAnsi="Times New Roman"/>
          <w:sz w:val="22"/>
          <w:szCs w:val="22"/>
          <w:color w:val="auto"/>
        </w:rPr>
      </w:pPr>
    </w:p>
    <w:p>
      <w:pPr>
        <w:jc w:val="both"/>
        <w:ind w:left="600" w:firstLine="382"/>
        <w:spacing w:after="0" w:line="238" w:lineRule="auto"/>
        <w:tabs>
          <w:tab w:leader="none" w:pos="146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During your employment, you will be entitled to the benefits generally made available to regular, full-time salaried employees of the Company as summarized on the attached Talkspace Benefits Overview. Talkspace reserves the right to adjust their benefits program from time to time as the Company sees fit. You will be required to review and sign the Talkspace Employee Handbook as a condition to your employment along with completing applicable immigration, payroll and tax forms.</w:t>
      </w:r>
    </w:p>
    <w:p>
      <w:pPr>
        <w:spacing w:after="0" w:line="176" w:lineRule="exact"/>
        <w:rPr>
          <w:rFonts w:ascii="Times New Roman" w:cs="Times New Roman" w:eastAsia="Times New Roman" w:hAnsi="Times New Roman"/>
          <w:sz w:val="22"/>
          <w:szCs w:val="22"/>
          <w:color w:val="auto"/>
        </w:rPr>
      </w:pPr>
    </w:p>
    <w:p>
      <w:pPr>
        <w:jc w:val="both"/>
        <w:ind w:left="600" w:firstLine="382"/>
        <w:spacing w:after="0" w:line="244" w:lineRule="auto"/>
        <w:tabs>
          <w:tab w:leader="none" w:pos="146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Severance Plan</w:t>
      </w:r>
      <w:r>
        <w:rPr>
          <w:rFonts w:ascii="Times New Roman" w:cs="Times New Roman" w:eastAsia="Times New Roman" w:hAnsi="Times New Roman"/>
          <w:sz w:val="22"/>
          <w:szCs w:val="22"/>
          <w:color w:val="auto"/>
        </w:rPr>
        <w:t>. Subject to approval by the Compensation Committee of the Board, you shall be a Tier 2 participant in the Talkspace, Inc. Executive Severance Plan (the “</w:t>
      </w:r>
      <w:r>
        <w:rPr>
          <w:rFonts w:ascii="Times New Roman" w:cs="Times New Roman" w:eastAsia="Times New Roman" w:hAnsi="Times New Roman"/>
          <w:sz w:val="22"/>
          <w:szCs w:val="22"/>
          <w:b w:val="1"/>
          <w:bCs w:val="1"/>
          <w:color w:val="auto"/>
        </w:rPr>
        <w:t>Severance Plan</w:t>
      </w:r>
      <w:r>
        <w:rPr>
          <w:rFonts w:ascii="Times New Roman" w:cs="Times New Roman" w:eastAsia="Times New Roman" w:hAnsi="Times New Roman"/>
          <w:sz w:val="22"/>
          <w:szCs w:val="22"/>
          <w:color w:val="auto"/>
        </w:rPr>
        <w:t xml:space="preserve">”), a copy of which is attached hereto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2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1"/>
          <w:szCs w:val="21"/>
          <w:b w:val="1"/>
          <w:bCs w:val="1"/>
          <w:color w:val="auto"/>
        </w:rPr>
        <w:t>Contingencies; At-Will Employment.</w:t>
      </w:r>
    </w:p>
    <w:p>
      <w:pPr>
        <w:spacing w:after="0" w:line="210" w:lineRule="exact"/>
        <w:rPr>
          <w:rFonts w:ascii="Times New Roman" w:cs="Times New Roman" w:eastAsia="Times New Roman" w:hAnsi="Times New Roman"/>
          <w:sz w:val="22"/>
          <w:szCs w:val="22"/>
          <w:color w:val="auto"/>
        </w:rPr>
      </w:pPr>
    </w:p>
    <w:p>
      <w:pPr>
        <w:ind w:left="1740" w:hanging="758"/>
        <w:spacing w:after="0"/>
        <w:tabs>
          <w:tab w:leader="none" w:pos="174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Contingencies</w:t>
      </w:r>
      <w:r>
        <w:rPr>
          <w:rFonts w:ascii="Times New Roman" w:cs="Times New Roman" w:eastAsia="Times New Roman" w:hAnsi="Times New Roman"/>
          <w:sz w:val="22"/>
          <w:szCs w:val="22"/>
          <w:color w:val="auto"/>
        </w:rPr>
        <w:t>. This offer of employment is conditioned upon your: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695960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89" w:name="page90"/>
    <w:bookmarkEnd w:id="89"/>
    <w:p>
      <w:pPr>
        <w:spacing w:after="0" w:line="239" w:lineRule="exact"/>
        <w:rPr>
          <w:sz w:val="20"/>
          <w:szCs w:val="20"/>
          <w:color w:val="auto"/>
        </w:rPr>
      </w:pPr>
    </w:p>
    <w:p>
      <w:pPr>
        <w:ind w:left="600" w:firstLine="1183"/>
        <w:spacing w:after="0" w:line="258" w:lineRule="auto"/>
        <w:rPr>
          <w:sz w:val="20"/>
          <w:szCs w:val="20"/>
          <w:color w:val="auto"/>
        </w:rPr>
      </w:pPr>
      <w:r>
        <w:rPr>
          <w:rFonts w:ascii="Times New Roman" w:cs="Times New Roman" w:eastAsia="Times New Roman" w:hAnsi="Times New Roman"/>
          <w:sz w:val="22"/>
          <w:szCs w:val="22"/>
          <w:color w:val="auto"/>
        </w:rPr>
        <w:t xml:space="preserve">i. Execution of (a) the Confidential Information, Restrictive Covenant and Work for Hire Agreement attached hereto as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Restrictive Covenant Agreement</w:t>
      </w:r>
      <w:r>
        <w:rPr>
          <w:rFonts w:ascii="Times New Roman" w:cs="Times New Roman" w:eastAsia="Times New Roman" w:hAnsi="Times New Roman"/>
          <w:sz w:val="22"/>
          <w:szCs w:val="22"/>
          <w:color w:val="auto"/>
        </w:rPr>
        <w:t>”) and (b) the Company’s Employee Handbook;</w:t>
      </w:r>
    </w:p>
    <w:p>
      <w:pPr>
        <w:spacing w:after="0" w:line="50" w:lineRule="exact"/>
        <w:rPr>
          <w:sz w:val="20"/>
          <w:szCs w:val="20"/>
          <w:color w:val="auto"/>
        </w:rPr>
      </w:pPr>
    </w:p>
    <w:p>
      <w:pPr>
        <w:ind w:left="2480" w:hanging="764"/>
        <w:spacing w:after="0"/>
        <w:tabs>
          <w:tab w:leader="none" w:pos="2480" w:val="left"/>
        </w:tabs>
        <w:numPr>
          <w:ilvl w:val="3"/>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Successful completion of a background check; and</w:t>
      </w:r>
    </w:p>
    <w:p>
      <w:pPr>
        <w:spacing w:after="0" w:line="98" w:lineRule="exact"/>
        <w:rPr>
          <w:rFonts w:ascii="Times New Roman" w:cs="Times New Roman" w:eastAsia="Times New Roman" w:hAnsi="Times New Roman"/>
          <w:sz w:val="22"/>
          <w:szCs w:val="22"/>
          <w:color w:val="auto"/>
        </w:rPr>
      </w:pPr>
    </w:p>
    <w:p>
      <w:pPr>
        <w:ind w:left="600" w:right="20" w:firstLine="1040"/>
        <w:spacing w:after="0" w:line="258" w:lineRule="auto"/>
        <w:tabs>
          <w:tab w:leader="none" w:pos="1972"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Completion of applicable immigration, payroll and tax forms, and to provide documentation of your eligibility to work in the United States, as required by the Immigration Reform and Control Act of 1986.</w:t>
      </w:r>
    </w:p>
    <w:p>
      <w:pPr>
        <w:spacing w:after="0" w:line="50" w:lineRule="exact"/>
        <w:rPr>
          <w:rFonts w:ascii="Times New Roman" w:cs="Times New Roman" w:eastAsia="Times New Roman" w:hAnsi="Times New Roman"/>
          <w:sz w:val="22"/>
          <w:szCs w:val="22"/>
          <w:color w:val="auto"/>
        </w:rPr>
      </w:pPr>
    </w:p>
    <w:p>
      <w:pPr>
        <w:jc w:val="both"/>
        <w:ind w:left="600" w:firstLine="382"/>
        <w:spacing w:after="0" w:line="236" w:lineRule="auto"/>
        <w:tabs>
          <w:tab w:leader="none" w:pos="1463"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Your employment will be at-will, meaning that you or Talkspace may terminate the employment relationship at any time, with or without cause, and with or without notice. Any contrary representations that may have been made to you are superseded by this offer letter. This is the full and complete agreement between you and Talkspace on this term. Although your duties, title, compensation, and benefits, as well as Talkspace's personnel policies and procedures, may change from time to time, the "at will" nature of your employment may only be changed in an express agreement signed by you and an authorized representative of Talkspace.</w:t>
      </w:r>
    </w:p>
    <w:p>
      <w:pPr>
        <w:spacing w:after="0" w:line="217" w:lineRule="exact"/>
        <w:rPr>
          <w:rFonts w:ascii="Times New Roman" w:cs="Times New Roman" w:eastAsia="Times New Roman" w:hAnsi="Times New Roman"/>
          <w:sz w:val="22"/>
          <w:szCs w:val="22"/>
          <w:color w:val="auto"/>
        </w:rPr>
      </w:pPr>
    </w:p>
    <w:p>
      <w:pPr>
        <w:ind w:left="980" w:hanging="747"/>
        <w:spacing w:after="0"/>
        <w:tabs>
          <w:tab w:leader="none" w:pos="98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ind w:left="980" w:firstLine="374"/>
        <w:spacing w:after="0" w:line="238" w:lineRule="auto"/>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validity, interpretation, enforceability, and performance of this letter shall be governed by and construed in accordance with the laws of the State of Delaware, without giving effect to conflict of laws provisions thereof. Each party hereto hereby consents to the personal and exclusive jurisdiction and venue of the courts of the State of New York and expressly waives any claim of improper venue and any claim that such courts are an inconvenient forum.</w:t>
      </w:r>
    </w:p>
    <w:p>
      <w:pPr>
        <w:spacing w:after="0" w:line="177" w:lineRule="exact"/>
        <w:rPr>
          <w:sz w:val="20"/>
          <w:szCs w:val="20"/>
          <w:color w:val="auto"/>
        </w:rPr>
      </w:pPr>
    </w:p>
    <w:p>
      <w:pPr>
        <w:jc w:val="both"/>
        <w:ind w:left="980" w:right="20" w:firstLine="374"/>
        <w:spacing w:after="0" w:line="258" w:lineRule="auto"/>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2"/>
          <w:szCs w:val="22"/>
          <w:u w:val="single" w:color="auto"/>
          <w:color w:val="auto"/>
        </w:rPr>
        <w:t>Whole Agreement</w:t>
      </w:r>
      <w:r>
        <w:rPr>
          <w:rFonts w:ascii="Times New Roman" w:cs="Times New Roman" w:eastAsia="Times New Roman" w:hAnsi="Times New Roman"/>
          <w:sz w:val="22"/>
          <w:szCs w:val="22"/>
          <w:color w:val="auto"/>
        </w:rPr>
        <w:t>. This contract is intended by the parties to be the full and final expression of their agreement and shall not be contradicted by any prior written or oral agreement.</w:t>
      </w:r>
    </w:p>
    <w:p>
      <w:pPr>
        <w:spacing w:after="0" w:line="158" w:lineRule="exact"/>
        <w:rPr>
          <w:sz w:val="20"/>
          <w:szCs w:val="20"/>
          <w:color w:val="auto"/>
        </w:rPr>
      </w:pPr>
    </w:p>
    <w:p>
      <w:pPr>
        <w:jc w:val="both"/>
        <w:ind w:left="980" w:firstLine="374"/>
        <w:spacing w:after="0" w:line="236" w:lineRule="auto"/>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Any part, provision, representation or warranty of this Agreement which is prohibited, or which is held to be void or unenforceable shall be ineffective to the extent of such prohibition or unenforceability without invalidating the remaining provisions hereof. Any part, provision, representation or warranty of this Agreement which is prohibited or unenforceable or is held to be void or unenforceable in any jurisdiction shall be ineffective, as to such jurisdiction, to the extent of such prohibition or unenforceability without invalidating the remaining provisions hereof.</w:t>
      </w:r>
    </w:p>
    <w:p>
      <w:pPr>
        <w:spacing w:after="0" w:line="181" w:lineRule="exact"/>
        <w:rPr>
          <w:sz w:val="20"/>
          <w:szCs w:val="20"/>
          <w:color w:val="auto"/>
        </w:rPr>
      </w:pPr>
    </w:p>
    <w:p>
      <w:pPr>
        <w:ind w:left="1740" w:hanging="384"/>
        <w:spacing w:after="0"/>
        <w:tabs>
          <w:tab w:leader="none" w:pos="17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 You hereby represent and warrant the following:</w:t>
      </w:r>
    </w:p>
    <w:p>
      <w:pPr>
        <w:spacing w:after="0" w:line="206" w:lineRule="exact"/>
        <w:rPr>
          <w:rFonts w:ascii="Times New Roman" w:cs="Times New Roman" w:eastAsia="Times New Roman" w:hAnsi="Times New Roman"/>
          <w:sz w:val="22"/>
          <w:szCs w:val="22"/>
          <w:color w:val="auto"/>
        </w:rPr>
      </w:pPr>
    </w:p>
    <w:p>
      <w:pPr>
        <w:jc w:val="both"/>
        <w:ind w:left="980" w:right="20" w:firstLine="616"/>
        <w:spacing w:after="0" w:line="244" w:lineRule="auto"/>
        <w:tabs>
          <w:tab w:leader="none" w:pos="1978"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are currently not bound by any employment contract, restrictive covenant or other restriction preventing you from entering into employment with or carrying out your responsibilities for the Company, as set forth herein, or which is in any way inconsistent with the terms of this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687070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440" w:right="459" w:bottom="1440" w:gutter="0" w:footer="0" w:header="0"/>
        </w:sectPr>
      </w:pPr>
    </w:p>
    <w:bookmarkStart w:id="90" w:name="page91"/>
    <w:bookmarkEnd w:id="90"/>
    <w:p>
      <w:pPr>
        <w:jc w:val="both"/>
        <w:ind w:left="980" w:firstLine="556"/>
        <w:spacing w:after="0" w:line="238" w:lineRule="auto"/>
        <w:tabs>
          <w:tab w:leader="none" w:pos="1977"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acceptance of employment with the Company and performance of the responsibilities in your Position shall not constitute a breach of, or otherwise contravene, the terms of any employment agreement or other agreement or policy (including any valid restrictive covenants) to which you are party or otherwise bound and that you are under no other legal or contractual restriction prohibiting you from accepting employment with the Company and performing the responsibilities in your Position.</w:t>
      </w:r>
    </w:p>
    <w:p>
      <w:pPr>
        <w:spacing w:after="0" w:line="68" w:lineRule="exact"/>
        <w:rPr>
          <w:rFonts w:ascii="Times New Roman" w:cs="Times New Roman" w:eastAsia="Times New Roman" w:hAnsi="Times New Roman"/>
          <w:sz w:val="22"/>
          <w:szCs w:val="22"/>
          <w:color w:val="auto"/>
        </w:rPr>
      </w:pPr>
    </w:p>
    <w:p>
      <w:pPr>
        <w:jc w:val="both"/>
        <w:ind w:left="980" w:right="20" w:firstLine="481"/>
        <w:spacing w:after="0" w:line="244" w:lineRule="auto"/>
        <w:tabs>
          <w:tab w:leader="none" w:pos="197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submitted to the Company, a copy of which is annexed hereto, an email copy of Doctors on Demand’s and Included Health’s waiver of rights and exception to enforce the non-competition terms set forth in your Provider Agreement, which you have represented above in paragraph 4(i) and (ii).</w:t>
      </w:r>
    </w:p>
    <w:p>
      <w:pPr>
        <w:spacing w:after="0" w:line="65" w:lineRule="exact"/>
        <w:rPr>
          <w:rFonts w:ascii="Times New Roman" w:cs="Times New Roman" w:eastAsia="Times New Roman" w:hAnsi="Times New Roman"/>
          <w:sz w:val="22"/>
          <w:szCs w:val="22"/>
          <w:color w:val="auto"/>
        </w:rPr>
      </w:pPr>
    </w:p>
    <w:p>
      <w:pPr>
        <w:jc w:val="both"/>
        <w:ind w:left="980" w:firstLine="511"/>
        <w:spacing w:after="0" w:line="238" w:lineRule="auto"/>
        <w:tabs>
          <w:tab w:leader="none" w:pos="197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performance of all the terms of this Agreement and your engagement with the Company does not and will not breach any agreement to keep in confidence proprietary information, knowledge or data acquired by you in confidence or in trust prior to your engagement with the Company, and you will not disclose to the Company or induce the Company to use any confidential information or material belonging to any previous employer or others.</w:t>
      </w:r>
    </w:p>
    <w:p>
      <w:pPr>
        <w:spacing w:after="0" w:line="68" w:lineRule="exact"/>
        <w:rPr>
          <w:rFonts w:ascii="Times New Roman" w:cs="Times New Roman" w:eastAsia="Times New Roman" w:hAnsi="Times New Roman"/>
          <w:sz w:val="22"/>
          <w:szCs w:val="22"/>
          <w:color w:val="auto"/>
        </w:rPr>
      </w:pPr>
    </w:p>
    <w:p>
      <w:pPr>
        <w:jc w:val="both"/>
        <w:ind w:left="980" w:firstLine="585"/>
        <w:spacing w:after="0" w:line="236" w:lineRule="auto"/>
        <w:tabs>
          <w:tab w:leader="none" w:pos="1977"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not brought and will not bring to the Company any materials, documents or information of any kind of a former employer or third party (other than the Company) that is subject to any use restriction and that is not generally available to the public and will not disclose to the Company nor use in connection with your employment hereunder any materials, documents, property or information belonging to a former employer or third party (other than the Company) that are not generally available to the public, absent express written authorization from such former employer or third party to do so.</w:t>
      </w:r>
    </w:p>
    <w:p>
      <w:pPr>
        <w:spacing w:after="0" w:line="73" w:lineRule="exact"/>
        <w:rPr>
          <w:rFonts w:ascii="Times New Roman" w:cs="Times New Roman" w:eastAsia="Times New Roman" w:hAnsi="Times New Roman"/>
          <w:sz w:val="22"/>
          <w:szCs w:val="22"/>
          <w:color w:val="auto"/>
        </w:rPr>
      </w:pPr>
    </w:p>
    <w:p>
      <w:pPr>
        <w:jc w:val="both"/>
        <w:ind w:left="980" w:right="20" w:firstLine="496"/>
        <w:spacing w:after="0" w:line="261" w:lineRule="auto"/>
        <w:tabs>
          <w:tab w:leader="none" w:pos="1977"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currently are not, nor have ever been, included on the List of Excluded Individuals/Entities (LEIE) from Federally funded health care programs pursuant to section 1128 of the Social Security Act (and from Medicare and State health care programs under section 1156 of the Act) by the Office of Inspector General, or otherwise.</w:t>
      </w:r>
    </w:p>
    <w:p>
      <w:pPr>
        <w:spacing w:after="0" w:line="49" w:lineRule="exact"/>
        <w:rPr>
          <w:sz w:val="20"/>
          <w:szCs w:val="20"/>
          <w:color w:val="auto"/>
        </w:rPr>
      </w:pPr>
    </w:p>
    <w:p>
      <w:pPr>
        <w:ind w:left="980" w:right="20" w:firstLine="374"/>
        <w:spacing w:after="0" w:line="258" w:lineRule="auto"/>
        <w:rPr>
          <w:sz w:val="20"/>
          <w:szCs w:val="20"/>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letter, along with the Restrictive Covenant Agreement, sets forth the terms of your employment with the Company and supersedes any prior representations or agreements whether written or oral.</w:t>
      </w:r>
    </w:p>
    <w:p>
      <w:pPr>
        <w:spacing w:after="0" w:line="185" w:lineRule="exact"/>
        <w:rPr>
          <w:sz w:val="20"/>
          <w:szCs w:val="20"/>
          <w:color w:val="auto"/>
        </w:rPr>
      </w:pPr>
    </w:p>
    <w:p>
      <w:pPr>
        <w:jc w:val="both"/>
        <w:ind w:left="980" w:firstLine="374"/>
        <w:spacing w:after="0" w:line="236" w:lineRule="auto"/>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letter is personal to the Employee and shall not be assigned by the Employee. Any purported assignment by the Employee shall be null and void from the initial date of the purported assignment. The Company may assign this letter to any successor or assign (whether direct or indirect, by purchase, merger, consolidation, or otherwise) to all or substantially all of the business or assets of the Company, or to any subsidiary or affiliate of the Company. This Agreement shall inure to the benefit of the Company and permitted successors and assigns.</w:t>
      </w:r>
    </w:p>
    <w:p>
      <w:pPr>
        <w:spacing w:after="0" w:line="208" w:lineRule="exact"/>
        <w:rPr>
          <w:sz w:val="20"/>
          <w:szCs w:val="20"/>
          <w:color w:val="auto"/>
        </w:rPr>
      </w:pPr>
    </w:p>
    <w:p>
      <w:pPr>
        <w:jc w:val="center"/>
        <w:ind w:right="-359"/>
        <w:spacing w:after="0"/>
        <w:tabs>
          <w:tab w:leader="none" w:pos="300" w:val="left"/>
          <w:tab w:leader="none" w:pos="300" w:val="left"/>
        </w:tabs>
        <w:rPr>
          <w:sz w:val="20"/>
          <w:szCs w:val="20"/>
          <w:color w:val="auto"/>
        </w:rPr>
      </w:pPr>
      <w:r>
        <w:rPr>
          <w:rFonts w:ascii="Times New Roman" w:cs="Times New Roman" w:eastAsia="Times New Roman" w:hAnsi="Times New Roman"/>
          <w:sz w:val="22"/>
          <w:szCs w:val="22"/>
          <w:color w:val="auto"/>
        </w:rPr>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695960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260" w:right="459" w:bottom="1440" w:gutter="0" w:footer="0" w:header="0"/>
        </w:sectPr>
      </w:pPr>
    </w:p>
    <w:bookmarkStart w:id="91" w:name="page92"/>
    <w:bookmarkEnd w:id="91"/>
    <w:p>
      <w:pPr>
        <w:jc w:val="both"/>
        <w:ind w:left="240" w:right="20"/>
        <w:spacing w:after="0" w:line="244" w:lineRule="auto"/>
        <w:rPr>
          <w:sz w:val="20"/>
          <w:szCs w:val="20"/>
          <w:color w:val="auto"/>
        </w:rPr>
      </w:pPr>
      <w:r>
        <w:rPr>
          <w:rFonts w:ascii="Times New Roman" w:cs="Times New Roman" w:eastAsia="Times New Roman" w:hAnsi="Times New Roman"/>
          <w:sz w:val="22"/>
          <w:szCs w:val="22"/>
          <w:color w:val="auto"/>
        </w:rPr>
        <w:t>We are excited about the prospect of you joining our team. If you have any questions about the above details, please contact People Operations at peopleops@talkspace.com. If you wish to accept this Position, please sign below and return this letter agreement within three (3) business days; after three business days, this offer will be deemed to be withdrawn.</w:t>
      </w:r>
    </w:p>
    <w:p>
      <w:pPr>
        <w:spacing w:after="0" w:line="2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Jon Cohen, M.D.</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Chief Executive Officer and Board Member Talkspace LLC</w:t>
      </w:r>
    </w:p>
    <w:p>
      <w:pPr>
        <w:spacing w:after="0" w:line="200" w:lineRule="exact"/>
        <w:rPr>
          <w:sz w:val="20"/>
          <w:szCs w:val="20"/>
          <w:color w:val="auto"/>
        </w:rPr>
      </w:pP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b w:val="1"/>
          <w:bCs w:val="1"/>
          <w:u w:val="single" w:color="auto"/>
          <w:color w:val="auto"/>
        </w:rPr>
        <w:t>Acceptance of Offer</w:t>
      </w:r>
    </w:p>
    <w:p>
      <w:pPr>
        <w:spacing w:after="0" w:line="143" w:lineRule="exact"/>
        <w:rPr>
          <w:sz w:val="20"/>
          <w:szCs w:val="20"/>
          <w:color w:val="auto"/>
        </w:rPr>
      </w:pPr>
    </w:p>
    <w:p>
      <w:pPr>
        <w:jc w:val="both"/>
        <w:ind w:left="240"/>
        <w:spacing w:after="0" w:line="235" w:lineRule="auto"/>
        <w:rPr>
          <w:sz w:val="20"/>
          <w:szCs w:val="20"/>
          <w:color w:val="auto"/>
        </w:rPr>
      </w:pPr>
      <w:r>
        <w:rPr>
          <w:rFonts w:ascii="Times New Roman" w:cs="Times New Roman" w:eastAsia="Times New Roman" w:hAnsi="Times New Roman"/>
          <w:sz w:val="22"/>
          <w:szCs w:val="22"/>
          <w:color w:val="auto"/>
        </w:rPr>
        <w:t>I have read and understand all the terms of the offer of employment set forth in this letter and I accept each of those terms. I also understand and agree that my employment is at-will and, with the exception of a subsequent written agreement signed by an authorized Talkspace representative, no statements or communications, whether oral or written, will modify my at-will employment status. I further understand that this letter is Talkspace’s complete offer of employment to me and this letter supersedes all prior and contemporaneous understandings, agreements, representations, and warranties, both written and oral, with respect to my employment. I have not relied on any agreements or representations, express or implied, that are not set forth expressly in this letter.</w:t>
      </w:r>
    </w:p>
    <w:p>
      <w:pPr>
        <w:spacing w:after="0" w:line="200" w:lineRule="exact"/>
        <w:rPr>
          <w:sz w:val="20"/>
          <w:szCs w:val="20"/>
          <w:color w:val="auto"/>
        </w:rPr>
      </w:pPr>
    </w:p>
    <w:p>
      <w:pPr>
        <w:spacing w:after="0" w:line="2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By:</w:t>
      </w:r>
    </w:p>
    <w:p>
      <w:pPr>
        <w:spacing w:after="0" w:line="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Name: Nikole Sara Benders-Hadi, M.D.</w:t>
      </w:r>
    </w:p>
    <w:p>
      <w:pPr>
        <w:spacing w:after="0" w:line="98" w:lineRule="exact"/>
        <w:rPr>
          <w:sz w:val="20"/>
          <w:szCs w:val="20"/>
          <w:color w:val="auto"/>
        </w:rPr>
      </w:pPr>
    </w:p>
    <w:p>
      <w:pPr>
        <w:ind w:left="240"/>
        <w:spacing w:after="0"/>
        <w:tabs>
          <w:tab w:leader="none" w:pos="1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Arial" w:cs="Arial" w:eastAsia="Arial" w:hAnsi="Arial"/>
          <w:sz w:val="22"/>
          <w:szCs w:val="22"/>
          <w:color w:val="auto"/>
        </w:rPr>
        <w:t>8/15/2023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695960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80" w:top="1260" w:right="45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820" w:type="dxa"/>
            <w:vAlign w:val="bottom"/>
            <w:gridSpan w:val="3"/>
          </w:tcPr>
          <w:p>
            <w:pPr>
              <w:jc w:val="center"/>
              <w:ind w:right="3100"/>
              <w:spacing w:after="0"/>
              <w:rPr>
                <w:sz w:val="20"/>
                <w:szCs w:val="20"/>
                <w:color w:val="auto"/>
              </w:rPr>
            </w:pPr>
            <w:r>
              <w:rPr>
                <w:rFonts w:ascii="Times New Roman" w:cs="Times New Roman" w:eastAsia="Times New Roman" w:hAnsi="Times New Roman"/>
                <w:sz w:val="20"/>
                <w:szCs w:val="20"/>
                <w:b w:val="1"/>
                <w:bCs w:val="1"/>
                <w:color w:val="auto"/>
                <w:w w:val="98"/>
              </w:rPr>
              <w:t>Subsidiaries of Talkspace, Inc.</w:t>
            </w:r>
          </w:p>
        </w:tc>
      </w:tr>
      <w:tr>
        <w:trPr>
          <w:trHeight w:val="258"/>
        </w:trPr>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7820" w:type="dxa"/>
            <w:vAlign w:val="bottom"/>
            <w:gridSpan w:val="3"/>
          </w:tcPr>
          <w:p>
            <w:pPr>
              <w:jc w:val="center"/>
              <w:ind w:right="3100"/>
              <w:spacing w:after="0"/>
              <w:rPr>
                <w:sz w:val="20"/>
                <w:szCs w:val="20"/>
                <w:color w:val="auto"/>
              </w:rPr>
            </w:pPr>
            <w:r>
              <w:rPr>
                <w:rFonts w:ascii="Times New Roman" w:cs="Times New Roman" w:eastAsia="Times New Roman" w:hAnsi="Times New Roman"/>
                <w:sz w:val="20"/>
                <w:szCs w:val="20"/>
                <w:color w:val="auto"/>
                <w:w w:val="98"/>
              </w:rPr>
              <w:t>As of December 31, 2023</w:t>
            </w:r>
          </w:p>
        </w:tc>
      </w:tr>
      <w:tr>
        <w:trPr>
          <w:trHeight w:val="669"/>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7"/>
              </w:rPr>
              <w:t>Legal Name</w:t>
            </w:r>
          </w:p>
        </w:tc>
        <w:tc>
          <w:tcPr>
            <w:tcW w:w="2380" w:type="dxa"/>
            <w:vAlign w:val="bottom"/>
          </w:tcPr>
          <w:p>
            <w:pPr>
              <w:spacing w:after="0"/>
              <w:rPr>
                <w:sz w:val="24"/>
                <w:szCs w:val="24"/>
                <w:color w:val="auto"/>
              </w:rPr>
            </w:pPr>
          </w:p>
        </w:tc>
        <w:tc>
          <w:tcPr>
            <w:tcW w:w="7820" w:type="dxa"/>
            <w:vAlign w:val="bottom"/>
            <w:gridSpan w:val="3"/>
          </w:tcPr>
          <w:p>
            <w:pPr>
              <w:ind w:left="3460"/>
              <w:spacing w:after="0"/>
              <w:rPr>
                <w:sz w:val="20"/>
                <w:szCs w:val="20"/>
                <w:color w:val="auto"/>
              </w:rPr>
            </w:pPr>
            <w:r>
              <w:rPr>
                <w:rFonts w:ascii="Times New Roman" w:cs="Times New Roman" w:eastAsia="Times New Roman" w:hAnsi="Times New Roman"/>
                <w:sz w:val="20"/>
                <w:szCs w:val="20"/>
                <w:b w:val="1"/>
                <w:bCs w:val="1"/>
                <w:color w:val="auto"/>
              </w:rPr>
              <w:t>Jurisdiction of Incorporation</w:t>
            </w:r>
          </w:p>
        </w:tc>
      </w:tr>
      <w:tr>
        <w:trPr>
          <w:trHeight w:val="20"/>
        </w:trPr>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Talkspace LLC</w:t>
            </w:r>
          </w:p>
        </w:tc>
        <w:tc>
          <w:tcPr>
            <w:tcW w:w="7820" w:type="dxa"/>
            <w:vAlign w:val="bottom"/>
            <w:gridSpan w:val="3"/>
          </w:tcPr>
          <w:p>
            <w:pPr>
              <w:ind w:left="3460"/>
              <w:spacing w:after="0"/>
              <w:rPr>
                <w:sz w:val="20"/>
                <w:szCs w:val="20"/>
                <w:color w:val="auto"/>
              </w:rPr>
            </w:pPr>
            <w:r>
              <w:rPr>
                <w:rFonts w:ascii="Times New Roman" w:cs="Times New Roman" w:eastAsia="Times New Roman" w:hAnsi="Times New Roman"/>
                <w:sz w:val="20"/>
                <w:szCs w:val="20"/>
                <w:color w:val="auto"/>
              </w:rPr>
              <w:t>Delaware</w:t>
            </w:r>
          </w:p>
        </w:tc>
      </w:tr>
      <w:tr>
        <w:trPr>
          <w:trHeight w:val="258"/>
        </w:trPr>
        <w:tc>
          <w:tcPr>
            <w:tcW w:w="20" w:type="dxa"/>
            <w:vAlign w:val="bottom"/>
          </w:tcPr>
          <w:p>
            <w:pPr>
              <w:spacing w:after="0"/>
              <w:rPr>
                <w:sz w:val="22"/>
                <w:szCs w:val="22"/>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Groop Internet Platform LTD</w:t>
            </w:r>
          </w:p>
        </w:tc>
        <w:tc>
          <w:tcPr>
            <w:tcW w:w="7820" w:type="dxa"/>
            <w:vAlign w:val="bottom"/>
            <w:gridSpan w:val="3"/>
          </w:tcPr>
          <w:p>
            <w:pPr>
              <w:ind w:left="3460"/>
              <w:spacing w:after="0"/>
              <w:rPr>
                <w:sz w:val="20"/>
                <w:szCs w:val="20"/>
                <w:color w:val="auto"/>
              </w:rPr>
            </w:pPr>
            <w:r>
              <w:rPr>
                <w:rFonts w:ascii="Times New Roman" w:cs="Times New Roman" w:eastAsia="Times New Roman" w:hAnsi="Times New Roman"/>
                <w:sz w:val="20"/>
                <w:szCs w:val="20"/>
                <w:color w:val="auto"/>
              </w:rPr>
              <w:t>Israel</w:t>
            </w:r>
          </w:p>
        </w:tc>
      </w:tr>
      <w:tr>
        <w:trPr>
          <w:trHeight w:val="1783"/>
        </w:trPr>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3" w:name="page94"/>
    <w:bookmarkEnd w:id="93"/>
    <w:p>
      <w:pPr>
        <w:ind w:left="9380"/>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17"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333-257686) of Talkspace, Inc.,</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333-270825) pertaining to the 2014 Stock Incentive Plan, 2021 Incentive Award Plan and 2021 Employee Stock Purchase Plan of Talkspace, Inc.,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333-263329) pertaining to the 2014 Stock Incentive Plan, 2021 Incentive Award Plan and 2021 Employee Stock Purchase Plan of Talkspace, Inc.,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333-259165) pertaining to the 2014 Stock Incentive Plan, 2021 Incentive Award Plan and 2021 Employee Stock Purchase Plan of Talkspace, Inc.;</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of our reports dated March 13, 2024, with respect to the consolidated financial statements of Talkspace, Inc. and the effectiveness of internal control over financial reporting of Talkspace, Inc. included in this Annual Report (Form 10-K) of Talkspace, Inc. for the year ended December 31, 2023</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R. Cohen, certify that:</w:t>
      </w:r>
    </w:p>
    <w:p>
      <w:pPr>
        <w:spacing w:after="0" w:line="225"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Talkspace,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13, 2024</w:t>
            </w:r>
          </w:p>
        </w:tc>
        <w:tc>
          <w:tcPr>
            <w:tcW w:w="2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 R. Cohen</w:t>
            </w:r>
          </w:p>
        </w:tc>
      </w:tr>
      <w:tr>
        <w:trPr>
          <w:trHeight w:val="205"/>
        </w:trPr>
        <w:tc>
          <w:tcPr>
            <w:tcW w:w="35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Jon R. Cohen</w:t>
            </w:r>
          </w:p>
        </w:tc>
      </w:tr>
      <w:tr>
        <w:trPr>
          <w:trHeight w:val="234"/>
        </w:trPr>
        <w:tc>
          <w:tcPr>
            <w:tcW w:w="35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208"/>
        </w:trPr>
        <w:tc>
          <w:tcPr>
            <w:tcW w:w="35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Fulk, certify that:</w:t>
      </w:r>
    </w:p>
    <w:p>
      <w:pPr>
        <w:spacing w:after="0" w:line="225"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Talkspace,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13, 2024</w:t>
            </w:r>
          </w:p>
        </w:tc>
        <w:tc>
          <w:tcPr>
            <w:tcW w:w="26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Fulk</w:t>
            </w:r>
          </w:p>
        </w:tc>
      </w:tr>
      <w:tr>
        <w:trPr>
          <w:trHeight w:val="205"/>
        </w:trPr>
        <w:tc>
          <w:tcPr>
            <w:tcW w:w="35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Jennifer Fulk</w:t>
            </w:r>
          </w:p>
        </w:tc>
      </w:tr>
      <w:tr>
        <w:trPr>
          <w:trHeight w:val="234"/>
        </w:trPr>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92"/>
        </w:trPr>
        <w:tc>
          <w:tcPr>
            <w:tcW w:w="35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Talkspace, Inc. (the “Company”) for the year ended December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13, 2024</w:t>
            </w:r>
          </w:p>
        </w:tc>
        <w:tc>
          <w:tcPr>
            <w:tcW w:w="26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R. Cohen</w:t>
            </w:r>
          </w:p>
        </w:tc>
      </w:tr>
      <w:tr>
        <w:trPr>
          <w:trHeight w:val="205"/>
        </w:trPr>
        <w:tc>
          <w:tcPr>
            <w:tcW w:w="34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5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Jon R. Cohen</w:t>
            </w:r>
          </w:p>
        </w:tc>
      </w:tr>
      <w:tr>
        <w:trPr>
          <w:trHeight w:val="234"/>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92"/>
        </w:trPr>
        <w:tc>
          <w:tcPr>
            <w:tcW w:w="34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Talkspace, Inc. (the “Company”) for the year ended December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13, 2024</w:t>
            </w:r>
          </w:p>
        </w:tc>
        <w:tc>
          <w:tcPr>
            <w:tcW w:w="26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Jennifer Fulk</w:t>
            </w:r>
          </w:p>
        </w:tc>
      </w:tr>
      <w:tr>
        <w:trPr>
          <w:trHeight w:val="205"/>
        </w:trPr>
        <w:tc>
          <w:tcPr>
            <w:tcW w:w="35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Jennifer Fulk</w:t>
            </w:r>
          </w:p>
        </w:tc>
      </w:tr>
      <w:tr>
        <w:trPr>
          <w:trHeight w:val="234"/>
        </w:trPr>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208"/>
        </w:trPr>
        <w:tc>
          <w:tcPr>
            <w:tcW w:w="35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8" w:name="page99"/>
    <w:bookmarkEnd w:id="98"/>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TALKSPACE, INC. CLAWBACK</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POLICY</w:t>
      </w:r>
    </w:p>
    <w:p>
      <w:pPr>
        <w:spacing w:after="0" w:line="190" w:lineRule="exact"/>
        <w:rPr>
          <w:sz w:val="20"/>
          <w:szCs w:val="20"/>
          <w:color w:val="auto"/>
        </w:rPr>
      </w:pPr>
    </w:p>
    <w:p>
      <w:pPr>
        <w:ind w:left="760" w:hanging="752"/>
        <w:spacing w:after="0"/>
        <w:tabs>
          <w:tab w:leader="none" w:pos="76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w:t>
      </w:r>
    </w:p>
    <w:p>
      <w:pPr>
        <w:spacing w:after="0" w:line="233"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20"/>
          <w:szCs w:val="20"/>
          <w:color w:val="auto"/>
        </w:rPr>
        <w:t>In accordance with the applicable rules of Rule 5608 of the Nasdaq (“</w:t>
      </w:r>
      <w:r>
        <w:rPr>
          <w:rFonts w:ascii="Times New Roman" w:cs="Times New Roman" w:eastAsia="Times New Roman" w:hAnsi="Times New Roman"/>
          <w:sz w:val="20"/>
          <w:szCs w:val="20"/>
          <w:u w:val="single" w:color="auto"/>
          <w:color w:val="auto"/>
        </w:rPr>
        <w:t>Nasdaq</w:t>
      </w:r>
      <w:r>
        <w:rPr>
          <w:rFonts w:ascii="Times New Roman" w:cs="Times New Roman" w:eastAsia="Times New Roman" w:hAnsi="Times New Roman"/>
          <w:sz w:val="20"/>
          <w:szCs w:val="20"/>
          <w:color w:val="auto"/>
        </w:rPr>
        <w:t>”) listing rules (the “</w:t>
      </w:r>
      <w:r>
        <w:rPr>
          <w:rFonts w:ascii="Times New Roman" w:cs="Times New Roman" w:eastAsia="Times New Roman" w:hAnsi="Times New Roman"/>
          <w:sz w:val="20"/>
          <w:szCs w:val="20"/>
          <w:u w:val="single" w:color="auto"/>
          <w:color w:val="auto"/>
        </w:rPr>
        <w:t>Listing Rules</w:t>
      </w:r>
      <w:r>
        <w:rPr>
          <w:rFonts w:ascii="Times New Roman" w:cs="Times New Roman" w:eastAsia="Times New Roman" w:hAnsi="Times New Roman"/>
          <w:sz w:val="20"/>
          <w:szCs w:val="20"/>
          <w:color w:val="auto"/>
        </w:rPr>
        <w:t>”) and Section 10D and Rule 10D-1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Rule 10D-1</w:t>
      </w:r>
      <w:r>
        <w:rPr>
          <w:rFonts w:ascii="Times New Roman" w:cs="Times New Roman" w:eastAsia="Times New Roman" w:hAnsi="Times New Roman"/>
          <w:sz w:val="20"/>
          <w:szCs w:val="20"/>
          <w:color w:val="auto"/>
        </w:rPr>
        <w:t>”), the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of Talkspace,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adopted this Clawback Policy (this “</w:t>
      </w:r>
      <w:r>
        <w:rPr>
          <w:rFonts w:ascii="Times New Roman" w:cs="Times New Roman" w:eastAsia="Times New Roman" w:hAnsi="Times New Roman"/>
          <w:sz w:val="20"/>
          <w:szCs w:val="20"/>
          <w:u w:val="single" w:color="auto"/>
          <w:color w:val="auto"/>
        </w:rPr>
        <w:t>Clawback Policy</w:t>
      </w:r>
      <w:r>
        <w:rPr>
          <w:rFonts w:ascii="Times New Roman" w:cs="Times New Roman" w:eastAsia="Times New Roman" w:hAnsi="Times New Roman"/>
          <w:sz w:val="20"/>
          <w:szCs w:val="20"/>
          <w:color w:val="auto"/>
        </w:rPr>
        <w:t>”) to provide for the recovery of erroneously awarded incentive-based compensation from Officers of the Company.</w:t>
      </w:r>
    </w:p>
    <w:p>
      <w:pPr>
        <w:spacing w:after="0" w:line="189" w:lineRule="exact"/>
        <w:rPr>
          <w:sz w:val="20"/>
          <w:szCs w:val="20"/>
          <w:color w:val="auto"/>
        </w:rPr>
      </w:pPr>
    </w:p>
    <w:p>
      <w:pPr>
        <w:ind w:left="760" w:hanging="752"/>
        <w:spacing w:after="0"/>
        <w:tabs>
          <w:tab w:leader="none" w:pos="76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APPLICABILITY</w:t>
      </w:r>
    </w:p>
    <w:p>
      <w:pPr>
        <w:spacing w:after="0" w:line="233" w:lineRule="exact"/>
        <w:rPr>
          <w:sz w:val="20"/>
          <w:szCs w:val="20"/>
          <w:color w:val="auto"/>
        </w:rPr>
      </w:pPr>
    </w:p>
    <w:p>
      <w:pPr>
        <w:jc w:val="both"/>
        <w:ind w:left="20" w:right="20"/>
        <w:spacing w:after="0" w:line="249" w:lineRule="auto"/>
        <w:rPr>
          <w:sz w:val="20"/>
          <w:szCs w:val="20"/>
          <w:color w:val="auto"/>
        </w:rPr>
      </w:pPr>
      <w:r>
        <w:rPr>
          <w:rFonts w:ascii="Times New Roman" w:cs="Times New Roman" w:eastAsia="Times New Roman" w:hAnsi="Times New Roman"/>
          <w:sz w:val="20"/>
          <w:szCs w:val="20"/>
          <w:color w:val="auto"/>
        </w:rPr>
        <w:t>This Clawback Policy applies to all current or former “</w:t>
      </w:r>
      <w:r>
        <w:rPr>
          <w:rFonts w:ascii="Times New Roman" w:cs="Times New Roman" w:eastAsia="Times New Roman" w:hAnsi="Times New Roman"/>
          <w:sz w:val="20"/>
          <w:szCs w:val="20"/>
          <w:u w:val="single" w:color="auto"/>
          <w:color w:val="auto"/>
        </w:rPr>
        <w:t>Officers</w:t>
      </w:r>
      <w:r>
        <w:rPr>
          <w:rFonts w:ascii="Times New Roman" w:cs="Times New Roman" w:eastAsia="Times New Roman" w:hAnsi="Times New Roman"/>
          <w:sz w:val="20"/>
          <w:szCs w:val="20"/>
          <w:color w:val="auto"/>
        </w:rPr>
        <w:t>” of the Company (as defined below) who received Recoverable Incentive Compensation (as defined below) during the Recoupment Period (as defined below). For purposes of this Clawback Policy, “</w:t>
      </w:r>
      <w:r>
        <w:rPr>
          <w:rFonts w:ascii="Times New Roman" w:cs="Times New Roman" w:eastAsia="Times New Roman" w:hAnsi="Times New Roman"/>
          <w:sz w:val="20"/>
          <w:szCs w:val="20"/>
          <w:u w:val="single" w:color="auto"/>
          <w:color w:val="auto"/>
        </w:rPr>
        <w:t>Officers</w:t>
      </w:r>
      <w:r>
        <w:rPr>
          <w:rFonts w:ascii="Times New Roman" w:cs="Times New Roman" w:eastAsia="Times New Roman" w:hAnsi="Times New Roman"/>
          <w:sz w:val="20"/>
          <w:szCs w:val="20"/>
          <w:color w:val="auto"/>
        </w:rPr>
        <w:t>” means each individual who is or was at any time during the Recoupment Period designated by the Board (or an applicable committee thereof) as an “officer” of the Company, as defined in Rule 16a-1(f) under the Exchange Act.</w:t>
      </w:r>
    </w:p>
    <w:p>
      <w:pPr>
        <w:spacing w:after="0" w:line="189" w:lineRule="exact"/>
        <w:rPr>
          <w:sz w:val="20"/>
          <w:szCs w:val="20"/>
          <w:color w:val="auto"/>
        </w:rPr>
      </w:pPr>
    </w:p>
    <w:p>
      <w:pPr>
        <w:ind w:left="760" w:hanging="752"/>
        <w:spacing w:after="0"/>
        <w:tabs>
          <w:tab w:leader="none" w:pos="76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RECOUPMENT/CLAWBACK</w:t>
      </w:r>
    </w:p>
    <w:p>
      <w:pPr>
        <w:spacing w:after="0" w:line="233" w:lineRule="exact"/>
        <w:rPr>
          <w:sz w:val="20"/>
          <w:szCs w:val="20"/>
          <w:color w:val="auto"/>
        </w:rPr>
      </w:pPr>
    </w:p>
    <w:p>
      <w:pPr>
        <w:jc w:val="both"/>
        <w:ind w:left="20"/>
        <w:spacing w:after="0" w:line="242" w:lineRule="auto"/>
        <w:rPr>
          <w:sz w:val="20"/>
          <w:szCs w:val="20"/>
          <w:color w:val="auto"/>
        </w:rPr>
      </w:pPr>
      <w:r>
        <w:rPr>
          <w:rFonts w:ascii="Times New Roman" w:cs="Times New Roman" w:eastAsia="Times New Roman" w:hAnsi="Times New Roman"/>
          <w:sz w:val="20"/>
          <w:szCs w:val="20"/>
          <w:color w:val="auto"/>
        </w:rPr>
        <w:t>In the event of a Restatement (as defined below), the Compensation Committee (if composed entirely of independent directors, or in the absence of such a committee, a majority of independent directors serving on the Board) (as applicable, the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shall require a current or former Officer to reasonably promptly reimburse, repay or otherwise forfeit any Excess Incentive Compensation (as defined below) received by such Officer at any time during the three completed fiscal years immediately preceding a Restatement Determination (as defined below), including any applicable transition period that results from a change in the Company’s fiscal year within or immediately following those three completed fiscal years (such period, the “</w:t>
      </w:r>
      <w:r>
        <w:rPr>
          <w:rFonts w:ascii="Times New Roman" w:cs="Times New Roman" w:eastAsia="Times New Roman" w:hAnsi="Times New Roman"/>
          <w:sz w:val="20"/>
          <w:szCs w:val="20"/>
          <w:u w:val="single" w:color="auto"/>
          <w:color w:val="auto"/>
        </w:rPr>
        <w:t>Recoupment Period</w:t>
      </w:r>
      <w:r>
        <w:rPr>
          <w:rFonts w:ascii="Times New Roman" w:cs="Times New Roman" w:eastAsia="Times New Roman" w:hAnsi="Times New Roman"/>
          <w:sz w:val="20"/>
          <w:szCs w:val="20"/>
          <w:color w:val="auto"/>
        </w:rPr>
        <w:t>”). For purposes of this Clawback Policy, Recoverable Incentive Compensation (as defined below) is deemed “received” during the Company’s fiscal period during which the financial reporting measure specified for the incentive compensation award is attained, even if the payment or grant of the Recoverable Incentive Compensation occurs after the end of that period.</w:t>
      </w:r>
    </w:p>
    <w:p>
      <w:pPr>
        <w:jc w:val="both"/>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Incentive Compensation</w:t>
      </w:r>
      <w:r>
        <w:rPr>
          <w:rFonts w:ascii="Times New Roman" w:cs="Times New Roman" w:eastAsia="Times New Roman" w:hAnsi="Times New Roman"/>
          <w:sz w:val="20"/>
          <w:szCs w:val="20"/>
          <w:color w:val="auto"/>
        </w:rPr>
        <w:t>” means, without regard to any taxes paid or payable, the amount of Recoverable Incentive Compensation that was received by the Officer based on the incorrectly reported financial results of the Company that exceeds the amount of Recoverable Incentive Compensation that otherwise would have been received by the Officer if such amount(s) had been determined based on the restated financial results of the Company, in each case, as determined by the Committee. If the Committee cannot reasonably determine the amount of Excess Incentive Compensation received by the Officer based on the information set forth or reflected in the Restatement, then it will make its determination based on a reasonable estimate of the effect of the Restatement on the Company or relevant measure (i.e., the stock price or total shareholder return). The Company must maintain documentation of that reasonable estimate and provide such documentation to Nasdaq.</w:t>
      </w:r>
    </w:p>
    <w:p>
      <w:pPr>
        <w:spacing w:after="0" w:line="190"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Reporting Measures</w:t>
      </w:r>
      <w:r>
        <w:rPr>
          <w:rFonts w:ascii="Times New Roman" w:cs="Times New Roman" w:eastAsia="Times New Roman" w:hAnsi="Times New Roman"/>
          <w:sz w:val="20"/>
          <w:szCs w:val="20"/>
          <w:color w:val="auto"/>
        </w:rPr>
        <w:t>” means measures that are determined and presented in accordance with the accounting principles used in preparing the Company’s financial statements, and any measures that are derived wholly or in part from such measures. Stock price and total shareholder return are financial reporting measures for purposes of this Clawback Policy. A Financial Reporting Measure need not be presented within the financial statements or included in a filing with the SEC.</w:t>
      </w:r>
    </w:p>
    <w:p>
      <w:pPr>
        <w:spacing w:after="0" w:line="180" w:lineRule="exact"/>
        <w:rPr>
          <w:sz w:val="20"/>
          <w:szCs w:val="20"/>
          <w:color w:val="auto"/>
        </w:rPr>
      </w:pPr>
    </w:p>
    <w:p>
      <w:pPr>
        <w:jc w:val="both"/>
        <w:ind w:left="2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Incentive Compensation</w:t>
      </w:r>
      <w:r>
        <w:rPr>
          <w:rFonts w:ascii="Times New Roman" w:cs="Times New Roman" w:eastAsia="Times New Roman" w:hAnsi="Times New Roman"/>
          <w:sz w:val="20"/>
          <w:szCs w:val="20"/>
          <w:color w:val="auto"/>
        </w:rPr>
        <w:t>” means any compensation to the extent the amount is paid, earned, vested or granted based wholly or in part on the attainment of one or more Financial Reporting Measures.</w:t>
      </w: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Recoverable Incentive Compensation</w:t>
      </w:r>
      <w:r>
        <w:rPr>
          <w:rFonts w:ascii="Times New Roman" w:cs="Times New Roman" w:eastAsia="Times New Roman" w:hAnsi="Times New Roman"/>
          <w:sz w:val="20"/>
          <w:szCs w:val="20"/>
          <w:color w:val="auto"/>
        </w:rPr>
        <w:t>” means all Incentive Compensation received on or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224155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09" w:right="459" w:bottom="1440" w:gutter="0" w:footer="0" w:header="0"/>
        </w:sectPr>
      </w:pPr>
    </w:p>
    <w:bookmarkStart w:id="99" w:name="page100"/>
    <w:bookmarkEnd w:id="99"/>
    <w:p>
      <w:pPr>
        <w:jc w:val="both"/>
        <w:ind w:left="12"/>
        <w:spacing w:after="0" w:line="269" w:lineRule="auto"/>
        <w:rPr>
          <w:sz w:val="20"/>
          <w:szCs w:val="20"/>
          <w:color w:val="auto"/>
        </w:rPr>
      </w:pPr>
      <w:r>
        <w:rPr>
          <w:rFonts w:ascii="Times New Roman" w:cs="Times New Roman" w:eastAsia="Times New Roman" w:hAnsi="Times New Roman"/>
          <w:sz w:val="20"/>
          <w:szCs w:val="20"/>
          <w:color w:val="auto"/>
        </w:rPr>
        <w:t>Effective Date by an Officer: (i) after beginning service as an Officer; (ii) while the Company has a class of securities listed on a national securities exchange or a national securities association; and (iii) during the Recoupment Period.</w:t>
      </w:r>
    </w:p>
    <w:p>
      <w:pPr>
        <w:spacing w:after="0" w:line="146" w:lineRule="exact"/>
        <w:rPr>
          <w:sz w:val="20"/>
          <w:szCs w:val="20"/>
          <w:color w:val="auto"/>
        </w:rPr>
      </w:pPr>
    </w:p>
    <w:p>
      <w:pPr>
        <w:jc w:val="both"/>
        <w:ind w:left="12"/>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Restatement</w:t>
      </w:r>
      <w:r>
        <w:rPr>
          <w:rFonts w:ascii="Times New Roman" w:cs="Times New Roman" w:eastAsia="Times New Roman" w:hAnsi="Times New Roman"/>
          <w:sz w:val="20"/>
          <w:szCs w:val="20"/>
          <w:color w:val="auto"/>
        </w:rPr>
        <w:t>” means an accounting restatement (i) due to the material noncompliance of the Company with any financial reporting requirement under the securities laws, including any required accounting restatement to correct an error in previously issued financial restatements that is material to the previously issued financial statements, or (ii) that corrects an error that is not material to previously issued financial statements, but would result in a material misstatement if the error were not corrected in the current period or left uncorrected in the current period.</w:t>
      </w:r>
    </w:p>
    <w:p>
      <w:pPr>
        <w:spacing w:after="0" w:line="212" w:lineRule="exact"/>
        <w:rPr>
          <w:sz w:val="20"/>
          <w:szCs w:val="20"/>
          <w:color w:val="auto"/>
        </w:rPr>
      </w:pPr>
    </w:p>
    <w:p>
      <w:pPr>
        <w:jc w:val="both"/>
        <w:ind w:left="12"/>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Restatement Determination</w:t>
      </w:r>
      <w:r>
        <w:rPr>
          <w:rFonts w:ascii="Times New Roman" w:cs="Times New Roman" w:eastAsia="Times New Roman" w:hAnsi="Times New Roman"/>
          <w:sz w:val="20"/>
          <w:szCs w:val="20"/>
          <w:color w:val="auto"/>
        </w:rPr>
        <w:t>” means the earlier to occur of (i) the date the Board, the Committee and/or management concludes (or reasonably should have concluded) that a Restatement is required, or (ii) the date a regulator, court or other legally authorized entity directs the Company to prepare a Restatement of a previously issued financial statement.</w:t>
      </w:r>
    </w:p>
    <w:p>
      <w:pPr>
        <w:spacing w:after="0" w:line="174" w:lineRule="exact"/>
        <w:rPr>
          <w:sz w:val="20"/>
          <w:szCs w:val="20"/>
          <w:color w:val="auto"/>
        </w:rPr>
      </w:pPr>
    </w:p>
    <w:p>
      <w:pPr>
        <w:jc w:val="both"/>
        <w:ind w:left="12"/>
        <w:spacing w:after="0" w:line="244" w:lineRule="auto"/>
        <w:rPr>
          <w:sz w:val="20"/>
          <w:szCs w:val="20"/>
          <w:color w:val="auto"/>
        </w:rPr>
      </w:pPr>
      <w:r>
        <w:rPr>
          <w:rFonts w:ascii="Times New Roman" w:cs="Times New Roman" w:eastAsia="Times New Roman" w:hAnsi="Times New Roman"/>
          <w:sz w:val="20"/>
          <w:szCs w:val="20"/>
          <w:color w:val="auto"/>
        </w:rPr>
        <w:t>In the event of a Restatement Determination, the Committee shall promptly determine the amount of any Excess Incentive Compensation for each Officer in connection with the Restatement and shall promptly thereafter provide each Officer with a written notice containing the amount of Excess Incentive Compensation and a demand for repayment or return, as applicable. The Committee shall have discretion to determine the appropriate means of recovery of Excess Incentive Compensation based on all applicable facts and circumstances and taking into account the time value of money and the cost to shareholders of delaying recovery. The Committee seeks to recover any Excess Incentive Compensation reasonably promptly. The right of recovery under this Clawback Policy shall run in favor of the Company and its parents and subsidiaries.</w:t>
      </w:r>
    </w:p>
    <w:p>
      <w:pPr>
        <w:spacing w:after="0" w:line="195" w:lineRule="exact"/>
        <w:rPr>
          <w:sz w:val="20"/>
          <w:szCs w:val="20"/>
          <w:color w:val="auto"/>
        </w:rPr>
      </w:pPr>
    </w:p>
    <w:p>
      <w:pPr>
        <w:ind w:left="752" w:hanging="752"/>
        <w:spacing w:after="0"/>
        <w:tabs>
          <w:tab w:leader="none" w:pos="752"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 OF CLAWBACK POLICY</w:t>
      </w:r>
    </w:p>
    <w:p>
      <w:pPr>
        <w:spacing w:after="0" w:line="233" w:lineRule="exact"/>
        <w:rPr>
          <w:sz w:val="20"/>
          <w:szCs w:val="20"/>
          <w:color w:val="auto"/>
        </w:rPr>
      </w:pPr>
    </w:p>
    <w:p>
      <w:pPr>
        <w:jc w:val="both"/>
        <w:ind w:left="12"/>
        <w:spacing w:after="0" w:line="246" w:lineRule="auto"/>
        <w:rPr>
          <w:sz w:val="20"/>
          <w:szCs w:val="20"/>
          <w:color w:val="auto"/>
        </w:rPr>
      </w:pPr>
      <w:r>
        <w:rPr>
          <w:rFonts w:ascii="Times New Roman" w:cs="Times New Roman" w:eastAsia="Times New Roman" w:hAnsi="Times New Roman"/>
          <w:sz w:val="20"/>
          <w:szCs w:val="20"/>
          <w:color w:val="auto"/>
        </w:rPr>
        <w:t>Administration of this Clawback Policy is incumbent on the Committee. The Committee is authorized to interpret and construe this Clawback Policy and to make all determinations necessary, appropriate, or advisable for the administration of this Clawback Policy and for the Company’s compliance with the Listing Rules, Section 10D, Rule 10D-1 and any other applicable law, regulation, rule or interpretation of the SEC or Nasdaq promulgated or issued in connection therewith. Any determinations made by the Committee shall be final and binding on all affected individuals.</w:t>
      </w:r>
    </w:p>
    <w:p>
      <w:pPr>
        <w:spacing w:after="0" w:line="198" w:lineRule="exact"/>
        <w:rPr>
          <w:sz w:val="20"/>
          <w:szCs w:val="20"/>
          <w:color w:val="auto"/>
        </w:rPr>
      </w:pPr>
    </w:p>
    <w:p>
      <w:pPr>
        <w:jc w:val="both"/>
        <w:ind w:left="12"/>
        <w:spacing w:after="0" w:line="242" w:lineRule="auto"/>
        <w:rPr>
          <w:sz w:val="20"/>
          <w:szCs w:val="20"/>
          <w:color w:val="auto"/>
        </w:rPr>
      </w:pPr>
      <w:r>
        <w:rPr>
          <w:rFonts w:ascii="Times New Roman" w:cs="Times New Roman" w:eastAsia="Times New Roman" w:hAnsi="Times New Roman"/>
          <w:sz w:val="20"/>
          <w:szCs w:val="20"/>
          <w:color w:val="auto"/>
        </w:rPr>
        <w:t xml:space="preserve">Notwithstanding anything set forth herein to the contrary, the Company shall not be required to seek recovery of compensation under this Clawback Policy (i) if the Committee reasonably determines that the direct expenses to be paid to a third party to recover the Excess Incentive Compensation would exceed the amount of the compensation to be recovered, making recovery impracticable, and provides all required documentation of prior reasonable attempt(s) to recover the Excess Incentive Compensation to Nasdaq, (ii) if recovery would be in violation of any home country law applicable to the Company or an Officer which law was adopted prior to November 28, 2022, </w:t>
      </w:r>
      <w:r>
        <w:rPr>
          <w:rFonts w:ascii="Times New Roman" w:cs="Times New Roman" w:eastAsia="Times New Roman" w:hAnsi="Times New Roman"/>
          <w:sz w:val="20"/>
          <w:szCs w:val="20"/>
          <w:i w:val="1"/>
          <w:iCs w:val="1"/>
          <w:color w:val="auto"/>
        </w:rPr>
        <w:t xml:space="preserve">provided that, </w:t>
      </w:r>
      <w:r>
        <w:rPr>
          <w:rFonts w:ascii="Times New Roman" w:cs="Times New Roman" w:eastAsia="Times New Roman" w:hAnsi="Times New Roman"/>
          <w:sz w:val="20"/>
          <w:szCs w:val="20"/>
          <w:color w:val="auto"/>
        </w:rPr>
        <w:t>before determining that it would be impracticable to recover any amount of Excess Incentive Compensation based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violation of home country law, the Company has obtained an opinion of home country counsel, acceptable to Nasdaq, that recovery would result in such a violation and a copy of the opinion is provided to Nasdaq, or (iii) to the extent applicable, if recovery would likely cause an otherwise tax-qualified retirement plan, under which benefits are broadly available to employees of the Company, to fail to meet the requirements of 26 U.S.C. 401(a)(13) or 26 U.S.C. 411(a) and regulations thereunder. In connection with the foregoing, the Committee must also make a determination that, as a result of any or all of the foregoing, recovery under this Clawback Policy would be impracticable.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52" w:hanging="752"/>
        <w:spacing w:after="0"/>
        <w:tabs>
          <w:tab w:leader="none" w:pos="752"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235585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92"/>
          </w:cols>
          <w:pgMar w:left="448" w:top="1413" w:right="459" w:bottom="1440" w:gutter="0" w:footer="0" w:header="0"/>
        </w:sectPr>
      </w:pPr>
    </w:p>
    <w:bookmarkStart w:id="100" w:name="page101"/>
    <w:bookmarkEnd w:id="100"/>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None of the Company or any of its subsidiaries shall be permitted to indemnify or insure any Officer against</w:t>
      </w:r>
    </w:p>
    <w:p>
      <w:pPr>
        <w:spacing w:after="0" w:line="21" w:lineRule="exact"/>
        <w:rPr>
          <w:sz w:val="20"/>
          <w:szCs w:val="20"/>
          <w:color w:val="auto"/>
        </w:rPr>
      </w:pPr>
    </w:p>
    <w:p>
      <w:pPr>
        <w:ind w:left="280" w:hanging="248"/>
        <w:spacing w:after="0"/>
        <w:tabs>
          <w:tab w:leader="none" w:pos="2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loss of any Excess Incentive Compensation that is repaid, returned or recovered pursuant to the terms of this Clawback Policy, or</w:t>
      </w:r>
    </w:p>
    <w:p>
      <w:pPr>
        <w:ind w:left="320" w:hanging="288"/>
        <w:spacing w:after="0"/>
        <w:tabs>
          <w:tab w:leader="none" w:pos="3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claims relating to the Company’s enforcement of its rights under this Clawback Policy.</w:t>
      </w:r>
    </w:p>
    <w:p>
      <w:pPr>
        <w:spacing w:after="0" w:line="203" w:lineRule="exact"/>
        <w:rPr>
          <w:sz w:val="20"/>
          <w:szCs w:val="20"/>
          <w:color w:val="auto"/>
        </w:rPr>
      </w:pPr>
    </w:p>
    <w:p>
      <w:pPr>
        <w:ind w:left="780" w:hanging="752"/>
        <w:spacing w:after="0"/>
        <w:tabs>
          <w:tab w:leader="none" w:pos="78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RECOVERY RIGHTS</w:t>
      </w:r>
    </w:p>
    <w:p>
      <w:pPr>
        <w:spacing w:after="0" w:line="233" w:lineRule="exact"/>
        <w:rPr>
          <w:sz w:val="20"/>
          <w:szCs w:val="20"/>
          <w:color w:val="auto"/>
        </w:rPr>
      </w:pPr>
    </w:p>
    <w:p>
      <w:pPr>
        <w:jc w:val="both"/>
        <w:ind w:left="40"/>
        <w:spacing w:after="0" w:line="243" w:lineRule="auto"/>
        <w:rPr>
          <w:sz w:val="20"/>
          <w:szCs w:val="20"/>
          <w:color w:val="auto"/>
        </w:rPr>
      </w:pPr>
      <w:r>
        <w:rPr>
          <w:rFonts w:ascii="Times New Roman" w:cs="Times New Roman" w:eastAsia="Times New Roman" w:hAnsi="Times New Roman"/>
          <w:sz w:val="20"/>
          <w:szCs w:val="20"/>
          <w:color w:val="auto"/>
        </w:rPr>
        <w:t>This Clawback Policy shall be binding and enforceable against all Officers and, to the extent required by applicable law or guidance from the SEC or Nasdaq, their beneficiaries, heirs, executors, administrators or other legal representatives. The Committee intends that this Clawback Policy will be applied to the fullest extent required by applicable law. Any employment agreement, equity award agreement, compensatory plan or any other agreement or arrangement with an Officer shall be deemed to include, as a condition to the grant of any benefit thereunder, an agreement by the Officer to abide by the terms of this Clawback Policy. Any right of recovery under this Clawback Policy is in addition to, and not in lieu of, any other remedies or rights of recovery that may be available to the Company under applicable law, regulation or rule or pursuant to the terms of any policy of the Company or any provision in any employment agreement, equity award agreement, compensatory plan, agreement or other arrangement. Any amounts paid to the Company pursuant to Section 304 of the Sarbanes-Oxley Act of 2002 shall be considered in determining any amounts recovered under this Clawback Policy.</w:t>
      </w:r>
    </w:p>
    <w:p>
      <w:pPr>
        <w:spacing w:after="0" w:line="199" w:lineRule="exact"/>
        <w:rPr>
          <w:sz w:val="20"/>
          <w:szCs w:val="20"/>
          <w:color w:val="auto"/>
        </w:rPr>
      </w:pPr>
    </w:p>
    <w:p>
      <w:pPr>
        <w:jc w:val="both"/>
        <w:ind w:left="40"/>
        <w:spacing w:after="0" w:line="249" w:lineRule="auto"/>
        <w:rPr>
          <w:sz w:val="20"/>
          <w:szCs w:val="20"/>
          <w:color w:val="auto"/>
        </w:rPr>
      </w:pPr>
      <w:r>
        <w:rPr>
          <w:rFonts w:ascii="Times New Roman" w:cs="Times New Roman" w:eastAsia="Times New Roman" w:hAnsi="Times New Roman"/>
          <w:sz w:val="20"/>
          <w:szCs w:val="20"/>
          <w:color w:val="auto"/>
        </w:rPr>
        <w:t>If an Officer fails to repay the Excess Incentive Compensation that is owed to the Company under this Clawback Policy, the Company shall take all appropriate action to recover such Excess Incentive Compensation from the Officer, and the Officer shall be required to reimburse the Company for all expenses (including legal expenses) incurred by the Company in recovering such Excess Incentive Compensation.</w:t>
      </w:r>
    </w:p>
    <w:p>
      <w:pPr>
        <w:spacing w:after="0" w:line="189" w:lineRule="exact"/>
        <w:rPr>
          <w:sz w:val="20"/>
          <w:szCs w:val="20"/>
          <w:color w:val="auto"/>
        </w:rPr>
      </w:pPr>
    </w:p>
    <w:p>
      <w:pPr>
        <w:ind w:left="780" w:hanging="752"/>
        <w:spacing w:after="0"/>
        <w:tabs>
          <w:tab w:leader="none" w:pos="78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EFFECTIVENESS OF CLAWBACK POLICY</w:t>
      </w:r>
    </w:p>
    <w:p>
      <w:pPr>
        <w:spacing w:after="0" w:line="233" w:lineRule="exact"/>
        <w:rPr>
          <w:sz w:val="20"/>
          <w:szCs w:val="20"/>
          <w:color w:val="auto"/>
        </w:rPr>
      </w:pPr>
    </w:p>
    <w:p>
      <w:pPr>
        <w:jc w:val="both"/>
        <w:ind w:left="40"/>
        <w:spacing w:after="0" w:line="254" w:lineRule="auto"/>
        <w:rPr>
          <w:sz w:val="20"/>
          <w:szCs w:val="20"/>
          <w:color w:val="auto"/>
        </w:rPr>
      </w:pPr>
      <w:r>
        <w:rPr>
          <w:rFonts w:ascii="Times New Roman" w:cs="Times New Roman" w:eastAsia="Times New Roman" w:hAnsi="Times New Roman"/>
          <w:sz w:val="20"/>
          <w:szCs w:val="20"/>
          <w:color w:val="auto"/>
        </w:rPr>
        <w:t>This Clawback Policy will become effective as of December 1, 2023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and will thereafter remain in effect for an indefinite period of time, provided, however, that this Clawback Policy may be suspended or terminated by the Board of Directors/the Committee at any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Effective Date: December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552450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20" w:top="1440" w:right="459" w:bottom="1440" w:gutter="0" w:footer="0" w:header="0"/>
        </w:sectPr>
      </w:pPr>
    </w:p>
    <w:bookmarkStart w:id="101" w:name="page102"/>
    <w:bookmarkEnd w:id="1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1"/>
      <w:numFmt w:val="lowerLetter"/>
      <w:start w:val="1"/>
    </w:lvl>
    <w:lvl w:ilvl="1">
      <w:lvlJc w:val="left"/>
      <w:lvlText w:val="(%2)"/>
      <w:numFmt w:val="decimal"/>
      <w:start w:val="3"/>
    </w:lvl>
  </w:abstractNum>
  <w:abstractNum w:abstractNumId="25">
    <w:nsid w:val="2D517796"/>
    <w:multiLevelType w:val="hybridMultilevel"/>
    <w:lvl w:ilvl="0">
      <w:lvlJc w:val="left"/>
      <w:lvlText w:val="(%1)"/>
      <w:numFmt w:val="lowerLetter"/>
      <w:start w:val="2"/>
    </w:lvl>
    <w:lvl w:ilvl="1">
      <w:lvlJc w:val="left"/>
      <w:lvlText w:val="%2"/>
      <w:numFmt w:val="decimal"/>
      <w:start w:val="1"/>
    </w:lvl>
  </w:abstractNum>
  <w:abstractNum w:abstractNumId="26">
    <w:nsid w:val="580BD78F"/>
    <w:multiLevelType w:val="hybridMultilevel"/>
    <w:lvl w:ilvl="0">
      <w:lvlJc w:val="left"/>
      <w:lvlText w:val="(%1)"/>
      <w:numFmt w:val="lowerLetter"/>
      <w:start w:val="3"/>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1."/>
      <w:numFmt w:val="upperLetter"/>
      <w:start w:val="1"/>
    </w:lvl>
  </w:abstractNum>
  <w:abstractNum w:abstractNumId="30">
    <w:nsid w:val="6A2342EC"/>
    <w:multiLevelType w:val="hybridMultilevel"/>
    <w:lvl w:ilvl="0">
      <w:lvlJc w:val="left"/>
      <w:lvlText w:val="%1."/>
      <w:numFmt w:val="upperLetter"/>
      <w:start w:val="2"/>
    </w:lvl>
    <w:lvl w:ilvl="1">
      <w:lvlJc w:val="left"/>
      <w:lvlText w:val="%2."/>
      <w:numFmt w:val="decimal"/>
      <w:start w:val="1"/>
    </w:lvl>
  </w:abstractNum>
  <w:abstractNum w:abstractNumId="31">
    <w:nsid w:val="2A487CB0"/>
    <w:multiLevelType w:val="hybridMultilevel"/>
    <w:lvl w:ilvl="0">
      <w:lvlJc w:val="left"/>
      <w:lvlText w:val="%1"/>
      <w:numFmt w:val="upperLetter"/>
      <w:start w:val="1"/>
    </w:lvl>
    <w:lvl w:ilvl="1">
      <w:lvlJc w:val="left"/>
      <w:lvlText w:val="%2."/>
      <w:numFmt w:val="decimal"/>
      <w:start w:val="3"/>
    </w:lvl>
  </w:abstractNum>
  <w:abstractNum w:abstractNumId="32">
    <w:nsid w:val="1D4ED43B"/>
    <w:multiLevelType w:val="hybridMultilevel"/>
    <w:lvl w:ilvl="0">
      <w:lvlJc w:val="left"/>
      <w:lvlText w:val="%1"/>
      <w:numFmt w:val="upperLetter"/>
      <w:start w:val="1"/>
    </w:lvl>
    <w:lvl w:ilvl="1">
      <w:lvlJc w:val="left"/>
      <w:lvlText w:val="%2."/>
      <w:numFmt w:val="decimal"/>
      <w:start w:val="1"/>
    </w:lvl>
  </w:abstractNum>
  <w:abstractNum w:abstractNumId="33">
    <w:nsid w:val="725A06F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lvl w:ilvl="3">
      <w:lvlJc w:val="left"/>
      <w:lvlText w:val="%4."/>
      <w:numFmt w:val="lowerRoman"/>
      <w:start w:val="2"/>
    </w:lvl>
  </w:abstractNum>
  <w:abstractNum w:abstractNumId="34">
    <w:nsid w:val="2CD89A32"/>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3"/>
    </w:lvl>
    <w:lvl w:ilvl="3">
      <w:lvlJc w:val="left"/>
      <w:lvlText w:val="%4"/>
      <w:numFmt w:val="lowerRoman"/>
      <w:start w:val="1"/>
    </w:lvl>
  </w:abstractNum>
  <w:abstractNum w:abstractNumId="35">
    <w:nsid w:val="57E4CCAF"/>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lvl w:ilvl="3">
      <w:lvlJc w:val="left"/>
      <w:lvlText w:val="%4"/>
      <w:numFmt w:val="lowerRoman"/>
      <w:start w:val="1"/>
    </w:lvl>
  </w:abstractNum>
  <w:abstractNum w:abstractNumId="36">
    <w:nsid w:val="7A6D8D3C"/>
    <w:multiLevelType w:val="hybridMultilevel"/>
    <w:lvl w:ilvl="0">
      <w:lvlJc w:val="left"/>
      <w:lvlText w:val="%1."/>
      <w:numFmt w:val="upperLetter"/>
      <w:start w:val="4"/>
    </w:lvl>
    <w:lvl w:ilvl="1">
      <w:lvlJc w:val="left"/>
      <w:lvlText w:val="%2"/>
      <w:numFmt w:val="decimal"/>
      <w:start w:val="1"/>
    </w:lvl>
    <w:lvl w:ilvl="2">
      <w:lvlJc w:val="left"/>
      <w:lvlText w:val="%3"/>
      <w:numFmt w:val="lowerRoman"/>
      <w:start w:val="1"/>
    </w:lvl>
    <w:lvl w:ilvl="3">
      <w:lvlJc w:val="left"/>
      <w:lvlText w:val="%4"/>
      <w:numFmt w:val="lowerRoman"/>
      <w:start w:val="1"/>
    </w:lvl>
  </w:abstractNum>
  <w:abstractNum w:abstractNumId="37">
    <w:nsid w:val="4B588F54"/>
    <w:multiLevelType w:val="hybridMultilevel"/>
    <w:lvl w:ilvl="0">
      <w:lvlJc w:val="left"/>
      <w:lvlText w:val="%1."/>
      <w:numFmt w:val="decimal"/>
      <w:start w:val="4"/>
    </w:lvl>
    <w:lvl w:ilvl="1">
      <w:lvlJc w:val="left"/>
      <w:lvlText w:val="%2."/>
      <w:numFmt w:val="lowerRoman"/>
      <w:start w:val="1"/>
    </w:lvl>
  </w:abstractNum>
  <w:abstractNum w:abstractNumId="38">
    <w:nsid w:val="542289EC"/>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39">
    <w:nsid w:val="6DE91B18"/>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5"/>
    </w:lvl>
  </w:abstractNum>
  <w:abstractNum w:abstractNumId="40">
    <w:nsid w:val="38437FDB"/>
    <w:multiLevelType w:val="hybridMultilevel"/>
    <w:lvl w:ilvl="0">
      <w:lvlJc w:val="left"/>
      <w:lvlText w:val="%1"/>
      <w:numFmt w:val="lowerRoman"/>
      <w:start w:val="1"/>
    </w:lvl>
    <w:lvl w:ilvl="1">
      <w:lvlJc w:val="left"/>
      <w:lvlText w:val="%2."/>
      <w:numFmt w:val="lowerRoman"/>
      <w:start w:val="6"/>
    </w:lvl>
    <w:lvl w:ilvl="2">
      <w:lvlJc w:val="left"/>
      <w:lvlText w:val="%3"/>
      <w:numFmt w:val="lowerRoman"/>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1"/>
    </w:lvl>
    <w:lvl w:ilvl="1">
      <w:lvlJc w:val="left"/>
      <w:lvlText w:val="(%2)"/>
      <w:numFmt w:val="lowerLetter"/>
      <w:start w:val="1"/>
    </w:lvl>
  </w:abstractNum>
  <w:abstractNum w:abstractNumId="43">
    <w:nsid w:val="684A481A"/>
    <w:multiLevelType w:val="hybridMultilevel"/>
    <w:lvl w:ilvl="0">
      <w:lvlJc w:val="left"/>
      <w:lvlText w:val="%1."/>
      <w:numFmt w:val="decimal"/>
      <w:start w:val="1"/>
    </w:lvl>
    <w:lvl w:ilvl="1">
      <w:lvlJc w:val="left"/>
      <w:lvlText w:val="(%2)"/>
      <w:numFmt w:val="lowerLetter"/>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decimal"/>
      <w:start w:val="2"/>
    </w:lvl>
  </w:abstractNum>
  <w:abstractNum w:abstractNumId="48">
    <w:nsid w:val="79A1DEAA"/>
    <w:multiLevelType w:val="hybridMultilevel"/>
    <w:lvl w:ilvl="0">
      <w:lvlJc w:val="left"/>
      <w:lvlText w:val="%1."/>
      <w:numFmt w:val="decimal"/>
      <w:start w:val="3"/>
    </w:lvl>
  </w:abstractNum>
  <w:abstractNum w:abstractNumId="49">
    <w:nsid w:val="75C6C33A"/>
    <w:multiLevelType w:val="hybridMultilevel"/>
    <w:lvl w:ilvl="0">
      <w:lvlJc w:val="left"/>
      <w:lvlText w:val="%1."/>
      <w:numFmt w:val="decimal"/>
      <w:start w:val="4"/>
    </w:lvl>
  </w:abstractNum>
  <w:abstractNum w:abstractNumId="50">
    <w:nsid w:val="12E685FB"/>
    <w:multiLevelType w:val="hybridMultilevel"/>
    <w:lvl w:ilvl="0">
      <w:lvlJc w:val="left"/>
      <w:lvlText w:val="%1."/>
      <w:numFmt w:val="decimal"/>
      <w:start w:val="5"/>
    </w:lvl>
  </w:abstractNum>
  <w:abstractNum w:abstractNumId="51">
    <w:nsid w:val="70C6A529"/>
    <w:multiLevelType w:val="hybridMultilevel"/>
    <w:lvl w:ilvl="0">
      <w:lvlJc w:val="left"/>
      <w:lvlText w:val="(%1)"/>
      <w:numFmt w:val="lowerRoman"/>
      <w:start w:val="1"/>
    </w:lvl>
  </w:abstractNum>
  <w:abstractNum w:abstractNumId="52">
    <w:nsid w:val="520EEDD1"/>
    <w:multiLevelType w:val="hybridMultilevel"/>
    <w:lvl w:ilvl="0">
      <w:lvlJc w:val="left"/>
      <w:lvlText w:val="%1."/>
      <w:numFmt w:val="decimal"/>
      <w:start w:val="6"/>
    </w:lvl>
  </w:abstractNum>
  <w:abstractNum w:abstractNumId="53">
    <w:nsid w:val="374A3FE6"/>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23" Type="http://schemas.openxmlformats.org/officeDocument/2006/relationships/image" Target="media/image293.png"/><Relationship Id="rId324" Type="http://schemas.openxmlformats.org/officeDocument/2006/relationships/image" Target="media/image294.png"/><Relationship Id="rId326" Type="http://schemas.openxmlformats.org/officeDocument/2006/relationships/image" Target="media/image295.png"/><Relationship Id="rId327" Type="http://schemas.openxmlformats.org/officeDocument/2006/relationships/image" Target="media/image296.png"/><Relationship Id="rId330" Type="http://schemas.openxmlformats.org/officeDocument/2006/relationships/image" Target="media/image297.png"/><Relationship Id="rId331" Type="http://schemas.openxmlformats.org/officeDocument/2006/relationships/image" Target="media/image298.png"/><Relationship Id="rId332" Type="http://schemas.openxmlformats.org/officeDocument/2006/relationships/image" Target="media/image299.png"/><Relationship Id="rId333" Type="http://schemas.openxmlformats.org/officeDocument/2006/relationships/image" Target="media/image300.png"/><Relationship Id="rId334" Type="http://schemas.openxmlformats.org/officeDocument/2006/relationships/image" Target="media/image301.png"/><Relationship Id="rId335" Type="http://schemas.openxmlformats.org/officeDocument/2006/relationships/image" Target="media/image302.png"/><Relationship Id="rId336" Type="http://schemas.openxmlformats.org/officeDocument/2006/relationships/image" Target="media/image303.png"/><Relationship Id="rId337" Type="http://schemas.openxmlformats.org/officeDocument/2006/relationships/image" Target="media/image304.png"/><Relationship Id="rId338" Type="http://schemas.openxmlformats.org/officeDocument/2006/relationships/image" Target="media/image305.png"/><Relationship Id="rId339" Type="http://schemas.openxmlformats.org/officeDocument/2006/relationships/image" Target="media/image306.png"/><Relationship Id="rId340" Type="http://schemas.openxmlformats.org/officeDocument/2006/relationships/image" Target="media/image307.png"/><Relationship Id="rId341" Type="http://schemas.openxmlformats.org/officeDocument/2006/relationships/image" Target="media/image308.png"/><Relationship Id="rId342" Type="http://schemas.openxmlformats.org/officeDocument/2006/relationships/image" Target="media/image309.png"/><Relationship Id="rId343" Type="http://schemas.openxmlformats.org/officeDocument/2006/relationships/image" Target="media/image310.png"/><Relationship Id="rId344" Type="http://schemas.openxmlformats.org/officeDocument/2006/relationships/image" Target="media/image311.png"/><Relationship Id="rId345" Type="http://schemas.openxmlformats.org/officeDocument/2006/relationships/image" Target="media/image312.png"/><Relationship Id="rId346" Type="http://schemas.openxmlformats.org/officeDocument/2006/relationships/image" Target="media/image313.png"/><Relationship Id="rId347" Type="http://schemas.openxmlformats.org/officeDocument/2006/relationships/image" Target="media/image314.png"/><Relationship Id="rId348" Type="http://schemas.openxmlformats.org/officeDocument/2006/relationships/image" Target="media/image315.png"/><Relationship Id="rId349" Type="http://schemas.openxmlformats.org/officeDocument/2006/relationships/image" Target="media/image316.png"/><Relationship Id="rId350" Type="http://schemas.openxmlformats.org/officeDocument/2006/relationships/image" Target="media/image317.png"/><Relationship Id="rId351" Type="http://schemas.openxmlformats.org/officeDocument/2006/relationships/image" Target="media/image318.png"/><Relationship Id="rId352" Type="http://schemas.openxmlformats.org/officeDocument/2006/relationships/image" Target="media/image319.png"/><Relationship Id="rId353" Type="http://schemas.openxmlformats.org/officeDocument/2006/relationships/image" Target="media/image320.png"/><Relationship Id="rId354" Type="http://schemas.openxmlformats.org/officeDocument/2006/relationships/image" Target="media/image321.png"/><Relationship Id="rId355" Type="http://schemas.openxmlformats.org/officeDocument/2006/relationships/image" Target="media/image322.png"/><Relationship Id="rId300" Type="http://schemas.openxmlformats.org/officeDocument/2006/relationships/hyperlink" Target="https://www.sec.gov/Archives/edgar/data/1803901/000119312521025013/d119648ds4.htm#rom119648_45" TargetMode="External"/><Relationship Id="rId301" Type="http://schemas.openxmlformats.org/officeDocument/2006/relationships/hyperlink" Target="https://www.sec.gov/Archives/edgar/data/1803901/000119312521197385/d182715dex31.htm" TargetMode="External"/><Relationship Id="rId302" Type="http://schemas.openxmlformats.org/officeDocument/2006/relationships/hyperlink" Target="https://www.sec.gov/Archives/edgar/data/1803901/000119312521197385/d182715dex32.htm" TargetMode="External"/><Relationship Id="rId303" Type="http://schemas.openxmlformats.org/officeDocument/2006/relationships/hyperlink" Target="https://www.sec.gov/Archives/edgar/data/0001803901/000119312520166711/d937996dex41.htm" TargetMode="External"/><Relationship Id="rId304" Type="http://schemas.openxmlformats.org/officeDocument/2006/relationships/hyperlink" Target="https://www.sec.gov/Archives/edgar/data/0001803901/000119312520161434/d846732dex43.htm" TargetMode="External"/><Relationship Id="rId305" Type="http://schemas.openxmlformats.org/officeDocument/2006/relationships/hyperlink" Target="https://www.sec.gov/Archives/edgar/data/0001803901/000119312521167533/d119648dex45.htm" TargetMode="External"/><Relationship Id="rId306" Type="http://schemas.openxmlformats.org/officeDocument/2006/relationships/hyperlink" Target="https://www.sec.gov/Archives/edgar/data/1803901/000095017022002102/talk-ex4_4.htm" TargetMode="External"/><Relationship Id="rId307" Type="http://schemas.openxmlformats.org/officeDocument/2006/relationships/hyperlink" Target="https://www.sec.gov/Archives/edgar/data/0001803901/000119312521260654/d552255dex991.htm" TargetMode="External"/><Relationship Id="rId308" Type="http://schemas.openxmlformats.org/officeDocument/2006/relationships/hyperlink" Target="https://www.sec.gov/Archives/edgar/data/0001803901/000119312521260654/d552255dex992.htm" TargetMode="External"/><Relationship Id="rId309" Type="http://schemas.openxmlformats.org/officeDocument/2006/relationships/hyperlink" Target="https://www.sec.gov/Archives/edgar/data/0001803901/000119312521260654/d552255dex993.htm" TargetMode="External"/><Relationship Id="rId310" Type="http://schemas.openxmlformats.org/officeDocument/2006/relationships/hyperlink" Target="https://www.sec.gov/Archives/edgar/data/0001803901/000119312521197353/d136958dex101.htm" TargetMode="External"/><Relationship Id="rId311" Type="http://schemas.openxmlformats.org/officeDocument/2006/relationships/hyperlink" Target="https://www.sec.gov/Archives/edgar/data/0001803901/000119312521197353/d136958dex102.htm" TargetMode="External"/><Relationship Id="rId312" Type="http://schemas.openxmlformats.org/officeDocument/2006/relationships/hyperlink" Target="https://www.sec.gov/Archives/edgar/data/0001803901/000119312521197353/d136958dex103.htm" TargetMode="External"/><Relationship Id="rId313" Type="http://schemas.openxmlformats.org/officeDocument/2006/relationships/hyperlink" Target="https://www.sec.gov/Archives/edgar/data/0001803901/000119312521197353/d136958dex107a.htm" TargetMode="External"/><Relationship Id="rId314" Type="http://schemas.openxmlformats.org/officeDocument/2006/relationships/hyperlink" Target="https://www.sec.gov/Archives/edgar/data/0001803901/000119312521197353/d136958dex107b.htm" TargetMode="External"/><Relationship Id="rId315" Type="http://schemas.openxmlformats.org/officeDocument/2006/relationships/hyperlink" Target="https://www.sec.gov/Archives/edgar/data/0001803901/000119312521197353/d136958dex109.htm" TargetMode="External"/><Relationship Id="rId316" Type="http://schemas.openxmlformats.org/officeDocument/2006/relationships/hyperlink" Target="https://www.sec.gov/Archives/edgar/data/0001803901/000119312521106573/d119648dex1019.htm" TargetMode="External"/><Relationship Id="rId317" Type="http://schemas.openxmlformats.org/officeDocument/2006/relationships/hyperlink" Target="https://www.sec.gov/Archives/edgar/data/0001803901/000095017021001074/talk-20210630ex10_14.htm" TargetMode="External"/><Relationship Id="rId318" Type="http://schemas.openxmlformats.org/officeDocument/2006/relationships/hyperlink" Target="https://www.sec.gov/Archives/edgar/data/0001803901/000095017021005127/talk-ex10_1.htm" TargetMode="External"/><Relationship Id="rId319" Type="http://schemas.openxmlformats.org/officeDocument/2006/relationships/hyperlink" Target="https://www.sec.gov/Archives/edgar/data/1803901/000095017022002102/talk-ex10_16.htm" TargetMode="External"/><Relationship Id="rId320" Type="http://schemas.openxmlformats.org/officeDocument/2006/relationships/hyperlink" Target="https://www.sec.gov/Archives/edgar/data/1803901/000095017022002102/talk-ex10_17.htm" TargetMode="External"/><Relationship Id="rId321" Type="http://schemas.openxmlformats.org/officeDocument/2006/relationships/hyperlink" Target="https://www.sec.gov/Archives/edgar/data/1803901/000095017022002102/talk-ex10_18.htm" TargetMode="External"/><Relationship Id="rId322" Type="http://schemas.openxmlformats.org/officeDocument/2006/relationships/hyperlink" Target="https://www.sec.gov/Archives/edgar/data/1803901/000095017022002102/talk-ex10_19.htm" TargetMode="External"/><Relationship Id="rId325" Type="http://schemas.openxmlformats.org/officeDocument/2006/relationships/hyperlink" Target="https://www.sec.gov/Archives/edgar/data/1803901/000095017022002102/talk-ex10_20.htm" TargetMode="External"/><Relationship Id="rId328" Type="http://schemas.openxmlformats.org/officeDocument/2006/relationships/hyperlink" Target="https://www.sec.gov/Archives/edgar/data/1803901/000095017022002102/talk-ex10_21.htm" TargetMode="External"/><Relationship Id="rId329" Type="http://schemas.openxmlformats.org/officeDocument/2006/relationships/hyperlink" Target="https://www.sec.gov/Archives/edgar/data/1803901/000095017023007147/talk-ex10_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2024-03-14T15:00:18Z</dcterms:created>
  <dcterms:modified xsi:type="dcterms:W3CDTF">2024-03-14T15:00:18Z</dcterms:modified>
</cp:coreProperties>
</file>