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wp:posOffset>
            </wp:positionV>
            <wp:extent cx="713930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3238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85090</wp:posOffset>
            </wp:positionV>
            <wp:extent cx="1434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103505</wp:posOffset>
            </wp:positionV>
            <wp:extent cx="1434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3900" w:right="2040" w:hanging="3885"/>
        <w:spacing w:after="0" w:line="368" w:lineRule="auto"/>
        <w:tabs>
          <w:tab w:leader="none" w:pos="478"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3" w:lineRule="exact"/>
        <w:rPr>
          <w:sz w:val="24"/>
          <w:szCs w:val="24"/>
          <w:color w:val="auto"/>
        </w:rPr>
      </w:pPr>
    </w:p>
    <w:p>
      <w:pPr>
        <w:ind w:left="480" w:hanging="465"/>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3" w:lineRule="exact"/>
        <w:rPr>
          <w:sz w:val="24"/>
          <w:szCs w:val="24"/>
          <w:color w:val="auto"/>
        </w:rPr>
      </w:pPr>
    </w:p>
    <w:p>
      <w:pPr>
        <w:ind w:left="37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3808095</wp:posOffset>
            </wp:positionH>
            <wp:positionV relativeFrom="paragraph">
              <wp:posOffset>-4445</wp:posOffset>
            </wp:positionV>
            <wp:extent cx="407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100965</wp:posOffset>
            </wp:positionV>
            <wp:extent cx="143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TALKSPACE,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94615</wp:posOffset>
            </wp:positionV>
            <wp:extent cx="143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237" w:lineRule="exact"/>
        <w:rPr>
          <w:sz w:val="24"/>
          <w:szCs w:val="24"/>
          <w:color w:val="auto"/>
        </w:rPr>
      </w:pPr>
    </w:p>
    <w:p>
      <w:pPr>
        <w:ind w:left="2460"/>
        <w:spacing w:after="0"/>
        <w:tabs>
          <w:tab w:leader="none" w:pos="80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84-4636604</w:t>
      </w:r>
    </w:p>
    <w:p>
      <w:pPr>
        <w:sectPr>
          <w:pgSz w:w="11900" w:h="16838" w:orient="portrait"/>
          <w:cols w:equalWidth="0" w:num="1">
            <w:col w:w="11240"/>
          </w:cols>
          <w:pgMar w:left="320" w:top="846" w:right="339" w:bottom="1440" w:gutter="0" w:footer="0" w:header="0"/>
        </w:sectPr>
      </w:pPr>
    </w:p>
    <w:p>
      <w:pPr>
        <w:spacing w:after="0" w:line="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622 Third Avenue, New York, New York</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ind w:left="320"/>
        <w:spacing w:after="0"/>
        <w:rPr>
          <w:sz w:val="20"/>
          <w:szCs w:val="20"/>
          <w:color w:val="auto"/>
        </w:rPr>
      </w:pPr>
      <w:r>
        <w:rPr>
          <w:rFonts w:ascii="Times New Roman" w:cs="Times New Roman" w:eastAsia="Times New Roman" w:hAnsi="Times New Roman"/>
          <w:sz w:val="17"/>
          <w:szCs w:val="17"/>
          <w:b w:val="1"/>
          <w:bCs w:val="1"/>
          <w:color w:val="auto"/>
        </w:rPr>
        <w:t>10017</w:t>
      </w:r>
    </w:p>
    <w:p>
      <w:pPr>
        <w:spacing w:after="0" w:line="9" w:lineRule="exact"/>
        <w:rPr>
          <w:sz w:val="24"/>
          <w:szCs w:val="24"/>
          <w:color w:val="auto"/>
        </w:rPr>
      </w:pPr>
    </w:p>
    <w:p>
      <w:pPr>
        <w:sectPr>
          <w:pgSz w:w="11900" w:h="16838" w:orient="portrait"/>
          <w:cols w:equalWidth="0" w:num="2">
            <w:col w:w="7180" w:space="720"/>
            <w:col w:w="3340"/>
          </w:cols>
          <w:pgMar w:left="320" w:top="846" w:right="339" w:bottom="1440" w:gutter="0" w:footer="0" w:header="0"/>
          <w:type w:val="continuous"/>
        </w:sectPr>
      </w:pPr>
    </w:p>
    <w:p>
      <w:pPr>
        <w:ind w:left="168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3"/>
          <w:szCs w:val="13"/>
          <w:b w:val="1"/>
          <w:bCs w:val="1"/>
          <w:color w:val="auto"/>
        </w:rPr>
        <w:t>(Zip Code)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284-7206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73025</wp:posOffset>
            </wp:positionV>
            <wp:extent cx="1434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6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506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4"/>
                <w:szCs w:val="14"/>
                <w:color w:val="auto"/>
              </w:rPr>
            </w:pPr>
          </w:p>
        </w:tc>
        <w:tc>
          <w:tcPr>
            <w:tcW w:w="5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Common stock, par value $0.0001 per share</w:t>
            </w:r>
          </w:p>
        </w:tc>
        <w:tc>
          <w:tcPr>
            <w:tcW w:w="12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TALK</w:t>
            </w:r>
          </w:p>
        </w:tc>
        <w:tc>
          <w:tcPr>
            <w:tcW w:w="100" w:type="dxa"/>
            <w:vAlign w:val="bottom"/>
          </w:tcPr>
          <w:p>
            <w:pPr>
              <w:spacing w:after="0"/>
              <w:rPr>
                <w:sz w:val="14"/>
                <w:szCs w:val="14"/>
                <w:color w:val="auto"/>
              </w:rPr>
            </w:pPr>
          </w:p>
        </w:tc>
        <w:tc>
          <w:tcPr>
            <w:tcW w:w="5060" w:type="dxa"/>
            <w:vAlign w:val="bottom"/>
          </w:tcPr>
          <w:p>
            <w:pPr>
              <w:ind w:left="1780"/>
              <w:spacing w:after="0" w:line="169" w:lineRule="exact"/>
              <w:rPr>
                <w:sz w:val="20"/>
                <w:szCs w:val="20"/>
                <w:color w:val="auto"/>
              </w:rPr>
            </w:pPr>
            <w:r>
              <w:rPr>
                <w:rFonts w:ascii="Times New Roman" w:cs="Times New Roman" w:eastAsia="Times New Roman" w:hAnsi="Times New Roman"/>
                <w:sz w:val="15"/>
                <w:szCs w:val="15"/>
                <w:b w:val="1"/>
                <w:bCs w:val="1"/>
                <w:color w:val="auto"/>
              </w:rPr>
              <w:t>Nasdaq Stock Market</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Warrants to purchase 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TALKW</w:t>
            </w:r>
          </w:p>
        </w:tc>
        <w:tc>
          <w:tcPr>
            <w:tcW w:w="100" w:type="dxa"/>
            <w:vAlign w:val="bottom"/>
          </w:tcPr>
          <w:p>
            <w:pPr>
              <w:spacing w:after="0"/>
              <w:rPr>
                <w:sz w:val="17"/>
                <w:szCs w:val="17"/>
                <w:color w:val="auto"/>
              </w:rPr>
            </w:pPr>
          </w:p>
        </w:tc>
        <w:tc>
          <w:tcPr>
            <w:tcW w:w="5060" w:type="dxa"/>
            <w:vAlign w:val="bottom"/>
          </w:tcPr>
          <w:p>
            <w:pPr>
              <w:ind w:left="1780"/>
              <w:spacing w:after="0"/>
              <w:rPr>
                <w:sz w:val="20"/>
                <w:szCs w:val="20"/>
                <w:color w:val="auto"/>
              </w:rPr>
            </w:pPr>
            <w:r>
              <w:rPr>
                <w:rFonts w:ascii="Times New Roman" w:cs="Times New Roman" w:eastAsia="Times New Roman" w:hAnsi="Times New Roman"/>
                <w:sz w:val="15"/>
                <w:szCs w:val="15"/>
                <w:b w:val="1"/>
                <w:bCs w:val="1"/>
                <w:color w:val="auto"/>
              </w:rPr>
              <w:t>Nasdaq Stock Market</w:t>
            </w:r>
          </w:p>
        </w:tc>
        <w:tc>
          <w:tcPr>
            <w:tcW w:w="0" w:type="dxa"/>
            <w:vAlign w:val="bottom"/>
          </w:tcPr>
          <w:p>
            <w:pPr>
              <w:spacing w:after="0"/>
              <w:rPr>
                <w:sz w:val="1"/>
                <w:szCs w:val="1"/>
                <w:color w:val="auto"/>
              </w:rPr>
            </w:pPr>
          </w:p>
        </w:tc>
      </w:tr>
    </w:tbl>
    <w:p>
      <w:pPr>
        <w:spacing w:after="0" w:line="96" w:lineRule="exact"/>
        <w:rPr>
          <w:sz w:val="24"/>
          <w:szCs w:val="24"/>
          <w:color w:val="auto"/>
        </w:rPr>
      </w:pPr>
    </w:p>
    <w:p>
      <w:pPr>
        <w:ind w:right="140" w:firstLine="599"/>
        <w:spacing w:after="0" w:line="27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60" w:hanging="257"/>
        <w:spacing w:after="0" w:line="173" w:lineRule="exact"/>
        <w:tabs>
          <w:tab w:leader="none" w:pos="2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0" w:lineRule="exact"/>
        <w:rPr>
          <w:sz w:val="24"/>
          <w:szCs w:val="24"/>
          <w:color w:val="auto"/>
        </w:rPr>
      </w:pPr>
    </w:p>
    <w:p>
      <w:pPr>
        <w:ind w:right="340" w:firstLine="599"/>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160" w:firstLine="599"/>
        <w:spacing w:after="0" w:line="29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1"/>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46" w:lineRule="exact"/>
        <w:rPr>
          <w:sz w:val="24"/>
          <w:szCs w:val="24"/>
          <w:color w:val="auto"/>
        </w:rPr>
      </w:pPr>
    </w:p>
    <w:p>
      <w:pPr>
        <w:ind w:right="500" w:firstLine="599"/>
        <w:spacing w:after="0" w:line="208"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600"/>
        <w:spacing w:after="0" w:line="173" w:lineRule="exact"/>
        <w:tabs>
          <w:tab w:leader="none" w:pos="778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5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As of May 7, 2025, the registrant had 167,315,128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895985</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9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7139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9300" w:type="dxa"/>
            <w:vAlign w:val="bottom"/>
            <w:gridSpan w:val="20"/>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Item 1.</w:t>
            </w:r>
          </w:p>
        </w:tc>
        <w:tc>
          <w:tcPr>
            <w:tcW w:w="9300" w:type="dxa"/>
            <w:vAlign w:val="bottom"/>
            <w:gridSpan w:val="20"/>
          </w:tcPr>
          <w:p>
            <w:pPr>
              <w:spacing w:after="0" w:line="184" w:lineRule="exact"/>
              <w:rPr>
                <w:sz w:val="20"/>
                <w:szCs w:val="20"/>
                <w:color w:val="auto"/>
              </w:rPr>
            </w:pPr>
            <w:r>
              <w:rPr>
                <w:rFonts w:ascii="Times New Roman" w:cs="Times New Roman" w:eastAsia="Times New Roman" w:hAnsi="Times New Roman"/>
                <w:sz w:val="17"/>
                <w:szCs w:val="17"/>
                <w:color w:val="0000FF"/>
              </w:rPr>
              <w:t>Financial Statements (Unaudited)</w:t>
            </w: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00" w:type="dxa"/>
            <w:vAlign w:val="bottom"/>
            <w:gridSpan w:val="20"/>
          </w:tcPr>
          <w:p>
            <w:pPr>
              <w:spacing w:after="0" w:line="185" w:lineRule="exact"/>
              <w:rPr>
                <w:sz w:val="20"/>
                <w:szCs w:val="20"/>
                <w:color w:val="auto"/>
              </w:rPr>
            </w:pPr>
            <w:r>
              <w:rPr>
                <w:rFonts w:ascii="Times New Roman" w:cs="Times New Roman" w:eastAsia="Times New Roman" w:hAnsi="Times New Roman"/>
                <w:sz w:val="17"/>
                <w:szCs w:val="17"/>
                <w:color w:val="0000FF"/>
              </w:rPr>
              <w:t>Condensed Consolidated Balance Sheets as of March 31, 2025 (unaudited) and December 31, 2024</w:t>
            </w: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760" w:type="dxa"/>
            <w:vAlign w:val="bottom"/>
            <w:tcBorders>
              <w:bottom w:val="single" w:sz="8" w:color="0000FF"/>
            </w:tcBorders>
            <w:gridSpan w:val="15"/>
          </w:tcPr>
          <w:p>
            <w:pPr>
              <w:spacing w:after="0" w:line="185" w:lineRule="exact"/>
              <w:rPr>
                <w:sz w:val="20"/>
                <w:szCs w:val="20"/>
                <w:color w:val="auto"/>
              </w:rPr>
            </w:pPr>
            <w:r>
              <w:rPr>
                <w:rFonts w:ascii="Times New Roman" w:cs="Times New Roman" w:eastAsia="Times New Roman" w:hAnsi="Times New Roman"/>
                <w:sz w:val="17"/>
                <w:szCs w:val="17"/>
                <w:color w:val="0000FF"/>
              </w:rPr>
              <w:t>Condensed Consolidated Statements of Income (unaudited) for the three months ended March 31, 2025 and 2024</w:t>
            </w:r>
          </w:p>
        </w:tc>
        <w:tc>
          <w:tcPr>
            <w:tcW w:w="20" w:type="dxa"/>
            <w:vAlign w:val="bottom"/>
            <w:tcBorders>
              <w:bottom w:val="single" w:sz="8" w:color="0000EE"/>
            </w:tcBorders>
          </w:tcPr>
          <w:p>
            <w:pPr>
              <w:spacing w:after="0"/>
              <w:rPr>
                <w:sz w:val="16"/>
                <w:szCs w:val="16"/>
                <w:color w:val="auto"/>
              </w:rPr>
            </w:pPr>
          </w:p>
        </w:tc>
        <w:tc>
          <w:tcPr>
            <w:tcW w:w="1520" w:type="dxa"/>
            <w:vAlign w:val="bottom"/>
            <w:gridSpan w:val="4"/>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00" w:type="dxa"/>
            <w:vAlign w:val="bottom"/>
            <w:gridSpan w:val="20"/>
          </w:tcPr>
          <w:p>
            <w:pPr>
              <w:spacing w:after="0" w:line="185"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(Loss) (unaudited) for the three months ended March 31, 2025 and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Borders>
              <w:top w:val="single" w:sz="8" w:color="0000FF"/>
              <w:bottom w:val="single" w:sz="8" w:color="0000FF"/>
            </w:tcBorders>
          </w:tcPr>
          <w:p>
            <w:pPr>
              <w:spacing w:after="0" w:line="185" w:lineRule="exact"/>
              <w:rPr>
                <w:sz w:val="20"/>
                <w:szCs w:val="20"/>
                <w:color w:val="auto"/>
              </w:rPr>
            </w:pPr>
            <w:r>
              <w:rPr>
                <w:rFonts w:ascii="Times New Roman" w:cs="Times New Roman" w:eastAsia="Times New Roman" w:hAnsi="Times New Roman"/>
                <w:sz w:val="17"/>
                <w:szCs w:val="17"/>
                <w:color w:val="0000FF"/>
                <w:w w:val="93"/>
              </w:rPr>
              <w:t>2024</w:t>
            </w:r>
          </w:p>
        </w:tc>
        <w:tc>
          <w:tcPr>
            <w:tcW w:w="24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5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9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300" w:type="dxa"/>
            <w:vAlign w:val="bottom"/>
            <w:gridSpan w:val="20"/>
          </w:tcPr>
          <w:p>
            <w:pPr>
              <w:spacing w:after="0" w:line="185" w:lineRule="exact"/>
              <w:rPr>
                <w:sz w:val="20"/>
                <w:szCs w:val="20"/>
                <w:color w:val="auto"/>
              </w:rPr>
            </w:pPr>
            <w:r>
              <w:rPr>
                <w:rFonts w:ascii="Times New Roman" w:cs="Times New Roman" w:eastAsia="Times New Roman" w:hAnsi="Times New Roman"/>
                <w:sz w:val="17"/>
                <w:szCs w:val="17"/>
                <w:color w:val="0000FF"/>
              </w:rPr>
              <w:t>Condensed Consolidated Statements of Stockholders' Equity (unaudited) for the three months ended March 31, 2025 and 2024</w:t>
            </w: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60" w:type="dxa"/>
            <w:vAlign w:val="bottom"/>
            <w:tcBorders>
              <w:top w:val="single" w:sz="8" w:color="0000FF"/>
            </w:tcBorders>
            <w:gridSpan w:val="18"/>
          </w:tcPr>
          <w:p>
            <w:pPr>
              <w:spacing w:after="0" w:line="185" w:lineRule="exact"/>
              <w:rPr>
                <w:sz w:val="20"/>
                <w:szCs w:val="20"/>
                <w:color w:val="auto"/>
              </w:rPr>
            </w:pPr>
            <w:r>
              <w:rPr>
                <w:rFonts w:ascii="Times New Roman" w:cs="Times New Roman" w:eastAsia="Times New Roman" w:hAnsi="Times New Roman"/>
                <w:sz w:val="17"/>
                <w:szCs w:val="17"/>
                <w:color w:val="0000FF"/>
              </w:rPr>
              <w:t>Condensed Consolidated Statements of Cash Flows (unaudited) for the three months ended March 31, 2025 and 2024</w:t>
            </w:r>
          </w:p>
        </w:tc>
        <w:tc>
          <w:tcPr>
            <w:tcW w:w="640" w:type="dxa"/>
            <w:vAlign w:val="bottom"/>
            <w:gridSpan w:val="2"/>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560" w:type="dxa"/>
            <w:vAlign w:val="bottom"/>
            <w:tcBorders>
              <w:top w:val="single" w:sz="8" w:color="0000FF"/>
              <w:bottom w:val="single" w:sz="8" w:color="0000FF"/>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FF"/>
              </w:rPr>
              <w:t>Notes to Unaudited Condensed Consolidated Financial Statements</w:t>
            </w:r>
          </w:p>
        </w:tc>
        <w:tc>
          <w:tcPr>
            <w:tcW w:w="20" w:type="dxa"/>
            <w:vAlign w:val="bottom"/>
            <w:tcBorders>
              <w:top w:val="single" w:sz="8" w:color="0000FF"/>
              <w:bottom w:val="single" w:sz="8" w:color="0000EE"/>
            </w:tcBorders>
          </w:tcPr>
          <w:p>
            <w:pPr>
              <w:spacing w:after="0"/>
              <w:rPr>
                <w:sz w:val="16"/>
                <w:szCs w:val="16"/>
                <w:color w:val="auto"/>
              </w:rPr>
            </w:pPr>
          </w:p>
        </w:tc>
        <w:tc>
          <w:tcPr>
            <w:tcW w:w="3460" w:type="dxa"/>
            <w:vAlign w:val="bottom"/>
            <w:tcBorders>
              <w:top w:val="single" w:sz="8" w:color="0000FF"/>
            </w:tcBorders>
            <w:gridSpan w:val="5"/>
          </w:tcPr>
          <w:p>
            <w:pPr>
              <w:spacing w:after="0"/>
              <w:rPr>
                <w:sz w:val="16"/>
                <w:szCs w:val="16"/>
                <w:color w:val="auto"/>
              </w:rPr>
            </w:pPr>
          </w:p>
        </w:tc>
        <w:tc>
          <w:tcPr>
            <w:tcW w:w="1260" w:type="dxa"/>
            <w:vAlign w:val="bottom"/>
            <w:gridSpan w:val="3"/>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3"/>
          </w:tcPr>
          <w:p>
            <w:pPr>
              <w:spacing w:after="0" w:line="185"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140" w:type="dxa"/>
            <w:vAlign w:val="bottom"/>
            <w:gridSpan w:val="7"/>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3.</w:t>
            </w:r>
          </w:p>
        </w:tc>
        <w:tc>
          <w:tcPr>
            <w:tcW w:w="4160" w:type="dxa"/>
            <w:vAlign w:val="bottom"/>
            <w:tcBorders>
              <w:bottom w:val="single" w:sz="8" w:color="0000FF"/>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140" w:type="dxa"/>
            <w:vAlign w:val="bottom"/>
            <w:gridSpan w:val="10"/>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4.</w:t>
            </w:r>
          </w:p>
        </w:tc>
        <w:tc>
          <w:tcPr>
            <w:tcW w:w="9300" w:type="dxa"/>
            <w:vAlign w:val="bottom"/>
            <w:gridSpan w:val="20"/>
          </w:tcPr>
          <w:p>
            <w:pPr>
              <w:spacing w:after="0" w:line="185" w:lineRule="exact"/>
              <w:rPr>
                <w:sz w:val="20"/>
                <w:szCs w:val="20"/>
                <w:color w:val="auto"/>
              </w:rPr>
            </w:pPr>
            <w:r>
              <w:rPr>
                <w:rFonts w:ascii="Times New Roman" w:cs="Times New Roman" w:eastAsia="Times New Roman" w:hAnsi="Times New Roman"/>
                <w:sz w:val="17"/>
                <w:szCs w:val="17"/>
                <w:color w:val="0000FF"/>
              </w:rPr>
              <w:t>Controls and Procedures</w:t>
            </w: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gridSpan w:val="2"/>
            <w:vMerge w:val="continue"/>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bottom w:val="single" w:sz="8" w:color="0000FF"/>
            </w:tcBorders>
            <w:gridSpan w:val="5"/>
          </w:tcPr>
          <w:p>
            <w:pPr>
              <w:spacing w:after="0" w:line="184" w:lineRule="exact"/>
              <w:rPr>
                <w:sz w:val="20"/>
                <w:szCs w:val="20"/>
                <w:color w:val="auto"/>
              </w:rPr>
            </w:pPr>
            <w:r>
              <w:rPr>
                <w:rFonts w:ascii="Times New Roman" w:cs="Times New Roman" w:eastAsia="Times New Roman" w:hAnsi="Times New Roman"/>
                <w:sz w:val="17"/>
                <w:szCs w:val="17"/>
                <w:color w:val="0000FF"/>
                <w:w w:val="99"/>
              </w:rPr>
              <w:t>Legal Proceedings</w:t>
            </w:r>
          </w:p>
        </w:tc>
        <w:tc>
          <w:tcPr>
            <w:tcW w:w="8020" w:type="dxa"/>
            <w:vAlign w:val="bottom"/>
            <w:gridSpan w:val="15"/>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1A.</w:t>
            </w:r>
          </w:p>
        </w:tc>
        <w:tc>
          <w:tcPr>
            <w:tcW w:w="9300" w:type="dxa"/>
            <w:vAlign w:val="bottom"/>
            <w:gridSpan w:val="20"/>
          </w:tcPr>
          <w:p>
            <w:pPr>
              <w:spacing w:after="0" w:line="185" w:lineRule="exact"/>
              <w:rPr>
                <w:sz w:val="20"/>
                <w:szCs w:val="20"/>
                <w:color w:val="auto"/>
              </w:rPr>
            </w:pPr>
            <w:r>
              <w:rPr>
                <w:rFonts w:ascii="Times New Roman" w:cs="Times New Roman" w:eastAsia="Times New Roman" w:hAnsi="Times New Roman"/>
                <w:sz w:val="17"/>
                <w:szCs w:val="17"/>
                <w:color w:val="0000FF"/>
              </w:rPr>
              <w:t>Risk Factors</w:t>
            </w: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2.</w:t>
            </w:r>
          </w:p>
        </w:tc>
        <w:tc>
          <w:tcPr>
            <w:tcW w:w="4140" w:type="dxa"/>
            <w:vAlign w:val="bottom"/>
            <w:tcBorders>
              <w:bottom w:val="single" w:sz="8" w:color="0000FF"/>
            </w:tcBorders>
            <w:gridSpan w:val="9"/>
          </w:tcPr>
          <w:p>
            <w:pPr>
              <w:spacing w:after="0" w:line="185"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160" w:type="dxa"/>
            <w:vAlign w:val="bottom"/>
            <w:gridSpan w:val="11"/>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3.</w:t>
            </w:r>
          </w:p>
        </w:tc>
        <w:tc>
          <w:tcPr>
            <w:tcW w:w="2220" w:type="dxa"/>
            <w:vAlign w:val="bottom"/>
            <w:tcBorders>
              <w:bottom w:val="single" w:sz="8" w:color="0000FF"/>
            </w:tcBorders>
            <w:gridSpan w:val="7"/>
          </w:tcPr>
          <w:p>
            <w:pPr>
              <w:spacing w:after="0" w:line="185" w:lineRule="exact"/>
              <w:rPr>
                <w:sz w:val="20"/>
                <w:szCs w:val="20"/>
                <w:color w:val="auto"/>
              </w:rPr>
            </w:pPr>
            <w:r>
              <w:rPr>
                <w:rFonts w:ascii="Times New Roman" w:cs="Times New Roman" w:eastAsia="Times New Roman" w:hAnsi="Times New Roman"/>
                <w:sz w:val="17"/>
                <w:szCs w:val="17"/>
                <w:color w:val="0000FF"/>
              </w:rPr>
              <w:t>Defaults Upon Senior Securities</w:t>
            </w:r>
          </w:p>
        </w:tc>
        <w:tc>
          <w:tcPr>
            <w:tcW w:w="7080" w:type="dxa"/>
            <w:vAlign w:val="bottom"/>
            <w:gridSpan w:val="13"/>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4.</w:t>
            </w:r>
          </w:p>
        </w:tc>
        <w:tc>
          <w:tcPr>
            <w:tcW w:w="9300" w:type="dxa"/>
            <w:vAlign w:val="bottom"/>
            <w:gridSpan w:val="20"/>
          </w:tcPr>
          <w:p>
            <w:pPr>
              <w:spacing w:after="0" w:line="185" w:lineRule="exact"/>
              <w:rPr>
                <w:sz w:val="20"/>
                <w:szCs w:val="20"/>
                <w:color w:val="auto"/>
              </w:rPr>
            </w:pPr>
            <w:r>
              <w:rPr>
                <w:rFonts w:ascii="Times New Roman" w:cs="Times New Roman" w:eastAsia="Times New Roman" w:hAnsi="Times New Roman"/>
                <w:sz w:val="17"/>
                <w:szCs w:val="17"/>
                <w:color w:val="0000FF"/>
              </w:rPr>
              <w:t>Mine Safety Disclosures</w:t>
            </w: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5.</w:t>
            </w:r>
          </w:p>
        </w:tc>
        <w:tc>
          <w:tcPr>
            <w:tcW w:w="1260" w:type="dxa"/>
            <w:vAlign w:val="bottom"/>
            <w:tcBorders>
              <w:top w:val="single" w:sz="8" w:color="0000FF"/>
              <w:bottom w:val="single" w:sz="8" w:color="0000FF"/>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FF"/>
                <w:w w:val="99"/>
              </w:rPr>
              <w:t>Other Information</w:t>
            </w:r>
          </w:p>
        </w:tc>
        <w:tc>
          <w:tcPr>
            <w:tcW w:w="440" w:type="dxa"/>
            <w:vAlign w:val="bottom"/>
            <w:tcBorders>
              <w:top w:val="single" w:sz="8" w:color="0000FF"/>
            </w:tcBorders>
            <w:gridSpan w:val="2"/>
          </w:tcPr>
          <w:p>
            <w:pPr>
              <w:spacing w:after="0"/>
              <w:rPr>
                <w:sz w:val="16"/>
                <w:szCs w:val="16"/>
                <w:color w:val="auto"/>
              </w:rPr>
            </w:pPr>
          </w:p>
        </w:tc>
        <w:tc>
          <w:tcPr>
            <w:tcW w:w="7600" w:type="dxa"/>
            <w:vAlign w:val="bottom"/>
            <w:gridSpan w:val="14"/>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Item 6.</w:t>
            </w:r>
          </w:p>
        </w:tc>
        <w:tc>
          <w:tcPr>
            <w:tcW w:w="9300" w:type="dxa"/>
            <w:vAlign w:val="bottom"/>
            <w:gridSpan w:val="20"/>
          </w:tcPr>
          <w:p>
            <w:pPr>
              <w:spacing w:after="0" w:line="185" w:lineRule="exact"/>
              <w:rPr>
                <w:sz w:val="20"/>
                <w:szCs w:val="20"/>
                <w:color w:val="auto"/>
              </w:rPr>
            </w:pPr>
            <w:r>
              <w:rPr>
                <w:rFonts w:ascii="Times New Roman" w:cs="Times New Roman" w:eastAsia="Times New Roman" w:hAnsi="Times New Roman"/>
                <w:sz w:val="17"/>
                <w:szCs w:val="17"/>
                <w:color w:val="0000FF"/>
              </w:rPr>
              <w:t>Exhibits</w:t>
            </w: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85"/>
        </w:trPr>
        <w:tc>
          <w:tcPr>
            <w:tcW w:w="11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0000FF"/>
              </w:rPr>
              <w:t>Signatures</w:t>
            </w:r>
          </w:p>
        </w:tc>
        <w:tc>
          <w:tcPr>
            <w:tcW w:w="3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943"/>
        </w:trPr>
        <w:tc>
          <w:tcPr>
            <w:tcW w:w="7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60" w:type="dxa"/>
            <w:vAlign w:val="bottom"/>
            <w:gridSpan w:val="11"/>
          </w:tcPr>
          <w:p>
            <w:pPr>
              <w:ind w:left="444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520" w:type="dxa"/>
            <w:vAlign w:val="bottom"/>
            <w:gridSpan w:val="8"/>
            <w:vMerge w:val="restart"/>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 except share and per share data)</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520" w:type="dxa"/>
            <w:vAlign w:val="bottom"/>
            <w:gridSpan w:val="8"/>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60,077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76,692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48,274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13,249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20" w:type="dxa"/>
            <w:vAlign w:val="bottom"/>
            <w:tcBorders>
              <w:bottom w:val="single" w:sz="8" w:color="auto"/>
            </w:tcBorders>
            <w:gridSpan w:val="3"/>
            <w:shd w:val="clear" w:color="auto" w:fill="CFF0FC"/>
          </w:tcPr>
          <w:p>
            <w:pPr>
              <w:spacing w:after="0" w:line="160" w:lineRule="exact"/>
              <w:rPr>
                <w:sz w:val="20"/>
                <w:szCs w:val="20"/>
                <w:color w:val="auto"/>
              </w:rPr>
            </w:pPr>
            <w:r>
              <w:rPr>
                <w:rFonts w:ascii="Times New Roman" w:cs="Times New Roman" w:eastAsia="Times New Roman" w:hAnsi="Times New Roman"/>
                <w:sz w:val="17"/>
                <w:szCs w:val="17"/>
                <w:color w:val="auto"/>
                <w:w w:val="98"/>
              </w:rPr>
              <w:t>Total current assets</w:t>
            </w:r>
          </w:p>
        </w:tc>
        <w:tc>
          <w:tcPr>
            <w:tcW w:w="6180" w:type="dxa"/>
            <w:vAlign w:val="bottom"/>
            <w:tcBorders>
              <w:bottom w:val="single" w:sz="8" w:color="CFF0FC"/>
            </w:tcBorders>
            <w:gridSpan w:val="4"/>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7"/>
                <w:szCs w:val="17"/>
                <w:color w:val="auto"/>
              </w:rPr>
              <w:t>124,119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7"/>
                <w:szCs w:val="17"/>
                <w:color w:val="auto"/>
              </w:rPr>
              <w:t>130,182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Fixed assets, net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00" w:type="dxa"/>
            <w:vAlign w:val="bottom"/>
            <w:gridSpan w:val="7"/>
          </w:tcPr>
          <w:p>
            <w:pPr>
              <w:spacing w:after="0" w:line="172" w:lineRule="exact"/>
              <w:rPr>
                <w:sz w:val="20"/>
                <w:szCs w:val="20"/>
                <w:color w:val="auto"/>
              </w:rPr>
            </w:pPr>
            <w:r>
              <w:rPr>
                <w:rFonts w:ascii="Times New Roman" w:cs="Times New Roman" w:eastAsia="Times New Roman" w:hAnsi="Times New Roman"/>
                <w:sz w:val="17"/>
                <w:szCs w:val="17"/>
                <w:color w:val="auto"/>
              </w:rPr>
              <w:t>Total assets</w:t>
            </w:r>
          </w:p>
        </w:tc>
        <w:tc>
          <w:tcPr>
            <w:tcW w:w="440" w:type="dxa"/>
            <w:vAlign w:val="bottom"/>
            <w:gridSpan w:val="2"/>
          </w:tcPr>
          <w:p>
            <w:pPr>
              <w:jc w:val="right"/>
              <w:ind w:right="120"/>
              <w:spacing w:after="0" w:line="172"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134,245</w:t>
            </w:r>
          </w:p>
        </w:tc>
        <w:tc>
          <w:tcPr>
            <w:tcW w:w="280" w:type="dxa"/>
            <w:vAlign w:val="bottom"/>
          </w:tcPr>
          <w:p>
            <w:pPr>
              <w:spacing w:after="0"/>
              <w:rPr>
                <w:sz w:val="15"/>
                <w:szCs w:val="15"/>
                <w:color w:val="auto"/>
              </w:rPr>
            </w:pPr>
          </w:p>
        </w:tc>
        <w:tc>
          <w:tcPr>
            <w:tcW w:w="16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138,677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gridSpan w:val="7"/>
            <w:shd w:val="clear" w:color="auto" w:fill="CFF0FC"/>
          </w:tcPr>
          <w:p>
            <w:pPr>
              <w:spacing w:after="0" w:line="170"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10,526</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00" w:type="dxa"/>
            <w:vAlign w:val="bottom"/>
            <w:gridSpan w:val="7"/>
          </w:tcPr>
          <w:p>
            <w:pPr>
              <w:spacing w:after="0" w:line="160" w:lineRule="exact"/>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Times New Roman" w:cs="Times New Roman" w:eastAsia="Times New Roman" w:hAnsi="Times New Roman"/>
                <w:sz w:val="17"/>
                <w:szCs w:val="17"/>
                <w:color w:val="auto"/>
              </w:rPr>
              <w:t>19,119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60" w:lineRule="exact"/>
              <w:rPr>
                <w:sz w:val="20"/>
                <w:szCs w:val="20"/>
                <w:color w:val="auto"/>
              </w:rPr>
            </w:pPr>
            <w:r>
              <w:rPr>
                <w:rFonts w:ascii="Times New Roman" w:cs="Times New Roman" w:eastAsia="Times New Roman" w:hAnsi="Times New Roman"/>
                <w:sz w:val="17"/>
                <w:szCs w:val="17"/>
                <w:color w:val="auto"/>
              </w:rPr>
              <w:t>19,023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00" w:type="dxa"/>
            <w:vAlign w:val="bottom"/>
            <w:gridSpan w:val="7"/>
            <w:shd w:val="clear" w:color="auto" w:fill="CFF0FC"/>
          </w:tcPr>
          <w:p>
            <w:pPr>
              <w:spacing w:after="0" w:line="160" w:lineRule="exact"/>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7"/>
                <w:szCs w:val="17"/>
                <w:color w:val="auto"/>
              </w:rPr>
              <w:t>20,827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7"/>
                <w:szCs w:val="17"/>
                <w:color w:val="auto"/>
              </w:rPr>
              <w:t>21,282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38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auto"/>
              </w:rPr>
              <w:t>Common stock of $0.0001 par value per share: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Shares authorized: 1,000,000,000 as of March 31, 2025 (unaudited) and December 31, 2024; shares issued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and outstanding: 167,856,396 and 168,849,591 as of March 31, 2025 (unaudited) and December 31, 2024,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382,292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386,612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(268,918)</w:t>
            </w:r>
          </w:p>
        </w:tc>
        <w:tc>
          <w:tcPr>
            <w:tcW w:w="16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(269,236)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0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00" w:type="dxa"/>
            <w:vAlign w:val="bottom"/>
            <w:gridSpan w:val="7"/>
          </w:tcPr>
          <w:p>
            <w:pPr>
              <w:spacing w:after="0" w:line="160" w:lineRule="exact"/>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Times New Roman" w:cs="Times New Roman" w:eastAsia="Times New Roman" w:hAnsi="Times New Roman"/>
                <w:sz w:val="17"/>
                <w:szCs w:val="17"/>
                <w:color w:val="auto"/>
              </w:rPr>
              <w:t>113,418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spacing w:after="0" w:line="160" w:lineRule="exact"/>
              <w:rPr>
                <w:sz w:val="20"/>
                <w:szCs w:val="20"/>
                <w:color w:val="auto"/>
              </w:rPr>
            </w:pPr>
            <w:r>
              <w:rPr>
                <w:rFonts w:ascii="Times New Roman" w:cs="Times New Roman" w:eastAsia="Times New Roman" w:hAnsi="Times New Roman"/>
                <w:sz w:val="17"/>
                <w:szCs w:val="17"/>
                <w:color w:val="auto"/>
              </w:rPr>
              <w:t>117,395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500" w:type="dxa"/>
            <w:vAlign w:val="bottom"/>
            <w:gridSpan w:val="7"/>
            <w:shd w:val="clear" w:color="auto" w:fill="CFF0FC"/>
          </w:tcPr>
          <w:p>
            <w:pPr>
              <w:spacing w:after="0" w:line="171" w:lineRule="exact"/>
              <w:rPr>
                <w:sz w:val="20"/>
                <w:szCs w:val="20"/>
                <w:color w:val="auto"/>
              </w:rPr>
            </w:pPr>
            <w:r>
              <w:rPr>
                <w:rFonts w:ascii="Times New Roman" w:cs="Times New Roman" w:eastAsia="Times New Roman" w:hAnsi="Times New Roman"/>
                <w:sz w:val="17"/>
                <w:szCs w:val="17"/>
                <w:color w:val="auto"/>
              </w:rPr>
              <w:t>Total liabilities and stockholders’ equity</w:t>
            </w:r>
          </w:p>
        </w:tc>
        <w:tc>
          <w:tcPr>
            <w:tcW w:w="4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7"/>
                <w:szCs w:val="17"/>
                <w:color w:val="auto"/>
              </w:rPr>
              <w:t>134,245</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7"/>
                <w:szCs w:val="17"/>
                <w:color w:val="auto"/>
              </w:rPr>
              <w:t>138,677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5918200</wp:posOffset>
            </wp:positionH>
            <wp:positionV relativeFrom="paragraph">
              <wp:posOffset>-3112770</wp:posOffset>
            </wp:positionV>
            <wp:extent cx="65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-3112770</wp:posOffset>
            </wp:positionV>
            <wp:extent cx="654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-2843530</wp:posOffset>
            </wp:positionV>
            <wp:extent cx="654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-2843530</wp:posOffset>
            </wp:positionV>
            <wp:extent cx="65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-2028825</wp:posOffset>
            </wp:positionV>
            <wp:extent cx="654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-2028825</wp:posOffset>
            </wp:positionV>
            <wp:extent cx="65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-1482725</wp:posOffset>
            </wp:positionV>
            <wp:extent cx="654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-1482725</wp:posOffset>
            </wp:positionV>
            <wp:extent cx="65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-300990</wp:posOffset>
            </wp:positionV>
            <wp:extent cx="65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-300990</wp:posOffset>
            </wp:positionV>
            <wp:extent cx="65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-24130</wp:posOffset>
            </wp:positionV>
            <wp:extent cx="65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-7620</wp:posOffset>
            </wp:positionV>
            <wp:extent cx="654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-24130</wp:posOffset>
            </wp:positionV>
            <wp:extent cx="654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-7620</wp:posOffset>
            </wp:positionV>
            <wp:extent cx="654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4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 except share and per share data)</w:t>
            </w:r>
          </w:p>
        </w:tc>
        <w:tc>
          <w:tcPr>
            <w:tcW w:w="10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Revenues</w:t>
            </w: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52,182</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45,416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0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28,901</w:t>
            </w:r>
          </w:p>
        </w:tc>
        <w:tc>
          <w:tcPr>
            <w:tcW w:w="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0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23,281</w:t>
            </w:r>
          </w:p>
        </w:tc>
        <w:tc>
          <w:tcPr>
            <w:tcW w:w="3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3,319</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Clinical operations, net</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13,984</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5,207</w:t>
            </w:r>
          </w:p>
        </w:tc>
        <w:tc>
          <w:tcPr>
            <w:tcW w:w="3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24,366</w:t>
            </w:r>
          </w:p>
        </w:tc>
        <w:tc>
          <w:tcPr>
            <w:tcW w:w="3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23,410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(1,085)</w:t>
            </w:r>
          </w:p>
        </w:tc>
        <w:tc>
          <w:tcPr>
            <w:tcW w:w="64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Financial income, net</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(1,526)</w:t>
            </w:r>
          </w:p>
        </w:tc>
        <w:tc>
          <w:tcPr>
            <w:tcW w:w="6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Income (loss) before taxes on income</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0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300" w:type="dxa"/>
            <w:vAlign w:val="bottom"/>
          </w:tcPr>
          <w:p>
            <w:pPr>
              <w:spacing w:after="0"/>
              <w:rPr>
                <w:sz w:val="17"/>
                <w:szCs w:val="17"/>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5"/>
                <w:szCs w:val="15"/>
                <w:color w:val="auto"/>
              </w:rPr>
            </w:pPr>
          </w:p>
        </w:tc>
        <w:tc>
          <w:tcPr>
            <w:tcW w:w="58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per share:</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i w:val="1"/>
                <w:iCs w:val="1"/>
                <w:color w:val="auto"/>
              </w:rPr>
              <w:t>Basic</w:t>
            </w: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Diluted</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300" w:type="dxa"/>
            <w:vAlign w:val="bottom"/>
          </w:tcPr>
          <w:p>
            <w:pPr>
              <w:spacing w:after="0"/>
              <w:rPr>
                <w:sz w:val="17"/>
                <w:szCs w:val="17"/>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Weighted average shares used to compute net income (loss) per share:</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168,670,861</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168,846,946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i w:val="1"/>
                <w:iCs w:val="1"/>
                <w:color w:val="auto"/>
              </w:rPr>
              <w:t>Diluted</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175,545,887</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168,846,946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5649595</wp:posOffset>
            </wp:positionH>
            <wp:positionV relativeFrom="paragraph">
              <wp:posOffset>-2411730</wp:posOffset>
            </wp:positionV>
            <wp:extent cx="65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-2411730</wp:posOffset>
            </wp:positionV>
            <wp:extent cx="654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5649595</wp:posOffset>
            </wp:positionH>
            <wp:positionV relativeFrom="paragraph">
              <wp:posOffset>-1612900</wp:posOffset>
            </wp:positionV>
            <wp:extent cx="65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-1612900</wp:posOffset>
            </wp:positionV>
            <wp:extent cx="654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5649595</wp:posOffset>
            </wp:positionH>
            <wp:positionV relativeFrom="paragraph">
              <wp:posOffset>-1344295</wp:posOffset>
            </wp:positionV>
            <wp:extent cx="654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-1344295</wp:posOffset>
            </wp:positionV>
            <wp:extent cx="65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5649595</wp:posOffset>
            </wp:positionH>
            <wp:positionV relativeFrom="paragraph">
              <wp:posOffset>-1075055</wp:posOffset>
            </wp:positionV>
            <wp:extent cx="65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-1075055</wp:posOffset>
            </wp:positionV>
            <wp:extent cx="65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820" w:type="dxa"/>
            <w:vAlign w:val="bottom"/>
            <w:gridSpan w:val="3"/>
          </w:tcPr>
          <w:p>
            <w:pPr>
              <w:jc w:val="center"/>
              <w:ind w:left="1182"/>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 except share and per share data)</w:t>
            </w:r>
          </w:p>
        </w:tc>
        <w:tc>
          <w:tcPr>
            <w:tcW w:w="2820" w:type="dxa"/>
            <w:vAlign w:val="bottom"/>
            <w:tcBorders>
              <w:bottom w:val="single" w:sz="8" w:color="auto"/>
            </w:tcBorders>
            <w:gridSpan w:val="3"/>
          </w:tcPr>
          <w:p>
            <w:pPr>
              <w:jc w:val="center"/>
              <w:ind w:left="118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580" w:type="dxa"/>
            <w:vAlign w:val="bottom"/>
            <w:gridSpan w:val="2"/>
            <w:vMerge w:val="continue"/>
          </w:tcPr>
          <w:p>
            <w:pPr>
              <w:spacing w:after="0"/>
              <w:rPr>
                <w:sz w:val="15"/>
                <w:szCs w:val="15"/>
                <w:color w:val="auto"/>
              </w:rPr>
            </w:pPr>
          </w:p>
        </w:tc>
        <w:tc>
          <w:tcPr>
            <w:tcW w:w="1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Change in unrealized gains on marketable debt securities</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-300990</wp:posOffset>
            </wp:positionV>
            <wp:extent cx="1225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25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-24130</wp:posOffset>
            </wp:positionV>
            <wp:extent cx="122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25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-7620</wp:posOffset>
            </wp:positionV>
            <wp:extent cx="1225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1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449580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60"/>
          </w:cols>
          <w:pgMar w:left="320" w:top="743"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data)</w:t>
            </w:r>
          </w:p>
        </w:tc>
        <w:tc>
          <w:tcPr>
            <w:tcW w:w="206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10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3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900" w:type="dxa"/>
            <w:vAlign w:val="bottom"/>
            <w:gridSpan w:val="3"/>
            <w:vMerge w:val="continue"/>
          </w:tcPr>
          <w:p>
            <w:pPr>
              <w:spacing w:after="0"/>
              <w:rPr>
                <w:sz w:val="11"/>
                <w:szCs w:val="1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comprehensive income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20" w:type="dxa"/>
            <w:vAlign w:val="bottom"/>
          </w:tcPr>
          <w:p>
            <w:pPr>
              <w:spacing w:after="0"/>
              <w:rPr>
                <w:sz w:val="11"/>
                <w:szCs w:val="11"/>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168,849,591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92"/>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386,612</w:t>
            </w: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(269,236)</w:t>
            </w: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117,395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1,010,942</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515,033</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(571)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Repurchase of common stock for retirement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(2,519,170)</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(6,975)</w:t>
            </w: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(6,975)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2,548</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2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March 31, 2025 (unaudited)</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167,856,396</w:t>
            </w:r>
          </w:p>
        </w:tc>
        <w:tc>
          <w:tcPr>
            <w:tcW w:w="220" w:type="dxa"/>
            <w:vAlign w:val="bottom"/>
          </w:tcPr>
          <w:p>
            <w:pPr>
              <w:spacing w:after="0"/>
              <w:rPr>
                <w:sz w:val="16"/>
                <w:szCs w:val="16"/>
                <w:color w:val="auto"/>
              </w:rPr>
            </w:pP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382,292</w:t>
            </w:r>
          </w:p>
        </w:tc>
        <w:tc>
          <w:tcPr>
            <w:tcW w:w="20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(268,918)</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113,418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10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13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Number of Shares</w:t>
            </w: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900" w:type="dxa"/>
            <w:vAlign w:val="bottom"/>
            <w:gridSpan w:val="3"/>
            <w:vMerge w:val="continue"/>
          </w:tcPr>
          <w:p>
            <w:pPr>
              <w:spacing w:after="0"/>
              <w:rPr>
                <w:sz w:val="11"/>
                <w:szCs w:val="1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comprehensive income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20" w:type="dxa"/>
            <w:vAlign w:val="bottom"/>
          </w:tcPr>
          <w:p>
            <w:pPr>
              <w:spacing w:after="0"/>
              <w:rPr>
                <w:sz w:val="11"/>
                <w:szCs w:val="11"/>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168,428,856</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592"/>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389,014</w:t>
            </w: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(270,384)</w:t>
            </w:r>
          </w:p>
        </w:tc>
        <w:tc>
          <w:tcPr>
            <w:tcW w:w="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118,646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605,565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stock units vested, net of tax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534,654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(595)</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2,252</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(1,466)</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March 31, 2024 (unaudited)</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169,569,075</w:t>
            </w:r>
          </w:p>
        </w:tc>
        <w:tc>
          <w:tcPr>
            <w:tcW w:w="220" w:type="dxa"/>
            <w:vAlign w:val="bottom"/>
          </w:tcPr>
          <w:p>
            <w:pPr>
              <w:spacing w:after="0"/>
              <w:rPr>
                <w:sz w:val="16"/>
                <w:szCs w:val="16"/>
                <w:color w:val="auto"/>
              </w:rPr>
            </w:pP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391,412</w:t>
            </w:r>
          </w:p>
        </w:tc>
        <w:tc>
          <w:tcPr>
            <w:tcW w:w="20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(271,850)</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-1319530</wp:posOffset>
            </wp:positionV>
            <wp:extent cx="654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-1319530</wp:posOffset>
            </wp:positionV>
            <wp:extent cx="654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-1319530</wp:posOffset>
            </wp:positionV>
            <wp:extent cx="654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-1319530</wp:posOffset>
            </wp:positionV>
            <wp:extent cx="654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6309360</wp:posOffset>
            </wp:positionH>
            <wp:positionV relativeFrom="paragraph">
              <wp:posOffset>-1319530</wp:posOffset>
            </wp:positionV>
            <wp:extent cx="654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7067550</wp:posOffset>
            </wp:positionH>
            <wp:positionV relativeFrom="paragraph">
              <wp:posOffset>-1319530</wp:posOffset>
            </wp:positionV>
            <wp:extent cx="73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-154305</wp:posOffset>
            </wp:positionV>
            <wp:extent cx="654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-154305</wp:posOffset>
            </wp:positionV>
            <wp:extent cx="65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-154305</wp:posOffset>
            </wp:positionV>
            <wp:extent cx="654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-154305</wp:posOffset>
            </wp:positionV>
            <wp:extent cx="654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6309360</wp:posOffset>
            </wp:positionH>
            <wp:positionV relativeFrom="paragraph">
              <wp:posOffset>-154305</wp:posOffset>
            </wp:positionV>
            <wp:extent cx="654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7067550</wp:posOffset>
            </wp:positionH>
            <wp:positionV relativeFrom="paragraph">
              <wp:posOffset>-154305</wp:posOffset>
            </wp:positionV>
            <wp:extent cx="736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an amount lower than $1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449580</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70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i w:val="1"/>
                <w:iCs w:val="1"/>
                <w:color w:val="auto"/>
              </w:rPr>
              <w:t>(U.S. dollars in thousands)</w:t>
            </w: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00" w:type="dxa"/>
            <w:vAlign w:val="bottom"/>
            <w:gridSpan w:val="7"/>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Borders>
              <w:bottom w:val="single" w:sz="8" w:color="auto"/>
            </w:tcBorders>
            <w:gridSpan w:val="5"/>
            <w:shd w:val="clear" w:color="auto" w:fill="CFF0FC"/>
          </w:tcPr>
          <w:p>
            <w:pPr>
              <w:spacing w:after="0" w:line="160" w:lineRule="exact"/>
              <w:rPr>
                <w:sz w:val="20"/>
                <w:szCs w:val="20"/>
                <w:color w:val="auto"/>
              </w:rPr>
            </w:pPr>
            <w:r>
              <w:rPr>
                <w:rFonts w:ascii="Times New Roman" w:cs="Times New Roman" w:eastAsia="Times New Roman" w:hAnsi="Times New Roman"/>
                <w:sz w:val="17"/>
                <w:szCs w:val="17"/>
                <w:b w:val="1"/>
                <w:bCs w:val="1"/>
                <w:color w:val="auto"/>
                <w:w w:val="99"/>
              </w:rPr>
              <w:t>Cash flows from operating activities:</w:t>
            </w:r>
          </w:p>
        </w:tc>
        <w:tc>
          <w:tcPr>
            <w:tcW w:w="50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300" w:type="dxa"/>
            <w:vAlign w:val="bottom"/>
          </w:tcPr>
          <w:p>
            <w:pPr>
              <w:spacing w:after="0"/>
              <w:rPr>
                <w:sz w:val="17"/>
                <w:szCs w:val="17"/>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Accretion of marketable securities</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(176)</w:t>
            </w: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Remeasurement of warrant liabilities</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(484)</w:t>
            </w: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Increase in accounts receivable</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(3,606)</w:t>
            </w: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Decrease in other current assets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Increase (decrease) in accounts payable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Increase (decrease) in deferred revenues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Decrease in accrued expenses and other current liabilities</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(3,798)</w:t>
            </w: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(85)</w:t>
            </w: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(1,239)</w:t>
            </w: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(3,391)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80" w:type="dxa"/>
            <w:vAlign w:val="bottom"/>
            <w:gridSpan w:val="6"/>
            <w:shd w:val="clear" w:color="auto" w:fill="CFF0FC"/>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6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5060" w:type="dxa"/>
            <w:vAlign w:val="bottom"/>
            <w:tcBorders>
              <w:top w:val="single" w:sz="8" w:color="CFF0FC"/>
            </w:tcBorders>
            <w:gridSpan w:val="3"/>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520" w:type="dxa"/>
            <w:vAlign w:val="bottom"/>
            <w:tcBorders>
              <w:top w:val="single" w:sz="8" w:color="CFF0F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(10,428)</w:t>
            </w:r>
          </w:p>
        </w:tc>
        <w:tc>
          <w:tcPr>
            <w:tcW w:w="56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3,430</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Capitalized internal-use software costs</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(1,997)</w:t>
            </w: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(24)</w:t>
            </w: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(9,019)</w:t>
            </w: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60" w:type="dxa"/>
            <w:vAlign w:val="bottom"/>
            <w:tcBorders>
              <w:bottom w:val="single" w:sz="8" w:color="auto"/>
            </w:tcBorders>
            <w:gridSpan w:val="4"/>
            <w:shd w:val="clear" w:color="auto" w:fill="CFF0FC"/>
          </w:tcPr>
          <w:p>
            <w:pPr>
              <w:spacing w:after="0" w:line="160" w:lineRule="exact"/>
              <w:rPr>
                <w:sz w:val="20"/>
                <w:szCs w:val="20"/>
                <w:color w:val="auto"/>
              </w:rPr>
            </w:pPr>
            <w:r>
              <w:rPr>
                <w:rFonts w:ascii="Times New Roman" w:cs="Times New Roman" w:eastAsia="Times New Roman" w:hAnsi="Times New Roman"/>
                <w:sz w:val="17"/>
                <w:szCs w:val="17"/>
                <w:b w:val="1"/>
                <w:bCs w:val="1"/>
                <w:color w:val="auto"/>
                <w:w w:val="99"/>
              </w:rPr>
              <w:t>Cash flows from financing activities:</w:t>
            </w:r>
          </w:p>
        </w:tc>
        <w:tc>
          <w:tcPr>
            <w:tcW w:w="5020" w:type="dxa"/>
            <w:vAlign w:val="bottom"/>
            <w:tcBorders>
              <w:bottom w:val="single" w:sz="8" w:color="CFF0FC"/>
            </w:tcBorders>
            <w:gridSpan w:val="2"/>
            <w:shd w:val="clear" w:color="auto" w:fill="CFF0FC"/>
          </w:tcPr>
          <w:p>
            <w:pPr>
              <w:spacing w:after="0"/>
              <w:rPr>
                <w:sz w:val="15"/>
                <w:szCs w:val="15"/>
                <w:color w:val="auto"/>
              </w:rPr>
            </w:pPr>
          </w:p>
        </w:tc>
        <w:tc>
          <w:tcPr>
            <w:tcW w:w="360" w:type="dxa"/>
            <w:vAlign w:val="bottom"/>
            <w:tcBorders>
              <w:top w:val="single" w:sz="8" w:color="auto"/>
              <w:bottom w:val="single" w:sz="8" w:color="CFF0FC"/>
            </w:tcBorders>
            <w:shd w:val="clear" w:color="auto" w:fill="CFF0FC"/>
          </w:tcPr>
          <w:p>
            <w:pPr>
              <w:spacing w:after="0"/>
              <w:rPr>
                <w:sz w:val="15"/>
                <w:szCs w:val="15"/>
                <w:color w:val="auto"/>
              </w:rPr>
            </w:pPr>
          </w:p>
        </w:tc>
        <w:tc>
          <w:tcPr>
            <w:tcW w:w="1220" w:type="dxa"/>
            <w:vAlign w:val="bottom"/>
            <w:tcBorders>
              <w:top w:val="single" w:sz="8" w:color="auto"/>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for employee taxes withheld related to vested stock-based awards</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(571)</w:t>
            </w: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Repurchase of common stock for retirement</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(6,464)</w:t>
            </w:r>
          </w:p>
        </w:tc>
        <w:tc>
          <w:tcPr>
            <w:tcW w:w="5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(6,357)</w:t>
            </w: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(16,615)</w:t>
            </w: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period</w:t>
            </w: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76,692</w:t>
            </w:r>
          </w:p>
        </w:tc>
        <w:tc>
          <w:tcPr>
            <w:tcW w:w="3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123,908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period</w:t>
            </w: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60,077</w:t>
            </w:r>
          </w:p>
        </w:tc>
        <w:tc>
          <w:tcPr>
            <w:tcW w:w="300" w:type="dxa"/>
            <w:vAlign w:val="bottom"/>
          </w:tcPr>
          <w:p>
            <w:pPr>
              <w:spacing w:after="0"/>
              <w:rPr>
                <w:sz w:val="17"/>
                <w:szCs w:val="17"/>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7680" w:type="dxa"/>
            <w:vAlign w:val="bottom"/>
            <w:gridSpan w:val="6"/>
            <w:shd w:val="clear" w:color="auto" w:fill="CFF0FC"/>
          </w:tcPr>
          <w:p>
            <w:pPr>
              <w:spacing w:after="0" w:line="167" w:lineRule="exact"/>
              <w:rPr>
                <w:sz w:val="20"/>
                <w:szCs w:val="20"/>
                <w:color w:val="auto"/>
              </w:rPr>
            </w:pPr>
            <w:r>
              <w:rPr>
                <w:rFonts w:ascii="Times New Roman" w:cs="Times New Roman" w:eastAsia="Times New Roman" w:hAnsi="Times New Roman"/>
                <w:sz w:val="17"/>
                <w:szCs w:val="17"/>
                <w:color w:val="auto"/>
              </w:rPr>
              <w:t>Supplemental cash flow data:</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50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Cash paid during the period for income taxes</w:t>
            </w: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tcPr>
          <w:p>
            <w:pPr>
              <w:spacing w:after="0"/>
              <w:rPr>
                <w:sz w:val="17"/>
                <w:szCs w:val="17"/>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80" w:type="dxa"/>
            <w:vAlign w:val="bottom"/>
            <w:gridSpan w:val="6"/>
            <w:shd w:val="clear" w:color="auto" w:fill="CFF0FC"/>
          </w:tcPr>
          <w:p>
            <w:pPr>
              <w:spacing w:after="0" w:line="167" w:lineRule="exact"/>
              <w:rPr>
                <w:sz w:val="20"/>
                <w:szCs w:val="20"/>
                <w:color w:val="auto"/>
              </w:rPr>
            </w:pPr>
            <w:r>
              <w:rPr>
                <w:rFonts w:ascii="Times New Roman" w:cs="Times New Roman" w:eastAsia="Times New Roman" w:hAnsi="Times New Roman"/>
                <w:sz w:val="17"/>
                <w:szCs w:val="17"/>
                <w:color w:val="auto"/>
              </w:rPr>
              <w:t>Non-cash activities:</w:t>
            </w: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50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Non-cash compensation capitalized as part of capitalization of internal-use software costs</w:t>
            </w: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300" w:type="dxa"/>
            <w:vAlign w:val="bottom"/>
          </w:tcPr>
          <w:p>
            <w:pPr>
              <w:spacing w:after="0"/>
              <w:rPr>
                <w:sz w:val="17"/>
                <w:szCs w:val="17"/>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7"/>
                <w:szCs w:val="17"/>
                <w:color w:val="auto"/>
              </w:rPr>
              <w:t>Liability incurred for repurchase of common stock</w:t>
            </w:r>
          </w:p>
        </w:tc>
        <w:tc>
          <w:tcPr>
            <w:tcW w:w="3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-2819400</wp:posOffset>
            </wp:positionV>
            <wp:extent cx="73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-2819400</wp:posOffset>
            </wp:positionV>
            <wp:extent cx="654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-2020570</wp:posOffset>
            </wp:positionV>
            <wp:extent cx="736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-2020570</wp:posOffset>
            </wp:positionV>
            <wp:extent cx="654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-1213485</wp:posOffset>
            </wp:positionV>
            <wp:extent cx="73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-1213485</wp:posOffset>
            </wp:positionV>
            <wp:extent cx="654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-944880</wp:posOffset>
            </wp:positionV>
            <wp:extent cx="736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-944880</wp:posOffset>
            </wp:positionV>
            <wp:extent cx="654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ORGANIZATION AND BUSINESS OPERATIONS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psychotherapy and psychiatry.</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principal executive office is located in New York, NY. The Company has wholly-owned subsidiaries and holds a variable interest in a professional association and various professional corporations, which have been established pursuant to the requirements of their respective domestic jurisdiction governing the corporate practice of medicine. These entities are considered Variable Interest Entities (“VIEs”). See Note 11, “Variable Interest Entities,” in the notes to the condensed consolidated financial statements for further details.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2024, included in the Company's Annual Report on Form 10-K for the year ended December 31, 2024. The significant accounting policies applied in the annual consolidated financial statements of the Company as of December 31, 2024, have been applied consistently in these unaudited condensed consolidated financial statements, unless otherwise stated.</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of revenue, stock-based compensation awards and internal-use software costs.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Segments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Talkspace provides virtual behavioral healthcare services through its online platform for one-on-one therapy delivered via messaging, audio and video. The Company's chief operating decision maker ("CODM") is the Chief Executive Officer, who manages the Company by reviewing consolidated results. Accordingly, the Company operates as one operating and reportable segment.</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CODM uses the Company’s consolidated net income (loss) to assess the financial performance of the Company and allocate resources. Since the Company operates in one operating segment, financial information, including consolidated net income (loss) information evaluated by the CODM can be found in the consolidated statements of income.</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assets are managed on a consolidated basis. For total asset information please refer to the condensed consolidated balance sheets included within the condensed consolidated financial statements. Most of the Company's long-lived tangible assets, as well as the Company's operating lease right-of-use asset is located in the United States. Other financial information regarding the Company's operating segment is presented elsewhere in the condensed consolidated financial statements.</w:t>
      </w:r>
    </w:p>
    <w:p>
      <w:pPr>
        <w:spacing w:after="0" w:line="11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For the three months ended March 31, 2025 and 2024, all of the Company’s revenues were generated from customers located in the United States. For the types of services from which the reportable segment derives its revenues please refer to Note 3, “Revenue Recognition”.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Accounting Standards Updates (“ASU”) issued by the Financial Accounting Standards Board ("FASB") have not yet been adopted by the Company:</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Further, the ASU requires certain disclosures of state versus federal income tax expense and taxes paid. This ASU is effective for fiscal years beginning after December 15, 2024, with early adoption permitted. The Company is currently evaluating the impact of adopting this ASU.</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(Topic 220): Disaggregation of Income Statement Expenses, to improve the disclosures of a public business entity’s expenses and address requests from investors for more detailed information about the types of expenses in commonly presented expense captions. This guidance is effective for fiscal years beginning after December 15, 2026, and interim periods after December 15, 2027. The Company is currently evaluating the impact of adopting this ASU.</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REVENUE RECOGNITION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revenues from sales to unaffiliated customers disaggregated by revenue source: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180" w:type="dxa"/>
            <w:vAlign w:val="bottom"/>
            <w:gridSpan w:val="2"/>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jc w:val="right"/>
              <w:ind w:right="962"/>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940"/>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Revenues from sales to unaffiliated customers:</w:t>
            </w:r>
          </w:p>
        </w:tc>
        <w:tc>
          <w:tcPr>
            <w:tcW w:w="480" w:type="dxa"/>
            <w:vAlign w:val="bottom"/>
          </w:tcPr>
          <w:p>
            <w:pPr>
              <w:spacing w:after="0"/>
              <w:rPr>
                <w:sz w:val="17"/>
                <w:szCs w:val="17"/>
                <w:color w:val="auto"/>
              </w:rPr>
            </w:pPr>
          </w:p>
        </w:tc>
        <w:tc>
          <w:tcPr>
            <w:tcW w:w="1840" w:type="dxa"/>
            <w:vAlign w:val="bottom"/>
          </w:tcPr>
          <w:p>
            <w:pPr>
              <w:jc w:val="right"/>
              <w:ind w:right="80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Payor</w:t>
            </w:r>
          </w:p>
        </w:tc>
        <w:tc>
          <w:tcPr>
            <w:tcW w:w="4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37,842</w:t>
            </w:r>
          </w:p>
        </w:tc>
        <w:tc>
          <w:tcPr>
            <w:tcW w:w="11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DTE</w:t>
            </w:r>
          </w:p>
        </w:tc>
        <w:tc>
          <w:tcPr>
            <w:tcW w:w="4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9,583</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Consumer</w:t>
            </w:r>
          </w:p>
        </w:tc>
        <w:tc>
          <w:tcPr>
            <w:tcW w:w="4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4,757</w:t>
            </w:r>
          </w:p>
        </w:tc>
        <w:tc>
          <w:tcPr>
            <w:tcW w:w="3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6,995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52,182</w:t>
            </w: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-162560</wp:posOffset>
            </wp:positionV>
            <wp:extent cx="654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7067550</wp:posOffset>
            </wp:positionH>
            <wp:positionV relativeFrom="paragraph">
              <wp:posOffset>-162560</wp:posOffset>
            </wp:positionV>
            <wp:extent cx="736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1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had receivables related to revenue from DTE customers of $6.0 million at March 31, 2025 and December 31, 2024. As of March 31, 2025 and December 31, 2024, the balance of receivables related to revenue from Payor customers was $7.2 million and $3.6 million, respectively.</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Accounts receivables are stated net of credit losses allowance.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Credit losses were immaterial for the three months ended March 31, 2025 and 2024.</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Revenue</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records deferred revenues when cash payments from customers are received in advance of the Company's performance obligation to provide services. As of March 31, 2025 and December 31, 2024, deferred revenue related mainly to Consumer subscriptions. The Company expects to satisfy the majority of its performance obligations associated with deferred revenue within one year or less. Revenue recognized in the three months ended March 31, 2025 and 2024 that was included in the deferred revenue balance at the beginning of each reporting period was $1.7 million for both periods.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FAIR VALUE MEASUREMENTS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carrying value of the Company’s cash, accounts receivable, other current assets, accounts payable, and accrued liabilities approximate fair value because of the relatively short-term nature of the underlying assets or liabilities. The Company's cash equivalents and marketable securities are classified within Level 1 or Level 2 of the fair value hierarchy because their fair values are derived from quoted market prices or quoted market prices for similar assets of liabilities or quoted prices in markets that are not active, or other inputs that are observable or can be corroborated by observable market data for substantially the full term of the assets or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the Company's cash equivalents and marketable securities measured at fair value on a recurring basis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as of March 31, 2025</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500"/>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Adjusted Cost Basis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Unrealized Losses</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9"/>
                <w:szCs w:val="9"/>
                <w:color w:val="auto"/>
              </w:rPr>
            </w:pPr>
          </w:p>
        </w:tc>
        <w:tc>
          <w:tcPr>
            <w:tcW w:w="1160" w:type="dxa"/>
            <w:vAlign w:val="bottom"/>
          </w:tcPr>
          <w:p>
            <w:pPr>
              <w:jc w:val="center"/>
              <w:ind w:right="78"/>
              <w:spacing w:after="0" w:line="110" w:lineRule="exact"/>
              <w:rPr>
                <w:sz w:val="20"/>
                <w:szCs w:val="20"/>
                <w:color w:val="auto"/>
              </w:rPr>
            </w:pPr>
            <w:r>
              <w:rPr>
                <w:rFonts w:ascii="Times New Roman" w:cs="Times New Roman" w:eastAsia="Times New Roman" w:hAnsi="Times New Roman"/>
                <w:sz w:val="11"/>
                <w:szCs w:val="11"/>
                <w:b w:val="1"/>
                <w:bCs w:val="1"/>
                <w:color w:val="auto"/>
              </w:rPr>
              <w:t>Cash and Cash</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98"/>
              <w:spacing w:after="0" w:line="110" w:lineRule="exact"/>
              <w:rPr>
                <w:sz w:val="20"/>
                <w:szCs w:val="20"/>
                <w:color w:val="auto"/>
              </w:rPr>
            </w:pPr>
            <w:r>
              <w:rPr>
                <w:rFonts w:ascii="Times New Roman" w:cs="Times New Roman" w:eastAsia="Times New Roman" w:hAnsi="Times New Roman"/>
                <w:sz w:val="11"/>
                <w:szCs w:val="11"/>
                <w:b w:val="1"/>
                <w:bCs w:val="1"/>
                <w:color w:val="auto"/>
              </w:rPr>
              <w:t>Marketable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3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Cash</w:t>
            </w:r>
          </w:p>
        </w:tc>
        <w:tc>
          <w:tcPr>
            <w:tcW w:w="720" w:type="dxa"/>
            <w:vAlign w:val="bottom"/>
            <w:gridSpan w:val="2"/>
            <w:shd w:val="clear" w:color="auto" w:fill="CFF0FC"/>
          </w:tcPr>
          <w:p>
            <w:pPr>
              <w:jc w:val="right"/>
              <w:ind w:right="23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760" w:type="dxa"/>
            <w:vAlign w:val="bottom"/>
            <w:gridSpan w:val="3"/>
            <w:shd w:val="clear" w:color="auto" w:fill="CFF0FC"/>
          </w:tcPr>
          <w:p>
            <w:pPr>
              <w:jc w:val="right"/>
              <w:ind w:right="352"/>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Level 1:</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59,455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59,455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59,455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Commercial paper</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1:</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65,002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65,006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59,455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Level 2:</w:t>
            </w:r>
          </w:p>
        </w:tc>
        <w:tc>
          <w:tcPr>
            <w:tcW w:w="3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Government securities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Certificates of deposit</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2:</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42,723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gridSpan w:val="2"/>
          </w:tcPr>
          <w:p>
            <w:pPr>
              <w:jc w:val="right"/>
              <w:ind w:right="23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108,324</w:t>
            </w:r>
          </w:p>
        </w:tc>
        <w:tc>
          <w:tcPr>
            <w:tcW w:w="760" w:type="dxa"/>
            <w:vAlign w:val="bottom"/>
            <w:gridSpan w:val="3"/>
          </w:tcPr>
          <w:p>
            <w:pPr>
              <w:jc w:val="right"/>
              <w:ind w:right="352"/>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60" w:type="dxa"/>
            <w:vAlign w:val="bottom"/>
            <w:gridSpan w:val="2"/>
          </w:tcPr>
          <w:p>
            <w:pPr>
              <w:jc w:val="center"/>
              <w:ind w:left="179"/>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108,351</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60,077</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as of December 31, 2024</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78"/>
              <w:spacing w:after="0" w:line="110" w:lineRule="exact"/>
              <w:rPr>
                <w:sz w:val="20"/>
                <w:szCs w:val="20"/>
                <w:color w:val="auto"/>
              </w:rPr>
            </w:pPr>
            <w:r>
              <w:rPr>
                <w:rFonts w:ascii="Times New Roman" w:cs="Times New Roman" w:eastAsia="Times New Roman" w:hAnsi="Times New Roman"/>
                <w:sz w:val="11"/>
                <w:szCs w:val="11"/>
                <w:b w:val="1"/>
                <w:bCs w:val="1"/>
                <w:color w:val="auto"/>
              </w:rPr>
              <w:t>Cash and Cash</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98"/>
              <w:spacing w:after="0" w:line="110" w:lineRule="exact"/>
              <w:rPr>
                <w:sz w:val="20"/>
                <w:szCs w:val="20"/>
                <w:color w:val="auto"/>
              </w:rPr>
            </w:pPr>
            <w:r>
              <w:rPr>
                <w:rFonts w:ascii="Times New Roman" w:cs="Times New Roman" w:eastAsia="Times New Roman" w:hAnsi="Times New Roman"/>
                <w:sz w:val="11"/>
                <w:szCs w:val="11"/>
                <w:b w:val="1"/>
                <w:bCs w:val="1"/>
                <w:color w:val="auto"/>
              </w:rPr>
              <w:t>Marketable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Adjusted Cost Basis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Unrealized Gains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6"/>
              </w:rPr>
              <w:t>Unrealized Losses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Cash</w:t>
            </w:r>
          </w:p>
        </w:tc>
        <w:tc>
          <w:tcPr>
            <w:tcW w:w="720" w:type="dxa"/>
            <w:vAlign w:val="bottom"/>
            <w:gridSpan w:val="2"/>
            <w:shd w:val="clear" w:color="auto" w:fill="CFF0FC"/>
          </w:tcPr>
          <w:p>
            <w:pPr>
              <w:jc w:val="right"/>
              <w:ind w:right="23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760" w:type="dxa"/>
            <w:vAlign w:val="bottom"/>
            <w:gridSpan w:val="3"/>
            <w:shd w:val="clear" w:color="auto" w:fill="CFF0FC"/>
          </w:tcPr>
          <w:p>
            <w:pPr>
              <w:jc w:val="right"/>
              <w:ind w:right="352"/>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Level 1:</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68,639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68,639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68,639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Commercial paper</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1:</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75,515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75,518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69,287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Level 2:</w:t>
            </w:r>
          </w:p>
        </w:tc>
        <w:tc>
          <w:tcPr>
            <w:tcW w:w="3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6,494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Government securities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7"/>
                <w:szCs w:val="17"/>
                <w:color w:val="auto"/>
              </w:rPr>
              <w:t>Certificates of deposit</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Level 2:</w:t>
            </w: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41,382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41,381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6,494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gridSpan w:val="2"/>
          </w:tcPr>
          <w:p>
            <w:pPr>
              <w:jc w:val="right"/>
              <w:ind w:right="232"/>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117,808</w:t>
            </w:r>
          </w:p>
        </w:tc>
        <w:tc>
          <w:tcPr>
            <w:tcW w:w="760" w:type="dxa"/>
            <w:vAlign w:val="bottom"/>
            <w:gridSpan w:val="3"/>
          </w:tcPr>
          <w:p>
            <w:pPr>
              <w:jc w:val="right"/>
              <w:ind w:right="352"/>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gridSpan w:val="2"/>
          </w:tcPr>
          <w:p>
            <w:pPr>
              <w:jc w:val="center"/>
              <w:ind w:left="179"/>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117,810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76,692</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gridSpan w:val="3"/>
          </w:tcPr>
          <w:p>
            <w:pPr>
              <w:jc w:val="center"/>
              <w:ind w:right="856"/>
              <w:spacing w:after="0"/>
              <w:rPr>
                <w:sz w:val="20"/>
                <w:szCs w:val="20"/>
                <w:color w:val="auto"/>
              </w:rPr>
            </w:pPr>
            <w:r>
              <w:rPr>
                <w:rFonts w:ascii="Times New Roman" w:cs="Times New Roman" w:eastAsia="Times New Roman" w:hAnsi="Times New Roman"/>
                <w:sz w:val="17"/>
                <w:szCs w:val="17"/>
                <w:color w:val="auto"/>
                <w:w w:val="93"/>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20" w:type="dxa"/>
            <w:vAlign w:val="bottom"/>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-3992880</wp:posOffset>
            </wp:positionV>
            <wp:extent cx="654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-3992880</wp:posOffset>
            </wp:positionV>
            <wp:extent cx="654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-3992880</wp:posOffset>
            </wp:positionV>
            <wp:extent cx="654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-3992880</wp:posOffset>
            </wp:positionV>
            <wp:extent cx="654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-3992880</wp:posOffset>
            </wp:positionV>
            <wp:extent cx="654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-3992880</wp:posOffset>
            </wp:positionV>
            <wp:extent cx="654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-3194050</wp:posOffset>
            </wp:positionV>
            <wp:extent cx="654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-3194050</wp:posOffset>
            </wp:positionV>
            <wp:extent cx="654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-3194050</wp:posOffset>
            </wp:positionV>
            <wp:extent cx="654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-3194050</wp:posOffset>
            </wp:positionV>
            <wp:extent cx="654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-3194050</wp:posOffset>
            </wp:positionV>
            <wp:extent cx="654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-3194050</wp:posOffset>
            </wp:positionV>
            <wp:extent cx="654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-1955165</wp:posOffset>
            </wp:positionV>
            <wp:extent cx="654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-1955165</wp:posOffset>
            </wp:positionV>
            <wp:extent cx="654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-1955165</wp:posOffset>
            </wp:positionV>
            <wp:extent cx="654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-1955165</wp:posOffset>
            </wp:positionV>
            <wp:extent cx="654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-1955165</wp:posOffset>
            </wp:positionV>
            <wp:extent cx="654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-1955165</wp:posOffset>
            </wp:positionV>
            <wp:extent cx="654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-1156335</wp:posOffset>
            </wp:positionV>
            <wp:extent cx="654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-1156335</wp:posOffset>
            </wp:positionV>
            <wp:extent cx="654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-1156335</wp:posOffset>
            </wp:positionV>
            <wp:extent cx="654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-1156335</wp:posOffset>
            </wp:positionV>
            <wp:extent cx="654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-1156335</wp:posOffset>
            </wp:positionV>
            <wp:extent cx="654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-1156335</wp:posOffset>
            </wp:positionV>
            <wp:extent cx="654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Maturities</w:t>
            </w:r>
          </w:p>
        </w:tc>
        <w:tc>
          <w:tcPr>
            <w:tcW w:w="3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remaining contractual maturities of the Company's marketable securities as of</w:t>
            </w:r>
          </w:p>
        </w:tc>
        <w:tc>
          <w:tcPr>
            <w:tcW w:w="3080" w:type="dxa"/>
            <w:vAlign w:val="bottom"/>
            <w:gridSpan w:val="2"/>
          </w:tcPr>
          <w:p>
            <w:pPr>
              <w:jc w:val="right"/>
              <w:ind w:right="1826"/>
              <w:spacing w:after="0"/>
              <w:rPr>
                <w:sz w:val="20"/>
                <w:szCs w:val="20"/>
                <w:color w:val="auto"/>
              </w:rPr>
            </w:pPr>
            <w:r>
              <w:rPr>
                <w:rFonts w:ascii="Times New Roman" w:cs="Times New Roman" w:eastAsia="Times New Roman" w:hAnsi="Times New Roman"/>
                <w:sz w:val="17"/>
                <w:szCs w:val="17"/>
                <w:color w:val="auto"/>
              </w:rPr>
              <w:t>March 31, 2025:</w:t>
            </w:r>
          </w:p>
        </w:tc>
        <w:tc>
          <w:tcPr>
            <w:tcW w:w="0" w:type="dxa"/>
            <w:vAlign w:val="bottom"/>
          </w:tcPr>
          <w:p>
            <w:pPr>
              <w:spacing w:after="0"/>
              <w:rPr>
                <w:sz w:val="1"/>
                <w:szCs w:val="1"/>
                <w:color w:val="auto"/>
              </w:rPr>
            </w:pPr>
          </w:p>
        </w:tc>
      </w:tr>
      <w:tr>
        <w:trPr>
          <w:trHeight w:val="295"/>
        </w:trPr>
        <w:tc>
          <w:tcPr>
            <w:tcW w:w="78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4"/>
                <w:szCs w:val="24"/>
                <w:color w:val="auto"/>
              </w:rPr>
            </w:pPr>
          </w:p>
        </w:tc>
        <w:tc>
          <w:tcPr>
            <w:tcW w:w="276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34"/>
        </w:trPr>
        <w:tc>
          <w:tcPr>
            <w:tcW w:w="78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760" w:type="dxa"/>
            <w:vAlign w:val="bottom"/>
            <w:tcBorders>
              <w:bottom w:val="single" w:sz="8" w:color="auto"/>
            </w:tcBorders>
          </w:tcPr>
          <w:p>
            <w:pPr>
              <w:jc w:val="right"/>
              <w:ind w:right="986"/>
              <w:spacing w:after="0" w:line="13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Due within one year</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$45,084</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Due after one year through two years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3,190</w:t>
            </w: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$48,274</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 Warrants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Private Placement Warrants are valued using the Black-Scholes-Merton Model, which is considered to be a Level 3 fair value measurement, as such they are classified within Level 3 of the fair value hierarchy.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11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following table presents the Company's Private Placement Warrants measured at fair value on a recurring basis for the three months ended March 31, 2025 and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4"/>
              </w:rPr>
              <w:t>Unaudited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7"/>
          </w:tcPr>
          <w:p>
            <w:pPr>
              <w:jc w:val="center"/>
              <w:ind w:left="1306"/>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March 31, 2025</w:t>
            </w: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94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286"/>
              <w:spacing w:after="0" w:line="134"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center"/>
              <w:ind w:right="165"/>
              <w:spacing w:after="0" w:line="134"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423"/>
              <w:spacing w:after="0" w:line="134"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(484)</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4"/>
              </w:rPr>
              <w:t>Unaudited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7"/>
          </w:tcPr>
          <w:p>
            <w:pPr>
              <w:jc w:val="center"/>
              <w:ind w:left="1306"/>
              <w:spacing w:after="0"/>
              <w:rPr>
                <w:sz w:val="20"/>
                <w:szCs w:val="20"/>
                <w:color w:val="auto"/>
              </w:rPr>
            </w:pPr>
            <w:r>
              <w:rPr>
                <w:rFonts w:ascii="Times New Roman" w:cs="Times New Roman" w:eastAsia="Times New Roman" w:hAnsi="Times New Roman"/>
                <w:sz w:val="14"/>
                <w:szCs w:val="14"/>
                <w:b w:val="1"/>
                <w:bCs w:val="1"/>
                <w:color w:val="auto"/>
                <w:w w:val="97"/>
              </w:rPr>
              <w:t>For the Three Months Ended March 31, 2024</w:t>
            </w: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94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286"/>
              <w:spacing w:after="0" w:line="134"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center"/>
              <w:ind w:right="165"/>
              <w:spacing w:after="0" w:line="134" w:lineRule="exact"/>
              <w:rPr>
                <w:sz w:val="20"/>
                <w:szCs w:val="20"/>
                <w:color w:val="auto"/>
              </w:rPr>
            </w:pPr>
            <w:r>
              <w:rPr>
                <w:rFonts w:ascii="Times New Roman" w:cs="Times New Roman" w:eastAsia="Times New Roman" w:hAnsi="Times New Roman"/>
                <w:sz w:val="14"/>
                <w:szCs w:val="14"/>
                <w:b w:val="1"/>
                <w:bCs w:val="1"/>
                <w:color w:val="auto"/>
                <w:w w:val="96"/>
              </w:rPr>
              <w:t>Change in Fair Value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423"/>
              <w:spacing w:after="0" w:line="134"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were the inputs utilized in determining the fair value of the Private Placement Warrants as of March 31, 2025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1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27"/>
        </w:trPr>
        <w:tc>
          <w:tcPr>
            <w:tcW w:w="5400" w:type="dxa"/>
            <w:vAlign w:val="bottom"/>
            <w:vMerge w:val="continue"/>
          </w:tcPr>
          <w:p>
            <w:pPr>
              <w:spacing w:after="0"/>
              <w:rPr>
                <w:sz w:val="11"/>
                <w:szCs w:val="11"/>
                <w:color w:val="auto"/>
              </w:rPr>
            </w:pPr>
          </w:p>
        </w:tc>
        <w:tc>
          <w:tcPr>
            <w:tcW w:w="2140" w:type="dxa"/>
            <w:vAlign w:val="bottom"/>
          </w:tcPr>
          <w:p>
            <w:pPr>
              <w:jc w:val="center"/>
              <w:ind w:left="558"/>
              <w:spacing w:after="0" w:line="121"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3700" w:type="dxa"/>
            <w:vAlign w:val="bottom"/>
            <w:gridSpan w:val="3"/>
          </w:tcPr>
          <w:p>
            <w:pPr>
              <w:jc w:val="center"/>
              <w:ind w:left="841"/>
              <w:spacing w:after="0" w:line="121"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55"/>
        </w:trPr>
        <w:tc>
          <w:tcPr>
            <w:tcW w:w="54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(1)</w:t>
            </w:r>
          </w:p>
        </w:tc>
        <w:tc>
          <w:tcPr>
            <w:tcW w:w="2140" w:type="dxa"/>
            <w:vAlign w:val="bottom"/>
            <w:tcBorders>
              <w:top w:val="single" w:sz="8" w:color="auto"/>
            </w:tcBorders>
          </w:tcPr>
          <w:p>
            <w:pPr>
              <w:jc w:val="center"/>
              <w:ind w:left="558"/>
              <w:spacing w:after="0" w:line="155" w:lineRule="exact"/>
              <w:rPr>
                <w:sz w:val="20"/>
                <w:szCs w:val="20"/>
                <w:color w:val="auto"/>
              </w:rPr>
            </w:pPr>
            <w:r>
              <w:rPr>
                <w:rFonts w:ascii="Times New Roman" w:cs="Times New Roman" w:eastAsia="Times New Roman" w:hAnsi="Times New Roman"/>
                <w:sz w:val="17"/>
                <w:szCs w:val="17"/>
                <w:color w:val="auto"/>
                <w:w w:val="96"/>
              </w:rPr>
              <w:t>0%</w:t>
            </w: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205"/>
        </w:trPr>
        <w:tc>
          <w:tcPr>
            <w:tcW w:w="5400" w:type="dxa"/>
            <w:vAlign w:val="bottom"/>
          </w:tcPr>
          <w:p>
            <w:pPr>
              <w:spacing w:after="0" w:line="205" w:lineRule="exact"/>
              <w:rPr>
                <w:sz w:val="20"/>
                <w:szCs w:val="20"/>
                <w:color w:val="auto"/>
              </w:rPr>
            </w:pPr>
            <w:r>
              <w:rPr>
                <w:rFonts w:ascii="Times New Roman" w:cs="Times New Roman" w:eastAsia="Times New Roman" w:hAnsi="Times New Roman"/>
                <w:sz w:val="17"/>
                <w:szCs w:val="17"/>
                <w:color w:val="auto"/>
              </w:rPr>
              <w:t xml:space="preserve">Expected volatility </w:t>
            </w:r>
            <w:r>
              <w:rPr>
                <w:rFonts w:ascii="Times New Roman" w:cs="Times New Roman" w:eastAsia="Times New Roman" w:hAnsi="Times New Roman"/>
                <w:sz w:val="22"/>
                <w:szCs w:val="22"/>
                <w:color w:val="auto"/>
                <w:vertAlign w:val="superscript"/>
              </w:rPr>
              <w:t>(2)</w:t>
            </w:r>
          </w:p>
        </w:tc>
        <w:tc>
          <w:tcPr>
            <w:tcW w:w="2140" w:type="dxa"/>
            <w:vAlign w:val="bottom"/>
          </w:tcPr>
          <w:p>
            <w:pPr>
              <w:jc w:val="center"/>
              <w:ind w:left="558"/>
              <w:spacing w:after="0"/>
              <w:rPr>
                <w:sz w:val="20"/>
                <w:szCs w:val="20"/>
                <w:color w:val="auto"/>
              </w:rPr>
            </w:pPr>
            <w:r>
              <w:rPr>
                <w:rFonts w:ascii="Times New Roman" w:cs="Times New Roman" w:eastAsia="Times New Roman" w:hAnsi="Times New Roman"/>
                <w:sz w:val="17"/>
                <w:szCs w:val="17"/>
                <w:color w:val="auto"/>
              </w:rPr>
              <w:t>80.50%</w:t>
            </w:r>
          </w:p>
        </w:tc>
        <w:tc>
          <w:tcPr>
            <w:tcW w:w="3700" w:type="dxa"/>
            <w:vAlign w:val="bottom"/>
            <w:gridSpan w:val="3"/>
          </w:tcPr>
          <w:p>
            <w:pPr>
              <w:jc w:val="center"/>
              <w:ind w:left="841"/>
              <w:spacing w:after="0"/>
              <w:rPr>
                <w:sz w:val="20"/>
                <w:szCs w:val="20"/>
                <w:color w:val="auto"/>
              </w:rPr>
            </w:pPr>
            <w:r>
              <w:rPr>
                <w:rFonts w:ascii="Times New Roman" w:cs="Times New Roman" w:eastAsia="Times New Roman" w:hAnsi="Times New Roman"/>
                <w:sz w:val="17"/>
                <w:szCs w:val="17"/>
                <w:color w:val="auto"/>
              </w:rPr>
              <w:t>56.40%</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Risk-free interest rate </w:t>
            </w:r>
            <w:r>
              <w:rPr>
                <w:rFonts w:ascii="Times New Roman" w:cs="Times New Roman" w:eastAsia="Times New Roman" w:hAnsi="Times New Roman"/>
                <w:sz w:val="22"/>
                <w:szCs w:val="22"/>
                <w:color w:val="auto"/>
                <w:vertAlign w:val="superscript"/>
              </w:rPr>
              <w:t>(3)</w:t>
            </w:r>
          </w:p>
        </w:tc>
        <w:tc>
          <w:tcPr>
            <w:tcW w:w="2140" w:type="dxa"/>
            <w:vAlign w:val="bottom"/>
          </w:tcPr>
          <w:p>
            <w:pPr>
              <w:jc w:val="center"/>
              <w:ind w:left="578"/>
              <w:spacing w:after="0"/>
              <w:rPr>
                <w:sz w:val="20"/>
                <w:szCs w:val="20"/>
                <w:color w:val="auto"/>
              </w:rPr>
            </w:pPr>
            <w:r>
              <w:rPr>
                <w:rFonts w:ascii="Times New Roman" w:cs="Times New Roman" w:eastAsia="Times New Roman" w:hAnsi="Times New Roman"/>
                <w:sz w:val="17"/>
                <w:szCs w:val="17"/>
                <w:color w:val="auto"/>
              </w:rPr>
              <w:t>4.00%</w:t>
            </w:r>
          </w:p>
        </w:tc>
        <w:tc>
          <w:tcPr>
            <w:tcW w:w="3700" w:type="dxa"/>
            <w:vAlign w:val="bottom"/>
            <w:gridSpan w:val="3"/>
          </w:tcPr>
          <w:p>
            <w:pPr>
              <w:jc w:val="center"/>
              <w:ind w:left="861"/>
              <w:spacing w:after="0"/>
              <w:rPr>
                <w:sz w:val="20"/>
                <w:szCs w:val="20"/>
                <w:color w:val="auto"/>
              </w:rPr>
            </w:pPr>
            <w:r>
              <w:rPr>
                <w:rFonts w:ascii="Times New Roman" w:cs="Times New Roman" w:eastAsia="Times New Roman" w:hAnsi="Times New Roman"/>
                <w:sz w:val="17"/>
                <w:szCs w:val="17"/>
                <w:color w:val="auto"/>
              </w:rPr>
              <w:t>4.55%</w:t>
            </w: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Term to warrant expiration (years)</w:t>
            </w:r>
          </w:p>
        </w:tc>
        <w:tc>
          <w:tcPr>
            <w:tcW w:w="2140" w:type="dxa"/>
            <w:vAlign w:val="bottom"/>
          </w:tcPr>
          <w:p>
            <w:pPr>
              <w:jc w:val="center"/>
              <w:ind w:left="558"/>
              <w:spacing w:after="0"/>
              <w:rPr>
                <w:sz w:val="20"/>
                <w:szCs w:val="20"/>
                <w:color w:val="auto"/>
              </w:rPr>
            </w:pPr>
            <w:r>
              <w:rPr>
                <w:rFonts w:ascii="Times New Roman" w:cs="Times New Roman" w:eastAsia="Times New Roman" w:hAnsi="Times New Roman"/>
                <w:sz w:val="17"/>
                <w:szCs w:val="17"/>
                <w:color w:val="auto"/>
              </w:rPr>
              <w:t>1.22</w:t>
            </w:r>
          </w:p>
        </w:tc>
        <w:tc>
          <w:tcPr>
            <w:tcW w:w="3700" w:type="dxa"/>
            <w:vAlign w:val="bottom"/>
            <w:gridSpan w:val="3"/>
          </w:tcPr>
          <w:p>
            <w:pPr>
              <w:jc w:val="center"/>
              <w:ind w:left="841"/>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-531495</wp:posOffset>
            </wp:positionV>
            <wp:extent cx="7139305" cy="130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3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7139305" cy="130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48" w:lineRule="exact"/>
        <w:rPr>
          <w:sz w:val="20"/>
          <w:szCs w:val="20"/>
          <w:color w:val="auto"/>
        </w:rPr>
      </w:pPr>
    </w:p>
    <w:p>
      <w:pPr>
        <w:ind w:left="280" w:hanging="205"/>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three months ended March 31, 2025 and 2024.</w:t>
      </w:r>
    </w:p>
    <w:p>
      <w:pPr>
        <w:spacing w:after="0" w:line="32" w:lineRule="exact"/>
        <w:rPr>
          <w:rFonts w:ascii="Times New Roman" w:cs="Times New Roman" w:eastAsia="Times New Roman" w:hAnsi="Times New Roman"/>
          <w:sz w:val="15"/>
          <w:szCs w:val="15"/>
          <w:color w:val="auto"/>
        </w:rPr>
      </w:pPr>
    </w:p>
    <w:p>
      <w:pPr>
        <w:ind w:left="280" w:hanging="205"/>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back-solved implied volatility of the Company's public warrants as of the valuation date.</w:t>
      </w:r>
    </w:p>
    <w:p>
      <w:pPr>
        <w:spacing w:after="0" w:line="32" w:lineRule="exact"/>
        <w:rPr>
          <w:rFonts w:ascii="Times New Roman" w:cs="Times New Roman" w:eastAsia="Times New Roman" w:hAnsi="Times New Roman"/>
          <w:sz w:val="15"/>
          <w:szCs w:val="15"/>
          <w:color w:val="auto"/>
        </w:rPr>
      </w:pPr>
    </w:p>
    <w:p>
      <w:pPr>
        <w:ind w:left="280" w:hanging="205"/>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time to maturity of the warrants.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FIXED ASSETS, NET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Fixed assets, net, as of March 31, 2025 and December 31, 2024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34"/>
        </w:trPr>
        <w:tc>
          <w:tcPr>
            <w:tcW w:w="70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Pr>
          <w:p>
            <w:pPr>
              <w:jc w:val="right"/>
              <w:ind w:right="639"/>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Capitalized internal-use software costs</w:t>
            </w: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8,700</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6,488</w:t>
            </w:r>
          </w:p>
        </w:tc>
        <w:tc>
          <w:tcPr>
            <w:tcW w:w="0" w:type="dxa"/>
            <w:vAlign w:val="bottom"/>
          </w:tcPr>
          <w:p>
            <w:pPr>
              <w:spacing w:after="0"/>
              <w:rPr>
                <w:sz w:val="1"/>
                <w:szCs w:val="1"/>
                <w:color w:val="auto"/>
              </w:rPr>
            </w:pPr>
          </w:p>
        </w:tc>
      </w:tr>
      <w:tr>
        <w:trPr>
          <w:trHeight w:val="205"/>
        </w:trPr>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Computer and equipment</w:t>
            </w:r>
          </w:p>
        </w:tc>
        <w:tc>
          <w:tcPr>
            <w:tcW w:w="30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775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205"/>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144</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198"/>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30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9,619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7,382</w:t>
            </w:r>
          </w:p>
        </w:tc>
        <w:tc>
          <w:tcPr>
            <w:tcW w:w="0" w:type="dxa"/>
            <w:vAlign w:val="bottom"/>
          </w:tcPr>
          <w:p>
            <w:pPr>
              <w:spacing w:after="0"/>
              <w:rPr>
                <w:sz w:val="1"/>
                <w:szCs w:val="1"/>
                <w:color w:val="auto"/>
              </w:rPr>
            </w:pPr>
          </w:p>
        </w:tc>
      </w:tr>
      <w:tr>
        <w:trPr>
          <w:trHeight w:val="205"/>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0" w:type="dxa"/>
            <w:vAlign w:val="bottom"/>
          </w:tcPr>
          <w:p>
            <w:pPr>
              <w:spacing w:after="0"/>
              <w:rPr>
                <w:sz w:val="1"/>
                <w:szCs w:val="1"/>
                <w:color w:val="auto"/>
              </w:rPr>
            </w:pPr>
          </w:p>
        </w:tc>
      </w:tr>
      <w:tr>
        <w:trPr>
          <w:trHeight w:val="198"/>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Fixed assets, net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8,016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6,259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5779770</wp:posOffset>
            </wp:positionH>
            <wp:positionV relativeFrom="paragraph">
              <wp:posOffset>-431165</wp:posOffset>
            </wp:positionV>
            <wp:extent cx="1225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2555" cy="8255"/>
                    </a:xfrm>
                    <a:prstGeom prst="rect">
                      <a:avLst/>
                    </a:prstGeom>
                    <a:noFill/>
                  </pic:spPr>
                </pic:pic>
              </a:graphicData>
            </a:graphic>
          </wp:anchor>
        </w:drawing>
        <w:drawing>
          <wp:anchor simplePos="0" relativeHeight="251657728" behindDoc="1" locked="0" layoutInCell="0" allowOverlap="1">
            <wp:simplePos x="0" y="0"/>
            <wp:positionH relativeFrom="column">
              <wp:posOffset>5779770</wp:posOffset>
            </wp:positionH>
            <wp:positionV relativeFrom="paragraph">
              <wp:posOffset>-162560</wp:posOffset>
            </wp:positionV>
            <wp:extent cx="1225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255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COMMITMENTS AND CONTINGENT LIABILITIES</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w:t>
      </w:r>
    </w:p>
    <w:p>
      <w:pPr>
        <w:jc w:val="both"/>
        <w:spacing w:after="0" w:line="256" w:lineRule="auto"/>
        <w:rPr>
          <w:sz w:val="20"/>
          <w:szCs w:val="20"/>
          <w:color w:val="auto"/>
        </w:rPr>
      </w:pPr>
      <w:r>
        <w:rPr>
          <w:rFonts w:ascii="Times New Roman" w:cs="Times New Roman" w:eastAsia="Times New Roman" w:hAnsi="Times New Roman"/>
          <w:sz w:val="17"/>
          <w:szCs w:val="17"/>
          <w:color w:val="auto"/>
        </w:rPr>
        <w:t>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March 31, 2025, there were no material pending legal proceedings, claims or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 and Indemnification</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CAPITAL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The Share Repurchase Program will remain in effect until the total authorized dollar amount of shares is repurchased or August 1, 2026.</w:t>
      </w:r>
    </w:p>
    <w:p>
      <w:pPr>
        <w:spacing w:after="0" w:line="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three months ended March 31, 2025, the Company repurchased and retired an aggregate of 2,519,170 shares of its common stock for a total consideration of $7.0 million ($2.76 per share). As of March 31, 2025, $22.1 million remained available under the Share Repurchase Program.</w:t>
      </w:r>
    </w:p>
    <w:p>
      <w:pPr>
        <w:spacing w:after="0" w:line="4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program does not obligate the Company to repurchase any dollar amount or number of shares, and may be modified, suspended, or discontinued at any time at the Company’s discretion without prior notice. All shares repurchased will be retired.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SHARE-BASED COMPENSATION</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spacing w:after="0" w:line="16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All stock-based awards are measured based on the grant date fair value and are generally recognized on a straight-line basis in the Company’s condensed consolidated statements of income over the requisite service period (generally requiring a four-year vesting period).</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following table sets forth the total share-based compensation expense related to stock options and restricted stock units included in the respective components of operating expenses in the condensed consolidated statements of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80" w:type="dxa"/>
            <w:vAlign w:val="bottom"/>
          </w:tcPr>
          <w:p>
            <w:pPr>
              <w:spacing w:after="0"/>
              <w:rPr>
                <w:sz w:val="11"/>
                <w:szCs w:val="11"/>
                <w:color w:val="auto"/>
              </w:rPr>
            </w:pPr>
          </w:p>
        </w:tc>
        <w:tc>
          <w:tcPr>
            <w:tcW w:w="1260" w:type="dxa"/>
            <w:vAlign w:val="bottom"/>
          </w:tcPr>
          <w:p>
            <w:pPr>
              <w:jc w:val="right"/>
              <w:ind w:right="187"/>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1"/>
                <w:szCs w:val="11"/>
                <w:color w:val="auto"/>
              </w:rPr>
            </w:pPr>
          </w:p>
        </w:tc>
        <w:tc>
          <w:tcPr>
            <w:tcW w:w="1540" w:type="dxa"/>
            <w:vAlign w:val="bottom"/>
            <w:gridSpan w:val="2"/>
          </w:tcPr>
          <w:p>
            <w:pPr>
              <w:jc w:val="right"/>
              <w:ind w:right="163"/>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10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1260" w:type="dxa"/>
            <w:vAlign w:val="bottom"/>
            <w:tcBorders>
              <w:top w:val="single" w:sz="8" w:color="auto"/>
            </w:tcBorders>
          </w:tcPr>
          <w:p>
            <w:pPr>
              <w:jc w:val="right"/>
              <w:ind w:right="27"/>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Borders>
              <w:top w:val="single" w:sz="8" w:color="auto"/>
            </w:tcBorders>
          </w:tcPr>
          <w:p>
            <w:pPr>
              <w:jc w:val="right"/>
              <w:ind w:right="23"/>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540" w:type="dxa"/>
            <w:vAlign w:val="bottom"/>
            <w:gridSpan w:val="2"/>
            <w:shd w:val="clear" w:color="auto" w:fill="CFF0FC"/>
          </w:tcPr>
          <w:p>
            <w:pPr>
              <w:jc w:val="right"/>
              <w:ind w:right="110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540" w:type="dxa"/>
            <w:vAlign w:val="bottom"/>
            <w:gridSpan w:val="2"/>
            <w:shd w:val="clear" w:color="auto" w:fill="CFF0FC"/>
          </w:tcPr>
          <w:p>
            <w:pPr>
              <w:jc w:val="right"/>
              <w:ind w:right="108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Clinical operations, net</w:t>
            </w:r>
          </w:p>
        </w:tc>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3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2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10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3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08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5796280</wp:posOffset>
            </wp:positionH>
            <wp:positionV relativeFrom="paragraph">
              <wp:posOffset>-24130</wp:posOffset>
            </wp:positionV>
            <wp:extent cx="736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-7620</wp:posOffset>
            </wp:positionV>
            <wp:extent cx="736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-24130</wp:posOffset>
            </wp:positionV>
            <wp:extent cx="654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-7620</wp:posOffset>
            </wp:positionV>
            <wp:extent cx="654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NET INCOME (LOSS) PER SHARE</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basic net loss per share is calculated by dividing net loss attributable to ordinary shareholders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stock method or the if-converted method based on the nature of such securities. Diluted net loss per share is the same as basic net loss per share in periods when the effects of potentially dilutive shares of common stock are anti-dilutive.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(loss) per share attributable to common stockholders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8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34"/>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number of shares and per share amounts)</w:t>
            </w:r>
          </w:p>
        </w:tc>
        <w:tc>
          <w:tcPr>
            <w:tcW w:w="36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tcPr>
          <w:p>
            <w:pPr>
              <w:jc w:val="right"/>
              <w:ind w:right="700"/>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tcPr>
          <w:p>
            <w:pPr>
              <w:jc w:val="right"/>
              <w:ind w:right="699"/>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Pr>
          <w:p>
            <w:pPr>
              <w:jc w:val="right"/>
              <w:ind w:right="560"/>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Pr>
          <w:p>
            <w:pPr>
              <w:jc w:val="right"/>
              <w:ind w:right="559"/>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(1,466)</w:t>
            </w:r>
          </w:p>
        </w:tc>
        <w:tc>
          <w:tcPr>
            <w:tcW w:w="0" w:type="dxa"/>
            <w:vAlign w:val="bottom"/>
          </w:tcPr>
          <w:p>
            <w:pPr>
              <w:spacing w:after="0"/>
              <w:rPr>
                <w:sz w:val="1"/>
                <w:szCs w:val="1"/>
                <w:color w:val="auto"/>
              </w:rPr>
            </w:pPr>
          </w:p>
        </w:tc>
      </w:tr>
      <w:tr>
        <w:trPr>
          <w:trHeight w:val="205"/>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used to compute net income (loss) per share: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168,670,861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168,846,946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Dilutive effect of share-based awards</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6,875,026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175,545,887</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168,846,946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per share: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22"/>
        </w:trPr>
        <w:tc>
          <w:tcPr>
            <w:tcW w:w="7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months ended March 31, 2025, the shares underlying the following were excluded from the calculation of diluted net income per share since each would have had an anti-dilutive effect: 724,423 stock options, 11,255 restricted stock units, 12,757,500 Private Placement Warrants and 20,722,500 Public Warrants to purchase the Company’s common stock.</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months ended March 31, 2024, the shares underlying the following were excluded from the calculation of diluted net loss per share since each would have had an anti-dilutive effect giving the Company's net loss: 10,957,900 stock options, 9,650,229 restricted stock units, 12,780,000 Private Placement Warrants and 20,700,000 Public Warrants to purchase the Company’s common stock.</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ACCRUED EXPENSES AND OTHER CURRENT LIABILITIES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amounts included within accrued expenses and other current liabilities as of March 31, 2025 and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4"/>
                <w:szCs w:val="14"/>
                <w:color w:val="auto"/>
              </w:rPr>
            </w:pPr>
          </w:p>
        </w:tc>
        <w:tc>
          <w:tcPr>
            <w:tcW w:w="17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34"/>
        </w:trPr>
        <w:tc>
          <w:tcPr>
            <w:tcW w:w="6700" w:type="dxa"/>
            <w:vAlign w:val="bottom"/>
            <w:gridSpan w:val="2"/>
            <w:vMerge w:val="continue"/>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right"/>
              <w:ind w:right="679"/>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Employee compensation</w:t>
            </w:r>
          </w:p>
        </w:tc>
        <w:tc>
          <w:tcPr>
            <w:tcW w:w="3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60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5,144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User acquisition</w:t>
            </w:r>
          </w:p>
        </w:tc>
        <w:tc>
          <w:tcPr>
            <w:tcW w:w="3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340" w:type="dxa"/>
            <w:vAlign w:val="bottom"/>
            <w:shd w:val="clear" w:color="auto" w:fill="CFF0FC"/>
          </w:tcPr>
          <w:p>
            <w:pPr>
              <w:spacing w:after="0"/>
              <w:rPr>
                <w:sz w:val="17"/>
                <w:szCs w:val="17"/>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912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Severance</w:t>
            </w:r>
          </w:p>
        </w:tc>
        <w:tc>
          <w:tcPr>
            <w:tcW w:w="3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shd w:val="clear" w:color="auto" w:fill="CFF0FC"/>
          </w:tcPr>
          <w:p>
            <w:pPr>
              <w:spacing w:after="0"/>
              <w:rPr>
                <w:sz w:val="17"/>
                <w:szCs w:val="17"/>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1,645</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1,233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4,744</w:t>
            </w:r>
          </w:p>
        </w:tc>
        <w:tc>
          <w:tcPr>
            <w:tcW w:w="320" w:type="dxa"/>
            <w:vAlign w:val="bottom"/>
          </w:tcPr>
          <w:p>
            <w:pPr>
              <w:spacing w:after="0"/>
              <w:rPr>
                <w:sz w:val="17"/>
                <w:szCs w:val="17"/>
                <w:color w:val="auto"/>
              </w:rPr>
            </w:pP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-162560</wp:posOffset>
            </wp:positionV>
            <wp:extent cx="736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-162560</wp:posOffset>
            </wp:positionV>
            <wp:extent cx="654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VARIABLE INTEREST ENTITIES ("VIEs")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holds a variable interest in Talkspace Provider Network, PA (“TPN”) and seven affiliated professional corporations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 TPN and the PC entities are considered VIEs.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Company has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36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following table details the assets and liabilities of the VIEs as of March 31, 2025 and December 31, 2024. The assets and liabilities in the table below are presented prior to consolidation and thus a portion of these assets and liabilities are eliminated in consolidation.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34"/>
        </w:trPr>
        <w:tc>
          <w:tcPr>
            <w:tcW w:w="434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right"/>
              <w:ind w:right="539"/>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ASSETS</w:t>
            </w:r>
          </w:p>
        </w:tc>
        <w:tc>
          <w:tcPr>
            <w:tcW w:w="2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2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10,524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6,743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29,927</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27,861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tcBorders>
              <w:top w:val="single" w:sz="8" w:color="CFF0FC"/>
            </w:tcBorders>
          </w:tcPr>
          <w:p>
            <w:pPr>
              <w:spacing w:after="0" w:line="184" w:lineRule="exact"/>
              <w:rPr>
                <w:sz w:val="20"/>
                <w:szCs w:val="20"/>
                <w:color w:val="auto"/>
              </w:rPr>
            </w:pPr>
            <w:r>
              <w:rPr>
                <w:rFonts w:ascii="Times New Roman" w:cs="Times New Roman" w:eastAsia="Times New Roman" w:hAnsi="Times New Roman"/>
                <w:sz w:val="17"/>
                <w:szCs w:val="17"/>
                <w:color w:val="auto"/>
              </w:rPr>
              <w:t>LIABILITIES</w:t>
            </w:r>
          </w:p>
        </w:tc>
        <w:tc>
          <w:tcPr>
            <w:tcW w:w="29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9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3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2,886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920" w:type="dxa"/>
            <w:vAlign w:val="bottom"/>
            <w:vMerge w:val="restart"/>
          </w:tcPr>
          <w:p>
            <w:pPr>
              <w:jc w:val="right"/>
              <w:ind w:right="1474"/>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20" w:type="dxa"/>
            <w:vAlign w:val="bottom"/>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-1246505</wp:posOffset>
            </wp:positionV>
            <wp:extent cx="654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-1229995</wp:posOffset>
            </wp:positionV>
            <wp:extent cx="654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7067550</wp:posOffset>
            </wp:positionH>
            <wp:positionV relativeFrom="paragraph">
              <wp:posOffset>-1246505</wp:posOffset>
            </wp:positionV>
            <wp:extent cx="736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7067550</wp:posOffset>
            </wp:positionH>
            <wp:positionV relativeFrom="paragraph">
              <wp:posOffset>-1229995</wp:posOffset>
            </wp:positionV>
            <wp:extent cx="736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-960755</wp:posOffset>
            </wp:positionV>
            <wp:extent cx="654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7067550</wp:posOffset>
            </wp:positionH>
            <wp:positionV relativeFrom="paragraph">
              <wp:posOffset>-960755</wp:posOffset>
            </wp:positionV>
            <wp:extent cx="736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as to “Talkspace,” the “Company,” “we,” “us” or “our” refer to the business of Talkspace, Inc. and its consolidated subsidiaries.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2024.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2024 and “Forward-Looking Statements” sections and elsewhere in this Quarterly Report, our actual results may differ materially from those anticipated in these forward-looking statements.</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purpose of this section is to discuss and analyze our consolidated financial condition, liquidity and capital resources and results of operations for the three months ended March 31, 2025 and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Talkspace is a healthcare company offering its members convenient and affordable access to a fully-credentialed network of highly qualified providers. We are a leading virtual behavioral health company connecting millions of patients with licensed mental health providers across a wide and growing spectrum of care through virtual psychotherapy and psychiatry. We created a purpose-built platform to address the vast, unmet and growing demand for mental health services of our members. Through its platform, Talkspace serves:</w:t>
      </w:r>
    </w:p>
    <w:p>
      <w:pPr>
        <w:spacing w:after="0" w:line="67" w:lineRule="exact"/>
        <w:rPr>
          <w:sz w:val="20"/>
          <w:szCs w:val="20"/>
          <w:color w:val="auto"/>
        </w:rPr>
      </w:pPr>
    </w:p>
    <w:p>
      <w:pPr>
        <w:ind w:left="1020" w:hanging="508"/>
        <w:spacing w:after="0" w:line="285"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plans (commercial and government) and employee assistance programs (“Payor”), who offer their insured members access to the Company's platform at in-network reimbursement rates,</w:t>
      </w:r>
    </w:p>
    <w:p>
      <w:pPr>
        <w:spacing w:after="0" w:line="49" w:lineRule="exact"/>
        <w:rPr>
          <w:rFonts w:ascii="Times New Roman" w:cs="Times New Roman" w:eastAsia="Times New Roman" w:hAnsi="Times New Roman"/>
          <w:sz w:val="17"/>
          <w:szCs w:val="17"/>
          <w:color w:val="auto"/>
        </w:rPr>
      </w:pPr>
    </w:p>
    <w:p>
      <w:pPr>
        <w:ind w:left="1020" w:hanging="508"/>
        <w:spacing w:after="0" w:line="285"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Direct-to-Enterprise (“DTE”), comprised of enterprises, who offer their enterprise members access to the Company's platform while their enterprise is under an active contract with Talkspace, and</w:t>
      </w:r>
    </w:p>
    <w:p>
      <w:pPr>
        <w:spacing w:after="0" w:line="49" w:lineRule="exact"/>
        <w:rPr>
          <w:rFonts w:ascii="Times New Roman" w:cs="Times New Roman" w:eastAsia="Times New Roman" w:hAnsi="Times New Roman"/>
          <w:sz w:val="17"/>
          <w:szCs w:val="17"/>
          <w:color w:val="auto"/>
        </w:rPr>
      </w:pPr>
    </w:p>
    <w:p>
      <w:pPr>
        <w:ind w:left="1020" w:hanging="508"/>
        <w:spacing w:after="0"/>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subscribers (“Consumer”) who subscribe directly to the Company's platform.</w:t>
      </w:r>
    </w:p>
    <w:p>
      <w:pPr>
        <w:spacing w:after="0" w:line="3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months ended March 31, 2025, our clinicians completed 350,000 sessions, related to members covered under our Payor customers, compared to 284,200 completed sessions, for the three months ended March 31, 2024. As of March 31, 2025, we had over 6,900 Consumer active members compared to 11,100 Consumer active members as of March 31, 2024. Please refer to the “Key Business Metrics” section below for a description of Consumer active members.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 and Economic Conditions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demand for our solution is dependent on the general economy, which is in turn affected by geopolitical conditions, the stability of the global credit markets, inflationary pressures, higher interest rates, the industries in which our Payor and DTE customers operate or serve, and other factors. Downturns in the general economy could disproportionately affect the demand for our solution and cause it to decrease.</w:t>
      </w:r>
    </w:p>
    <w:p>
      <w:pPr>
        <w:spacing w:after="0" w:line="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operations could also be impacted by inflation and higher interest rates. Inflation did not have a material effect on our business, financial condition or results of operations for the three months ended March 31, 2025 and 2024.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Segments</w:t>
      </w:r>
    </w:p>
    <w:p>
      <w:pPr>
        <w:spacing w:after="0" w:line="11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operates as a single segment, which is how the chief operating decision maker (“CODM”), who is the Chief Executive Officer, reviews financial performance and allocates resources.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20" w:type="dxa"/>
            <w:vAlign w:val="bottom"/>
          </w:tcPr>
          <w:p>
            <w:pPr>
              <w:spacing w:after="0"/>
              <w:rPr>
                <w:sz w:val="14"/>
                <w:szCs w:val="14"/>
                <w:color w:val="auto"/>
              </w:rPr>
            </w:pPr>
          </w:p>
        </w:tc>
        <w:tc>
          <w:tcPr>
            <w:tcW w:w="30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1200" w:type="dxa"/>
            <w:vAlign w:val="bottom"/>
          </w:tcPr>
          <w:p>
            <w:pPr>
              <w:jc w:val="center"/>
              <w:ind w:left="412"/>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60" w:type="dxa"/>
            <w:vAlign w:val="bottom"/>
            <w:gridSpan w:val="3"/>
          </w:tcPr>
          <w:p>
            <w:pPr>
              <w:jc w:val="center"/>
              <w:ind w:left="1019"/>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720" w:type="dxa"/>
            <w:vAlign w:val="bottom"/>
            <w:vMerge w:val="continue"/>
          </w:tcPr>
          <w:p>
            <w:pPr>
              <w:spacing w:after="0"/>
              <w:rPr>
                <w:sz w:val="11"/>
                <w:szCs w:val="11"/>
                <w:color w:val="auto"/>
              </w:rPr>
            </w:pPr>
          </w:p>
        </w:tc>
        <w:tc>
          <w:tcPr>
            <w:tcW w:w="1200" w:type="dxa"/>
            <w:vAlign w:val="bottom"/>
            <w:tcBorders>
              <w:top w:val="single" w:sz="8" w:color="auto"/>
            </w:tcBorders>
          </w:tcPr>
          <w:p>
            <w:pPr>
              <w:jc w:val="center"/>
              <w:ind w:left="392"/>
              <w:spacing w:after="0" w:line="134"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top w:val="single" w:sz="8" w:color="auto"/>
            </w:tcBorders>
          </w:tcPr>
          <w:p>
            <w:pPr>
              <w:jc w:val="center"/>
              <w:ind w:left="392"/>
              <w:spacing w:after="0" w:line="134"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Number of completed Payor sessions during the period</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284.2</w:t>
            </w:r>
          </w:p>
        </w:tc>
        <w:tc>
          <w:tcPr>
            <w:tcW w:w="0" w:type="dxa"/>
            <w:vAlign w:val="bottom"/>
          </w:tcPr>
          <w:p>
            <w:pPr>
              <w:spacing w:after="0"/>
              <w:rPr>
                <w:sz w:val="1"/>
                <w:szCs w:val="1"/>
                <w:color w:val="auto"/>
              </w:rPr>
            </w:pPr>
          </w:p>
        </w:tc>
      </w:tr>
      <w:tr>
        <w:trPr>
          <w:trHeight w:val="205"/>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Number of health plan customers at period end</w:t>
            </w:r>
          </w:p>
        </w:tc>
        <w:tc>
          <w:tcPr>
            <w:tcW w:w="1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Number of enterprise customers at period end</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05"/>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Number of Consumer active members at period end</w:t>
            </w:r>
          </w:p>
        </w:tc>
        <w:tc>
          <w:tcPr>
            <w:tcW w:w="1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spacing w:after="0"/>
              <w:rPr>
                <w:sz w:val="16"/>
                <w:szCs w:val="16"/>
                <w:color w:val="auto"/>
              </w:rPr>
            </w:pPr>
          </w:p>
        </w:tc>
        <w:tc>
          <w:tcPr>
            <w:tcW w:w="30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60" w:type="dxa"/>
            <w:vAlign w:val="bottom"/>
            <w:gridSpan w:val="3"/>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720" w:type="dxa"/>
            <w:vAlign w:val="bottom"/>
            <w:vMerge w:val="continue"/>
          </w:tcPr>
          <w:p>
            <w:pPr>
              <w:spacing w:after="0"/>
              <w:rPr>
                <w:sz w:val="12"/>
                <w:szCs w:val="12"/>
                <w:color w:val="auto"/>
              </w:rPr>
            </w:pPr>
          </w:p>
        </w:tc>
        <w:tc>
          <w:tcPr>
            <w:tcW w:w="1200" w:type="dxa"/>
            <w:vAlign w:val="bottom"/>
            <w:tcBorders>
              <w:top w:val="single" w:sz="8" w:color="auto"/>
            </w:tcBorders>
            <w:vMerge w:val="restart"/>
          </w:tcPr>
          <w:p>
            <w:pPr>
              <w:jc w:val="center"/>
              <w:ind w:left="392"/>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vMerge w:val="restart"/>
          </w:tcPr>
          <w:p>
            <w:pPr>
              <w:jc w:val="center"/>
              <w:ind w:left="392"/>
              <w:spacing w:after="0"/>
              <w:rPr>
                <w:sz w:val="20"/>
                <w:szCs w:val="20"/>
                <w:color w:val="auto"/>
              </w:rPr>
            </w:pPr>
            <w:r>
              <w:rPr>
                <w:rFonts w:ascii="Times New Roman" w:cs="Times New Roman" w:eastAsia="Times New Roman" w:hAnsi="Times New Roman"/>
                <w:sz w:val="14"/>
                <w:szCs w:val="14"/>
                <w:i w:val="1"/>
                <w:iCs w:val="1"/>
                <w:color w:val="auto"/>
                <w:w w:val="98"/>
              </w:rPr>
              <w:t>Unaudited</w:t>
            </w: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77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Unique Payor active members during the period</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Active Members: </w:t>
      </w:r>
      <w:r>
        <w:rPr>
          <w:rFonts w:ascii="Times New Roman" w:cs="Times New Roman" w:eastAsia="Times New Roman" w:hAnsi="Times New Roman"/>
          <w:sz w:val="17"/>
          <w:szCs w:val="17"/>
          <w:color w:val="auto"/>
        </w:rPr>
        <w:t>We consider consumer members “active” commencing on the date such member initiates contact with a provider on our platform until the term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their monthly, quarterly or bi-annual subscription plan expires, unless terminated early.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Unique Payor Active Members: </w:t>
      </w:r>
      <w:r>
        <w:rPr>
          <w:rFonts w:ascii="Times New Roman" w:cs="Times New Roman" w:eastAsia="Times New Roman" w:hAnsi="Times New Roman"/>
          <w:sz w:val="17"/>
          <w:szCs w:val="17"/>
          <w:color w:val="auto"/>
        </w:rPr>
        <w:t>Represents unique users who had a session completed during the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generate revenues from services provided to individuals who are qualified to receive access to the Company's services through our commercial arrangements with health insurance plans, employee assistance organizations and enterprises. We also generate revenues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growth is generated from a combination of increasing utilization within our Payor members and expanding enterprise customers.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Cost of revenues is comprised primarily of therapist payments. Cost of revenues is largely driven by the number of sessions and the size of our provider network that is required to service the growth of our Payor and DTE customers, in addition to the growth of our customer base.</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 consist of research and development, clinical operations, sales and marketing, and general and administrative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Operations Expenses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Sales expenses consist primarily of employee-related expenses, including salaries, benefits, commissions, travel and stock-based compensation costs for our employees engaged in sales and account management.</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customers to generate greater awareness and utilization of our platform among our Payor and DTE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costs, including salaries, benefits, bonuses and stock-based compensation expense for certain executives, finance, accounting, legal and human resources functions, as well as professional fees.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income, net</w:t>
      </w:r>
    </w:p>
    <w:p>
      <w:pPr>
        <w:spacing w:after="0" w:line="168"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7"/>
          <w:szCs w:val="17"/>
          <w:color w:val="auto"/>
        </w:rPr>
        <w:t>Financial income, net includes the impact from (i) interest earned in investments in marketable securities and other highly liquid investments, (ii) non-cash changes in the fair value of our warrant liabilities, and (iii) other financial expenses in connection with bank charges.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Taxes on income</w:t>
      </w:r>
    </w:p>
    <w:p>
      <w:pPr>
        <w:spacing w:after="0" w:line="16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Taxes on income consists of U.S. income taxes related to income generated by our U.S. subsidiary and foreign income taxes related to income generated by our subsidiary organized under the laws of Israel. Taxes on income were immaterial for the three months ended March 31, 2025 and 2024.</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following table presents our results of operations for the three months ended March 31, 2025 and 2024 and the dollar and percentage change between the respective periods: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4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34"/>
        </w:trPr>
        <w:tc>
          <w:tcPr>
            <w:tcW w:w="3960" w:type="dxa"/>
            <w:vAlign w:val="bottom"/>
            <w:vMerge w:val="continue"/>
          </w:tcPr>
          <w:p>
            <w:pPr>
              <w:spacing w:after="0"/>
              <w:rPr>
                <w:sz w:val="11"/>
                <w:szCs w:val="11"/>
                <w:color w:val="auto"/>
              </w:rPr>
            </w:pPr>
          </w:p>
        </w:tc>
        <w:tc>
          <w:tcPr>
            <w:tcW w:w="1380" w:type="dxa"/>
            <w:vAlign w:val="bottom"/>
            <w:tcBorders>
              <w:top w:val="single" w:sz="8" w:color="auto"/>
              <w:bottom w:val="single" w:sz="8" w:color="auto"/>
            </w:tcBorders>
          </w:tcPr>
          <w:p>
            <w:pPr>
              <w:jc w:val="right"/>
              <w:ind w:right="236"/>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232"/>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5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452"/>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Payor revenue</w:t>
            </w:r>
          </w:p>
        </w:tc>
        <w:tc>
          <w:tcPr>
            <w:tcW w:w="1380" w:type="dxa"/>
            <w:vAlign w:val="bottom"/>
          </w:tcPr>
          <w:p>
            <w:pPr>
              <w:jc w:val="right"/>
              <w:ind w:right="125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37,842</w:t>
            </w:r>
          </w:p>
        </w:tc>
        <w:tc>
          <w:tcPr>
            <w:tcW w:w="320" w:type="dxa"/>
            <w:vAlign w:val="bottom"/>
          </w:tcPr>
          <w:p>
            <w:pPr>
              <w:spacing w:after="0"/>
              <w:rPr>
                <w:sz w:val="14"/>
                <w:szCs w:val="14"/>
                <w:color w:val="auto"/>
              </w:rPr>
            </w:pP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9,334</w:t>
            </w: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ind w:left="100"/>
              <w:spacing w:after="0" w:line="141" w:lineRule="exact"/>
              <w:rPr>
                <w:sz w:val="20"/>
                <w:szCs w:val="20"/>
                <w:color w:val="auto"/>
              </w:rPr>
            </w:pPr>
            <w:r>
              <w:rPr>
                <w:rFonts w:ascii="Times New Roman" w:cs="Times New Roman" w:eastAsia="Times New Roman" w:hAnsi="Times New Roman"/>
                <w:sz w:val="14"/>
                <w:szCs w:val="14"/>
                <w:color w:val="auto"/>
              </w:rPr>
              <w:t>DTE revenue</w:t>
            </w:r>
          </w:p>
        </w:tc>
        <w:tc>
          <w:tcPr>
            <w:tcW w:w="13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9,583</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9,913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(330)</w:t>
            </w:r>
          </w:p>
        </w:tc>
        <w:tc>
          <w:tcPr>
            <w:tcW w:w="1280" w:type="dxa"/>
            <w:vAlign w:val="bottom"/>
            <w:gridSpan w:val="2"/>
            <w:shd w:val="clear" w:color="auto" w:fill="CFF0FC"/>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1"/>
        </w:trPr>
        <w:tc>
          <w:tcPr>
            <w:tcW w:w="39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Consumer revenue</w:t>
            </w:r>
          </w:p>
        </w:tc>
        <w:tc>
          <w:tcPr>
            <w:tcW w:w="13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4,757</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6,995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(2,238)</w:t>
            </w:r>
          </w:p>
        </w:tc>
        <w:tc>
          <w:tcPr>
            <w:tcW w:w="128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Total revenue</w:t>
            </w:r>
          </w:p>
        </w:tc>
        <w:tc>
          <w:tcPr>
            <w:tcW w:w="13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52,182</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45,416</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6,766</w:t>
            </w:r>
          </w:p>
        </w:tc>
        <w:tc>
          <w:tcPr>
            <w:tcW w:w="2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Cost of revenue</w:t>
            </w:r>
          </w:p>
        </w:tc>
        <w:tc>
          <w:tcPr>
            <w:tcW w:w="13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28,901</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23,685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5,216</w:t>
            </w:r>
          </w:p>
        </w:tc>
        <w:tc>
          <w:tcPr>
            <w:tcW w:w="260" w:type="dxa"/>
            <w:vAlign w:val="bottom"/>
          </w:tcPr>
          <w:p>
            <w:pPr>
              <w:spacing w:after="0"/>
              <w:rPr>
                <w:sz w:val="12"/>
                <w:szCs w:val="12"/>
                <w:color w:val="auto"/>
              </w:rPr>
            </w:pPr>
          </w:p>
        </w:tc>
        <w:tc>
          <w:tcPr>
            <w:tcW w:w="1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Gross profit</w:t>
            </w:r>
          </w:p>
        </w:tc>
        <w:tc>
          <w:tcPr>
            <w:tcW w:w="13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23,281</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21,731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1,550</w:t>
            </w:r>
          </w:p>
        </w:tc>
        <w:tc>
          <w:tcPr>
            <w:tcW w:w="2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Operating expenses:</w:t>
            </w: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ind w:left="100"/>
              <w:spacing w:after="0" w:line="141" w:lineRule="exact"/>
              <w:rPr>
                <w:sz w:val="20"/>
                <w:szCs w:val="20"/>
                <w:color w:val="auto"/>
              </w:rPr>
            </w:pPr>
            <w:r>
              <w:rPr>
                <w:rFonts w:ascii="Times New Roman" w:cs="Times New Roman" w:eastAsia="Times New Roman" w:hAnsi="Times New Roman"/>
                <w:sz w:val="14"/>
                <w:szCs w:val="14"/>
                <w:color w:val="auto"/>
              </w:rPr>
              <w:t>Research and development</w:t>
            </w:r>
          </w:p>
        </w:tc>
        <w:tc>
          <w:tcPr>
            <w:tcW w:w="13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3,319</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3,739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(420)</w:t>
            </w:r>
          </w:p>
        </w:tc>
        <w:tc>
          <w:tcPr>
            <w:tcW w:w="1280" w:type="dxa"/>
            <w:vAlign w:val="bottom"/>
            <w:gridSpan w:val="2"/>
            <w:shd w:val="clear" w:color="auto" w:fill="CFF0FC"/>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1"/>
        </w:trPr>
        <w:tc>
          <w:tcPr>
            <w:tcW w:w="39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Clinical operations, net</w:t>
            </w:r>
          </w:p>
        </w:tc>
        <w:tc>
          <w:tcPr>
            <w:tcW w:w="13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1,856</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1,464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392</w:t>
            </w:r>
          </w:p>
        </w:tc>
        <w:tc>
          <w:tcPr>
            <w:tcW w:w="260" w:type="dxa"/>
            <w:vAlign w:val="bottom"/>
          </w:tcPr>
          <w:p>
            <w:pPr>
              <w:spacing w:after="0"/>
              <w:rPr>
                <w:sz w:val="12"/>
                <w:szCs w:val="12"/>
                <w:color w:val="auto"/>
              </w:rPr>
            </w:pPr>
          </w:p>
        </w:tc>
        <w:tc>
          <w:tcPr>
            <w:tcW w:w="1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ind w:left="100"/>
              <w:spacing w:after="0" w:line="141" w:lineRule="exact"/>
              <w:rPr>
                <w:sz w:val="20"/>
                <w:szCs w:val="20"/>
                <w:color w:val="auto"/>
              </w:rPr>
            </w:pPr>
            <w:r>
              <w:rPr>
                <w:rFonts w:ascii="Times New Roman" w:cs="Times New Roman" w:eastAsia="Times New Roman" w:hAnsi="Times New Roman"/>
                <w:sz w:val="14"/>
                <w:szCs w:val="14"/>
                <w:color w:val="auto"/>
              </w:rPr>
              <w:t>Sales and marketing</w:t>
            </w:r>
          </w:p>
        </w:tc>
        <w:tc>
          <w:tcPr>
            <w:tcW w:w="13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13,984</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13,009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975</w:t>
            </w:r>
          </w:p>
        </w:tc>
        <w:tc>
          <w:tcPr>
            <w:tcW w:w="2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General and administrative</w:t>
            </w:r>
          </w:p>
        </w:tc>
        <w:tc>
          <w:tcPr>
            <w:tcW w:w="13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5,207</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5,198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tcPr>
          <w:p>
            <w:pPr>
              <w:spacing w:after="0"/>
              <w:rPr>
                <w:sz w:val="12"/>
                <w:szCs w:val="12"/>
                <w:color w:val="auto"/>
              </w:rPr>
            </w:pPr>
          </w:p>
        </w:tc>
        <w:tc>
          <w:tcPr>
            <w:tcW w:w="1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Total operating expenses</w:t>
            </w:r>
          </w:p>
        </w:tc>
        <w:tc>
          <w:tcPr>
            <w:tcW w:w="13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24,366</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23,410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956</w:t>
            </w:r>
          </w:p>
        </w:tc>
        <w:tc>
          <w:tcPr>
            <w:tcW w:w="2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380" w:type="dxa"/>
            <w:vAlign w:val="bottom"/>
          </w:tcPr>
          <w:p>
            <w:pPr>
              <w:spacing w:after="0"/>
              <w:rPr>
                <w:sz w:val="12"/>
                <w:szCs w:val="12"/>
                <w:color w:val="auto"/>
              </w:rPr>
            </w:pPr>
          </w:p>
        </w:tc>
        <w:tc>
          <w:tcPr>
            <w:tcW w:w="860" w:type="dxa"/>
            <w:vAlign w:val="bottom"/>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color w:val="auto"/>
              </w:rPr>
              <w:t>(1,085)</w:t>
            </w:r>
          </w:p>
        </w:tc>
        <w:tc>
          <w:tcPr>
            <w:tcW w:w="140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(1,679)</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594</w:t>
            </w:r>
          </w:p>
        </w:tc>
        <w:tc>
          <w:tcPr>
            <w:tcW w:w="260" w:type="dxa"/>
            <w:vAlign w:val="bottom"/>
          </w:tcPr>
          <w:p>
            <w:pPr>
              <w:spacing w:after="0"/>
              <w:rPr>
                <w:sz w:val="12"/>
                <w:szCs w:val="12"/>
                <w:color w:val="auto"/>
              </w:rPr>
            </w:pPr>
          </w:p>
        </w:tc>
        <w:tc>
          <w:tcPr>
            <w:tcW w:w="1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Financial income, net</w:t>
            </w:r>
          </w:p>
        </w:tc>
        <w:tc>
          <w:tcPr>
            <w:tcW w:w="13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80"/>
              <w:spacing w:after="0" w:line="141" w:lineRule="exact"/>
              <w:rPr>
                <w:sz w:val="20"/>
                <w:szCs w:val="20"/>
                <w:color w:val="auto"/>
              </w:rPr>
            </w:pPr>
            <w:r>
              <w:rPr>
                <w:rFonts w:ascii="Times New Roman" w:cs="Times New Roman" w:eastAsia="Times New Roman" w:hAnsi="Times New Roman"/>
                <w:sz w:val="14"/>
                <w:szCs w:val="14"/>
                <w:color w:val="auto"/>
              </w:rPr>
              <w:t>(1,526)</w:t>
            </w:r>
          </w:p>
        </w:tc>
        <w:tc>
          <w:tcPr>
            <w:tcW w:w="14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(378)</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(1,148)</w:t>
            </w:r>
          </w:p>
        </w:tc>
        <w:tc>
          <w:tcPr>
            <w:tcW w:w="11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303.7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Income (loss) before taxes on income</w:t>
            </w:r>
          </w:p>
        </w:tc>
        <w:tc>
          <w:tcPr>
            <w:tcW w:w="13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441</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(1,301)</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1,742</w:t>
            </w:r>
          </w:p>
        </w:tc>
        <w:tc>
          <w:tcPr>
            <w:tcW w:w="260" w:type="dxa"/>
            <w:vAlign w:val="bottom"/>
          </w:tcPr>
          <w:p>
            <w:pPr>
              <w:spacing w:after="0"/>
              <w:rPr>
                <w:sz w:val="12"/>
                <w:szCs w:val="12"/>
                <w:color w:val="auto"/>
              </w:rPr>
            </w:pPr>
          </w:p>
        </w:tc>
        <w:tc>
          <w:tcPr>
            <w:tcW w:w="1180" w:type="dxa"/>
            <w:vAlign w:val="bottom"/>
          </w:tcPr>
          <w:p>
            <w:pPr>
              <w:jc w:val="right"/>
              <w:ind w:right="972"/>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Income tax expense</w:t>
            </w:r>
          </w:p>
        </w:tc>
        <w:tc>
          <w:tcPr>
            <w:tcW w:w="13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165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(42)</w:t>
            </w:r>
          </w:p>
        </w:tc>
        <w:tc>
          <w:tcPr>
            <w:tcW w:w="1280" w:type="dxa"/>
            <w:vAlign w:val="bottom"/>
            <w:gridSpan w:val="2"/>
            <w:shd w:val="clear" w:color="auto" w:fill="CFF0FC"/>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380" w:type="dxa"/>
            <w:vAlign w:val="bottom"/>
          </w:tcPr>
          <w:p>
            <w:pPr>
              <w:jc w:val="right"/>
              <w:ind w:right="125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320" w:type="dxa"/>
            <w:vAlign w:val="bottom"/>
          </w:tcPr>
          <w:p>
            <w:pPr>
              <w:spacing w:after="0"/>
              <w:rPr>
                <w:sz w:val="15"/>
                <w:szCs w:val="15"/>
                <w:color w:val="auto"/>
              </w:rPr>
            </w:pPr>
          </w:p>
        </w:tc>
        <w:tc>
          <w:tcPr>
            <w:tcW w:w="1400" w:type="dxa"/>
            <w:vAlign w:val="bottom"/>
          </w:tcPr>
          <w:p>
            <w:pPr>
              <w:jc w:val="right"/>
              <w:ind w:right="12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(1,466)</w:t>
            </w:r>
          </w:p>
        </w:tc>
        <w:tc>
          <w:tcPr>
            <w:tcW w:w="920" w:type="dxa"/>
            <w:vAlign w:val="bottom"/>
            <w:gridSpan w:val="2"/>
          </w:tcPr>
          <w:p>
            <w:pPr>
              <w:jc w:val="right"/>
              <w:ind w:right="632"/>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260" w:type="dxa"/>
            <w:vAlign w:val="bottom"/>
          </w:tcPr>
          <w:p>
            <w:pPr>
              <w:spacing w:after="0"/>
              <w:rPr>
                <w:sz w:val="15"/>
                <w:szCs w:val="15"/>
                <w:color w:val="auto"/>
              </w:rPr>
            </w:pPr>
          </w:p>
        </w:tc>
        <w:tc>
          <w:tcPr>
            <w:tcW w:w="1180" w:type="dxa"/>
            <w:vAlign w:val="bottom"/>
          </w:tcPr>
          <w:p>
            <w:pPr>
              <w:jc w:val="right"/>
              <w:ind w:right="9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Revenues increased by $6.8 million, or 14.9% to $52.2 million for the three months ended March 31, 2025 from $45.4 million for the three months ended March 31, 2024. The increase was principally due to a 32.7% increase in Payor revenue driven by a higher number of completed Payor sessions, partially offset by a 32.0% decline in Consumer revenue. Revenue from our Payor customers increased by $9.3 million, or 32.7%, to $37.8 million for the three months ended March 31, 2025 from $28.5 million for the three months ended March 31, 2024. Revenue from our DTE customers was $9.6 million for the three months ended March 31, 2025 compared to $9.9 million for the three months ended March 31, 2024. Consumer revenue decreased by $2.2 million, or 32.0%, to $4.8 million for the three months ended March 31, 2025 from $7.0 million for the three months ended March 31, 2024, due to the Company's intentional and strategic decision to optimize and focus marketing efforts on attracting Payor members. While we no longer have marketing resources dedicated solely to the Consumer category, it continues to have a positive contribution to our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of revenues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Cost of revenues increased by $5.2 million, or 22.0%, to $28.9 million for the three months ended March 31, 2025 from $23.7 million for the three months ended March 31, 2024. The increase in cost of revenues for the three months ended March 31, 2025, was primarily due to increased hours worked by therapists as a result of increased Payor sessions.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Gross profit increased by $1.6 million, or 7.1%, to $23.3 million for the three months ended March 31, 2025 from $21.7 million for the three months ended March 31, 2024. The increase in gross profit was primarily driven by an increase in the Company's revenues partially offset by an increase in cost of revenues to service more members and sessions.</w:t>
      </w:r>
    </w:p>
    <w:p>
      <w:pPr>
        <w:spacing w:after="0" w:line="11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Gross margin was 44.6% for the three months ended March 31, 2025, compared to 47.8% during the three months ended March 31, 2024. The decline in gross margin was driven by a shift in revenue mix towards Payor as Consumer sessions tend to provide higher margins.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Overall, operating expenses for the three months ended March 31, 2025 increased by $1.0 million or 4.1% to $24.4 million from $23.4 million for the three months ended March 31, 2024.</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decreased by $0.4 million, or 11.2%, to $3.3 million for the three months ended March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2025 from $3.7 million for the three months ended March 31, 2024. The decrease in research and development expenses for the three months ended March 31, 2025 was primarily due to a decrease in employee-related costs, inclusive of non-cash stock compensation expense, as a result of the exclusion of amounts reflected as capitalized internal-use software development costs. Capitalized internal-use software development costs were $2.2 million for the three months ended March 31, 2025 compared to $0.4 million for the three months ended March 31, 2024.</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Clinical operations expenses. </w:t>
      </w:r>
      <w:r>
        <w:rPr>
          <w:rFonts w:ascii="Times New Roman" w:cs="Times New Roman" w:eastAsia="Times New Roman" w:hAnsi="Times New Roman"/>
          <w:sz w:val="17"/>
          <w:szCs w:val="17"/>
          <w:color w:val="auto"/>
        </w:rPr>
        <w:t>Clinical operations expenses increased by $0.4 million, or 26.8% to $1.9 million for the three months ended March 31, 2025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$1.5 million for the three months ended March 31, 2024. The increase in clinical operations expenses for the three months ended March 31, 2025 was primarily due to an increase in employee-related costs, inclusive of non-cash stock compensation expense.</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Sales and marketing expenses. </w:t>
      </w:r>
      <w:r>
        <w:rPr>
          <w:rFonts w:ascii="Times New Roman" w:cs="Times New Roman" w:eastAsia="Times New Roman" w:hAnsi="Times New Roman"/>
          <w:sz w:val="17"/>
          <w:szCs w:val="17"/>
          <w:color w:val="auto"/>
        </w:rPr>
        <w:t>Sales and marketing expenses increased by $1.0 million, or 7.5%, to $14.0 million for the three months ended March 31, 2025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$13.0 million for the three months ended March 31, 2024. The increase in sales and marketing expenses for the three months ended March 31, 2025 was primarily driven by an increase in direct marketing and promotional costs.</w:t>
      </w:r>
    </w:p>
    <w:p>
      <w:pPr>
        <w:spacing w:after="0" w:line="15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remained relatively flat for the three months ended March 31, 2025 compared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March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income, net</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Financial income, net was $1.5 million for the three months ended March 31, 2025 compared to $0.4 million three months ended March 31, 2024. The increase in financial income, net was primarily due to interest income earned on the investments in marketable securities and other highly liquid investments partially offset by a decrease in non-cash losses resulting from the remeasurement of warrant liabilities.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 on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Taxes on income were immaterial for the three months ended March 31, 2025 and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(loss) and other GAAP results.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reconciliation is provided below for adjusted EBITDA to net income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calculate adjusted EBITDA as net loss income adjusted to exclude (i) depreciation and amortization, (ii) stock-based compensation expense, (iii) financial income, net, (iv) income tax expense, and (v) certain non-recurring expenses, where applicable.</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following table presents a reconciliation of adjusted EBITDA from the most comparable GAAP measure, net income (loss) for the three months ended March 31, 2025 and 2024:</w:t>
      </w:r>
    </w:p>
    <w:p>
      <w:pPr>
        <w:spacing w:after="0" w:line="142"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20"/>
        <w:spacing w:after="0" w:line="219"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112"/>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jc w:val="right"/>
              <w:ind w:right="578"/>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120" w:type="dxa"/>
            <w:vAlign w:val="bottom"/>
            <w:gridSpan w:val="2"/>
            <w:shd w:val="clear" w:color="auto" w:fill="CFF0FC"/>
          </w:tcPr>
          <w:p>
            <w:pPr>
              <w:jc w:val="right"/>
              <w:ind w:right="952"/>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Financial income, net</w:t>
            </w: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(1,526)</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Non-recurring expenses</w:t>
            </w:r>
          </w:p>
        </w:tc>
        <w:tc>
          <w:tcPr>
            <w:tcW w:w="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120" w:type="dxa"/>
            <w:vAlign w:val="bottom"/>
            <w:tcBorders>
              <w:bottom w:val="single" w:sz="8" w:color="auto"/>
            </w:tcBorders>
            <w:gridSpan w:val="2"/>
          </w:tcPr>
          <w:p>
            <w:pPr>
              <w:jc w:val="right"/>
              <w:ind w:right="952"/>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280" w:type="dxa"/>
            <w:vAlign w:val="bottom"/>
          </w:tcPr>
          <w:p>
            <w:pPr>
              <w:spacing w:after="0"/>
              <w:rPr>
                <w:sz w:val="17"/>
                <w:szCs w:val="17"/>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-162560</wp:posOffset>
            </wp:positionV>
            <wp:extent cx="654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-162560</wp:posOffset>
            </wp:positionV>
            <wp:extent cx="654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of March 31, 2025, we had $60.1 million of cash and cash equivalents ($76.7 million as of December 31, 2024), and $48.3 million in marketable securities ($41.1 million as of December 31, 2024) which we use to finance our operations and support a variety of growth initiatives and investments. We had no debt as of March 31, 2025.</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currently anticipate to be able to fund our cash needs for at least the next 12 months and thereafter for the foreseeable future using available cash and cash equivalent balances as of March 31, 2025.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total authorized dollar amount of shares is repurchased or August 1, 2026.</w:t>
      </w:r>
    </w:p>
    <w:p>
      <w:pPr>
        <w:spacing w:after="0" w:line="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three months ended March 31, 2025, the Company repurchased and canceled an aggregate of 2,519,170 shares of its common stock for a total consideration of $7.0 million ($2.76 per share). As of March 31, 2025, $22.1 million remained available under the Share Repurchase Program.</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Such repurchases may be completed periodically through various methods in compliance with applicable state and federal securities laws and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canceled. The program does not obligate the Company to repurchase any dollar amount or number of shares, and may be suspended or terminated at any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7, “Capital Stock” in the notes to the condensed consolidated financial statements for further details.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from Operating, Investing and Financing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summary condensed consolidated cash flow information for the periods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3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80"/>
        <w:spacing w:after="0" w:line="219"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Borders>
              <w:top w:val="single" w:sz="8" w:color="auto"/>
              <w:bottom w:val="single" w:sz="8" w:color="auto"/>
            </w:tcBorders>
          </w:tcPr>
          <w:p>
            <w:pPr>
              <w:jc w:val="right"/>
              <w:ind w:right="123"/>
              <w:spacing w:after="0" w:line="134"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tcPr>
          <w:p>
            <w:pPr>
              <w:jc w:val="right"/>
              <w:ind w:right="700"/>
              <w:spacing w:after="0" w:line="134"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100" w:type="dxa"/>
            <w:vAlign w:val="bottom"/>
            <w:gridSpan w:val="2"/>
            <w:vMerge w:val="continue"/>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tcPr>
          <w:p>
            <w:pPr>
              <w:jc w:val="center"/>
              <w:ind w:right="300"/>
              <w:spacing w:after="0" w:line="134" w:lineRule="exact"/>
              <w:rPr>
                <w:sz w:val="20"/>
                <w:szCs w:val="20"/>
                <w:color w:val="auto"/>
              </w:rPr>
            </w:pPr>
            <w:r>
              <w:rPr>
                <w:rFonts w:ascii="Times New Roman" w:cs="Times New Roman" w:eastAsia="Times New Roman" w:hAnsi="Times New Roman"/>
                <w:sz w:val="14"/>
                <w:szCs w:val="14"/>
                <w:i w:val="1"/>
                <w:iCs w:val="1"/>
                <w:color w:val="auto"/>
                <w:w w:val="98"/>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80" w:type="dxa"/>
            <w:vAlign w:val="bottom"/>
            <w:shd w:val="clear" w:color="auto" w:fill="CFF0FC"/>
          </w:tcPr>
          <w:p>
            <w:pPr>
              <w:jc w:val="right"/>
              <w:ind w:right="112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(1,239)</w:t>
            </w:r>
          </w:p>
        </w:tc>
        <w:tc>
          <w:tcPr>
            <w:tcW w:w="36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(3,391)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2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(9,019)</w:t>
            </w:r>
          </w:p>
        </w:tc>
        <w:tc>
          <w:tcPr>
            <w:tcW w:w="36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2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(6,357)</w:t>
            </w:r>
          </w:p>
        </w:tc>
        <w:tc>
          <w:tcPr>
            <w:tcW w:w="3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280" w:type="dxa"/>
            <w:vAlign w:val="bottom"/>
          </w:tcPr>
          <w:p>
            <w:pPr>
              <w:jc w:val="right"/>
              <w:ind w:right="112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(16,615)</w:t>
            </w: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5698490</wp:posOffset>
            </wp:positionH>
            <wp:positionV relativeFrom="paragraph">
              <wp:posOffset>-162560</wp:posOffset>
            </wp:positionV>
            <wp:extent cx="736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7075805</wp:posOffset>
            </wp:positionH>
            <wp:positionV relativeFrom="paragraph">
              <wp:posOffset>-162560</wp:posOffset>
            </wp:positionV>
            <wp:extent cx="654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decrease in net cash used in operating activities was driven primarily by positive cash flows from operations for the three months ended March 31, 2025, primarily due to net income for the three months ended March 31, 2025 compared to net loss for the three months ended March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increase in net cash used in investing activities was driven primarily by purchases of marketable securities and an increase in capitalized internal-use software development costs during the three months ended March 31, 2025 compared to March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increase in net cash used in financing activities was driven primarily by the purchase of outstanding shares of the Company’s common stock under the Share Repurchase Program during the three months ended March 31, 2025 compared to March 31, 2024.</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Commitments and Contingencies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As of March 31, 2025, we did not have any short-term or long-term debt, or significant long-term liabilities. As of March 31, 2025, we have a non-material long-term operating lease for our office space in New York, NY.</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As of March 31, 2025 there were no material legal proceedings, claims or litigation.</w:t>
      </w:r>
    </w:p>
    <w:p>
      <w:pPr>
        <w:spacing w:after="0" w:line="1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2024.</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accounting policies are essential to understanding and interpreting the financial results reported on the condensed consolidated financial statements. The significant accounting policies used in the preparation of the Company’s condensed consolidated financial statements are summarized in Note 2 to the audited consolidated financial statements in the Company’s Annual Report on Form 10-K for the year ended December 31, 2024.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7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three months ended March 31, 2025, there were no material changes to matters discussed under the heading “Critical Accounting Policies and Estimates” in Part II, Item 7 of the Company’s Annual Report on Form 10-K for the year ended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2024 and in Note 2, “Significant Accounting Policies” in the notes to the condensed consolidated financial statements of this Quarterly Report on Form 10-Q.</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and uncertainties. Many important factors could cause actual future events to differ materially from the forward-looking statements in this Quarterly Report, including but not limited to: (i) rapid technological change in our industry; (ii) our ability to secure clients' contract renewals; (iii) our ability to maintain and expand our network of therapists, psychiatrists and other providers;</w:t>
      </w:r>
    </w:p>
    <w:p>
      <w:pPr>
        <w:spacing w:after="0" w:line="1" w:lineRule="exact"/>
        <w:rPr>
          <w:sz w:val="20"/>
          <w:szCs w:val="20"/>
          <w:color w:val="auto"/>
        </w:rPr>
      </w:pPr>
    </w:p>
    <w:p>
      <w:pPr>
        <w:jc w:val="both"/>
        <w:ind w:firstLine="3"/>
        <w:spacing w:after="0" w:line="254" w:lineRule="auto"/>
        <w:tabs>
          <w:tab w:leader="none" w:pos="2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prevalence of enterprise-sponsored healthcare or the emergence of new technologies may adversely impact our DTE business; (v) if our or our vendors’ security measures fail or are breached; (vi) changes in healthcare laws, regulations or trends and our ability to operate in the heavily regulated healthcare industry; (vii) and the other factors, risks and uncertainties discussed in Part I, Item 1A, “Risk Factors” of the Company's Annual Report on Form 10-K for the fiscal year ended December 31, 2024 and subsequent quarterly reports on Form 10-Q, including this report.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You should read this Quarterly Report and the risk factors discussed in Part I, Item 1A, “Risk Factors” of the Company’s Annual Report on Form 10-K for the fiscal year ended December 31, 2024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the three months ended March 31, 2025, there were no material changes to the information contained in Part II, Item 7A of the Company’s Annual Report on Form 10-K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Based on an evaluation under the supervision and with the participation of the Company's management, the Company's Chief Executive Officer and Chief Financial Officer have concluded that the Company's disclosure controls and procedures (as defined in Exchange Act Rules 13a-15(e) and 15d-15(e)) were effective as of March 31, 2025 to provide reasonable assurance that information required to be disclosed by the Company in reports filed or submitted under the Exchange Act is</w:t>
      </w:r>
    </w:p>
    <w:p>
      <w:pPr>
        <w:jc w:val="both"/>
        <w:ind w:firstLine="3"/>
        <w:spacing w:after="0" w:line="258" w:lineRule="auto"/>
        <w:tabs>
          <w:tab w:leader="none" w:pos="2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6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There were no changes in the Company's internal controls over financial reporting (as defined in Rules 13a-15(f) and 15d-15(f) of the Exchange Act) during the first quarter of 2025 that have materially affected, or are reasonably likely to materially affect, the Company's internal controls over financial reporting.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04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has no material pending legal proceedings as of March 31, 2025, for more details see Note 6, “Commitments and Contingent Liabilities” in the Notes to Condensed Consolidated Financial Statements included in Part I, Item 1 of this Quarterly Report on Form 10-Q, which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you should carefully consider the factors discussed under Part I, Item 1A. “Risk Factors” in the Company’s Annual Report on Form 10-K for the year ended December 31, 2024.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three months ended March 31, 2025, there were no material changes to the information contained in Part I, Item 1A of the Company's Annual Report on Form 10-K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Below is a summary of share repurchases for the three months ended March 31, 2025. See Note 7, “Capital Stock” in the Notes to Condensed Consolidated Financial Statements included in Part I, Item 1 of this Quarterly Report on Form 10-Q, as well as the section entitled “Liquidity Capital Resources-Share Repurchase Program” in Part I, Item 2 of this Quarterly Report on Form 10-Q for information regarding our share repurchase program.</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 Purchased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Approximate Dollar Value of</w:t>
            </w:r>
          </w:p>
        </w:tc>
        <w:tc>
          <w:tcPr>
            <w:tcW w:w="0" w:type="dxa"/>
            <w:vAlign w:val="bottom"/>
          </w:tcPr>
          <w:p>
            <w:pPr>
              <w:spacing w:after="0"/>
              <w:rPr>
                <w:sz w:val="1"/>
                <w:szCs w:val="1"/>
                <w:color w:val="auto"/>
              </w:rPr>
            </w:pPr>
          </w:p>
        </w:tc>
      </w:tr>
      <w:tr>
        <w:trPr>
          <w:trHeight w:val="141"/>
        </w:trPr>
        <w:tc>
          <w:tcPr>
            <w:tcW w:w="2600" w:type="dxa"/>
            <w:vAlign w:val="bottom"/>
          </w:tcPr>
          <w:p>
            <w:pPr>
              <w:spacing w:after="0"/>
              <w:rPr>
                <w:sz w:val="12"/>
                <w:szCs w:val="12"/>
                <w:color w:val="auto"/>
              </w:rPr>
            </w:pPr>
          </w:p>
        </w:tc>
        <w:tc>
          <w:tcPr>
            <w:tcW w:w="2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Average Price Paid Per</w:t>
            </w:r>
          </w:p>
        </w:tc>
        <w:tc>
          <w:tcPr>
            <w:tcW w:w="2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Shares that May Yet Be Purchased</w:t>
            </w:r>
          </w:p>
        </w:tc>
        <w:tc>
          <w:tcPr>
            <w:tcW w:w="0" w:type="dxa"/>
            <w:vAlign w:val="bottom"/>
          </w:tcPr>
          <w:p>
            <w:pPr>
              <w:spacing w:after="0"/>
              <w:rPr>
                <w:sz w:val="1"/>
                <w:szCs w:val="1"/>
                <w:color w:val="auto"/>
              </w:rPr>
            </w:pPr>
          </w:p>
        </w:tc>
      </w:tr>
      <w:tr>
        <w:trPr>
          <w:trHeight w:val="141"/>
        </w:trPr>
        <w:tc>
          <w:tcPr>
            <w:tcW w:w="26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2260" w:type="dxa"/>
            <w:vAlign w:val="bottom"/>
            <w:gridSpan w:val="2"/>
            <w:vMerge w:val="continue"/>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21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as Part of Publicly Announced</w:t>
            </w:r>
          </w:p>
        </w:tc>
        <w:tc>
          <w:tcPr>
            <w:tcW w:w="2440" w:type="dxa"/>
            <w:vAlign w:val="bottom"/>
            <w:gridSpan w:val="4"/>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66"/>
        </w:trPr>
        <w:tc>
          <w:tcPr>
            <w:tcW w:w="2600" w:type="dxa"/>
            <w:vAlign w:val="bottom"/>
            <w:vMerge w:val="continue"/>
          </w:tcPr>
          <w:p>
            <w:pPr>
              <w:spacing w:after="0"/>
              <w:rPr>
                <w:sz w:val="14"/>
                <w:szCs w:val="14"/>
                <w:color w:val="auto"/>
              </w:rPr>
            </w:pP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4"/>
                <w:szCs w:val="14"/>
                <w:color w:val="auto"/>
              </w:rPr>
            </w:pPr>
          </w:p>
        </w:tc>
        <w:tc>
          <w:tcPr>
            <w:tcW w:w="14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 Thousands) (1)</w:t>
            </w:r>
          </w:p>
        </w:tc>
        <w:tc>
          <w:tcPr>
            <w:tcW w:w="0" w:type="dxa"/>
            <w:vAlign w:val="bottom"/>
          </w:tcPr>
          <w:p>
            <w:pPr>
              <w:spacing w:after="0"/>
              <w:rPr>
                <w:sz w:val="1"/>
                <w:szCs w:val="1"/>
                <w:color w:val="auto"/>
              </w:rPr>
            </w:pPr>
          </w:p>
        </w:tc>
      </w:tr>
      <w:tr>
        <w:trPr>
          <w:trHeight w:val="198"/>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January 1 - 31</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February 1 - 28</w:t>
            </w:r>
          </w:p>
        </w:tc>
        <w:tc>
          <w:tcPr>
            <w:tcW w:w="2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1,052,509</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1,052,509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26,006</w:t>
            </w:r>
          </w:p>
        </w:tc>
        <w:tc>
          <w:tcPr>
            <w:tcW w:w="0" w:type="dxa"/>
            <w:vAlign w:val="bottom"/>
          </w:tcPr>
          <w:p>
            <w:pPr>
              <w:spacing w:after="0"/>
              <w:rPr>
                <w:sz w:val="1"/>
                <w:szCs w:val="1"/>
                <w:color w:val="auto"/>
              </w:rPr>
            </w:pPr>
          </w:p>
        </w:tc>
      </w:tr>
      <w:tr>
        <w:trPr>
          <w:trHeight w:val="205"/>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March 1 - 31</w:t>
            </w:r>
          </w:p>
        </w:tc>
        <w:tc>
          <w:tcPr>
            <w:tcW w:w="2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1,466,661</w:t>
            </w: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1,466,661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22,051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w:t>
            </w:r>
          </w:p>
        </w:tc>
        <w:tc>
          <w:tcPr>
            <w:tcW w:w="2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2,519,170</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2,519,170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-24130</wp:posOffset>
            </wp:positionV>
            <wp:extent cx="736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-7620</wp:posOffset>
            </wp:positionV>
            <wp:extent cx="736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-24130</wp:posOffset>
            </wp:positionV>
            <wp:extent cx="736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660" cy="8255"/>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-7620</wp:posOffset>
            </wp:positionV>
            <wp:extent cx="736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660" cy="8255"/>
                    </a:xfrm>
                    <a:prstGeom prst="rect">
                      <a:avLst/>
                    </a:prstGeom>
                    <a:noFill/>
                  </pic:spPr>
                </pic:pic>
              </a:graphicData>
            </a:graphic>
          </wp:anchor>
        </w:drawing>
      </w:r>
    </w:p>
    <w:p>
      <w:pPr>
        <w:spacing w:after="0" w:line="219" w:lineRule="exact"/>
        <w:rPr>
          <w:sz w:val="20"/>
          <w:szCs w:val="20"/>
          <w:color w:val="auto"/>
        </w:rPr>
      </w:pPr>
    </w:p>
    <w:p>
      <w:pPr>
        <w:ind w:left="520" w:hanging="517"/>
        <w:spacing w:after="0"/>
        <w:tabs>
          <w:tab w:leader="none" w:pos="5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$22.1 million remained available for share repurchases under the Share Repurchase Program as of March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No directors or officers, as defined in Securities Exchange Act Rule 16a-1(f), adopted, modified, or terminated a “Rule 10b5-1 trading arrangement” or a “non-Rule 10b5-1 trading arrangement,” as defined in Item 408 of Regulation S-K, during the three months ended March 31, 2025.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25" w:name="page26"/>
    <w:bookmarkEnd w:id="25"/>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tc>
      </w:tr>
      <w:tr>
        <w:trPr>
          <w:trHeight w:val="195"/>
        </w:trPr>
        <w:tc>
          <w:tcPr>
            <w:tcW w:w="80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Furnished</w:t>
            </w:r>
          </w:p>
        </w:tc>
      </w:tr>
      <w:tr>
        <w:trPr>
          <w:trHeight w:val="206"/>
        </w:trPr>
        <w:tc>
          <w:tcPr>
            <w:tcW w:w="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20" w:type="dxa"/>
            <w:vAlign w:val="bottom"/>
          </w:tcPr>
          <w:p>
            <w:pPr>
              <w:spacing w:after="0"/>
              <w:rPr>
                <w:sz w:val="17"/>
                <w:szCs w:val="17"/>
                <w:color w:val="auto"/>
              </w:rPr>
            </w:pPr>
          </w:p>
        </w:tc>
        <w:tc>
          <w:tcPr>
            <w:tcW w:w="9180" w:type="dxa"/>
            <w:vAlign w:val="bottom"/>
            <w:tcBorders>
              <w:bottom w:val="single" w:sz="8" w:color="auto"/>
            </w:tcBorders>
            <w:gridSpan w:val="3"/>
          </w:tcPr>
          <w:p>
            <w:pPr>
              <w:ind w:left="3940"/>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tc>
      </w:tr>
      <w:tr>
        <w:trPr>
          <w:trHeight w:val="342"/>
        </w:trPr>
        <w:tc>
          <w:tcPr>
            <w:tcW w:w="30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31.</w:t>
            </w:r>
            <w:r>
              <w:rPr>
                <w:rFonts w:ascii="Times New Roman" w:cs="Times New Roman" w:eastAsia="Times New Roman" w:hAnsi="Times New Roman"/>
                <w:sz w:val="15"/>
                <w:szCs w:val="15"/>
                <w:u w:val="single" w:color="auto"/>
                <w:color w:val="0000FF"/>
              </w:rPr>
              <w:t>1</w:t>
            </w:r>
          </w:p>
        </w:tc>
        <w:tc>
          <w:tcPr>
            <w:tcW w:w="500" w:type="dxa"/>
            <w:vAlign w:val="bottom"/>
          </w:tcPr>
          <w:p>
            <w:pPr>
              <w:spacing w:after="0"/>
              <w:rPr>
                <w:sz w:val="24"/>
                <w:szCs w:val="24"/>
                <w:color w:val="auto"/>
              </w:rPr>
            </w:pPr>
          </w:p>
        </w:tc>
        <w:tc>
          <w:tcPr>
            <w:tcW w:w="93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11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120" w:type="dxa"/>
            <w:vAlign w:val="bottom"/>
            <w:tcBorders>
              <w:left w:val="single" w:sz="8" w:color="0000FF"/>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65"/>
        </w:trPr>
        <w:tc>
          <w:tcPr>
            <w:tcW w:w="300" w:type="dxa"/>
            <w:vAlign w:val="bottom"/>
            <w:gridSpan w:val="4"/>
          </w:tcPr>
          <w:p>
            <w:pPr>
              <w:spacing w:after="0" w:line="160" w:lineRule="exact"/>
              <w:rPr>
                <w:sz w:val="20"/>
                <w:szCs w:val="20"/>
                <w:color w:val="auto"/>
              </w:rPr>
            </w:pPr>
            <w:r>
              <w:rPr>
                <w:rFonts w:ascii="Times New Roman" w:cs="Times New Roman" w:eastAsia="Times New Roman" w:hAnsi="Times New Roman"/>
                <w:sz w:val="15"/>
                <w:szCs w:val="15"/>
                <w:color w:val="0000FF"/>
              </w:rPr>
              <w:t>31.</w:t>
            </w:r>
            <w:r>
              <w:rPr>
                <w:rFonts w:ascii="Times New Roman" w:cs="Times New Roman" w:eastAsia="Times New Roman" w:hAnsi="Times New Roman"/>
                <w:sz w:val="15"/>
                <w:szCs w:val="15"/>
                <w:u w:val="single" w:color="auto"/>
                <w:color w:val="0000FF"/>
              </w:rPr>
              <w:t>2</w:t>
            </w:r>
          </w:p>
        </w:tc>
        <w:tc>
          <w:tcPr>
            <w:tcW w:w="500" w:type="dxa"/>
            <w:vAlign w:val="bottom"/>
          </w:tcPr>
          <w:p>
            <w:pPr>
              <w:spacing w:after="0"/>
              <w:rPr>
                <w:sz w:val="14"/>
                <w:szCs w:val="14"/>
                <w:color w:val="auto"/>
              </w:rPr>
            </w:pPr>
          </w:p>
        </w:tc>
        <w:tc>
          <w:tcPr>
            <w:tcW w:w="9300" w:type="dxa"/>
            <w:vAlign w:val="bottom"/>
            <w:gridSpan w:val="4"/>
          </w:tcPr>
          <w:p>
            <w:pPr>
              <w:ind w:left="120"/>
              <w:spacing w:after="0" w:line="16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1140" w:type="dxa"/>
            <w:vAlign w:val="bottom"/>
            <w:gridSpan w:val="2"/>
          </w:tcPr>
          <w:p>
            <w:pPr>
              <w:jc w:val="center"/>
              <w:ind w:left="14"/>
              <w:spacing w:after="0" w:line="165" w:lineRule="exact"/>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65"/>
        </w:trPr>
        <w:tc>
          <w:tcPr>
            <w:tcW w:w="300" w:type="dxa"/>
            <w:vAlign w:val="bottom"/>
            <w:gridSpan w:val="4"/>
          </w:tcPr>
          <w:p>
            <w:pPr>
              <w:spacing w:after="0" w:line="160" w:lineRule="exact"/>
              <w:rPr>
                <w:sz w:val="20"/>
                <w:szCs w:val="20"/>
                <w:color w:val="auto"/>
              </w:rPr>
            </w:pPr>
            <w:r>
              <w:rPr>
                <w:rFonts w:ascii="Times New Roman" w:cs="Times New Roman" w:eastAsia="Times New Roman" w:hAnsi="Times New Roman"/>
                <w:sz w:val="15"/>
                <w:szCs w:val="15"/>
                <w:color w:val="0000FF"/>
              </w:rPr>
              <w:t>32.</w:t>
            </w:r>
            <w:r>
              <w:rPr>
                <w:rFonts w:ascii="Times New Roman" w:cs="Times New Roman" w:eastAsia="Times New Roman" w:hAnsi="Times New Roman"/>
                <w:sz w:val="15"/>
                <w:szCs w:val="15"/>
                <w:u w:val="single" w:color="auto"/>
                <w:color w:val="0000FF"/>
              </w:rPr>
              <w:t>1</w:t>
            </w:r>
          </w:p>
        </w:tc>
        <w:tc>
          <w:tcPr>
            <w:tcW w:w="500" w:type="dxa"/>
            <w:vAlign w:val="bottom"/>
          </w:tcPr>
          <w:p>
            <w:pPr>
              <w:spacing w:after="0"/>
              <w:rPr>
                <w:sz w:val="14"/>
                <w:szCs w:val="14"/>
                <w:color w:val="auto"/>
              </w:rPr>
            </w:pPr>
          </w:p>
        </w:tc>
        <w:tc>
          <w:tcPr>
            <w:tcW w:w="9300" w:type="dxa"/>
            <w:vAlign w:val="bottom"/>
            <w:gridSpan w:val="4"/>
          </w:tcPr>
          <w:p>
            <w:pPr>
              <w:ind w:left="120"/>
              <w:spacing w:after="0" w:line="16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1140" w:type="dxa"/>
            <w:vAlign w:val="bottom"/>
            <w:gridSpan w:val="2"/>
          </w:tcPr>
          <w:p>
            <w:pPr>
              <w:jc w:val="center"/>
              <w:ind w:left="34"/>
              <w:spacing w:after="0" w:line="165"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4260" w:type="dxa"/>
            <w:vAlign w:val="bottom"/>
            <w:tcBorders>
              <w:left w:val="single" w:sz="8" w:color="0000FF"/>
            </w:tcBorders>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65"/>
        </w:trPr>
        <w:tc>
          <w:tcPr>
            <w:tcW w:w="280" w:type="dxa"/>
            <w:vAlign w:val="bottom"/>
            <w:gridSpan w:val="3"/>
          </w:tcPr>
          <w:p>
            <w:pPr>
              <w:spacing w:after="0" w:line="160" w:lineRule="exact"/>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2</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300" w:type="dxa"/>
            <w:vAlign w:val="bottom"/>
            <w:gridSpan w:val="4"/>
          </w:tcPr>
          <w:p>
            <w:pPr>
              <w:ind w:left="120"/>
              <w:spacing w:after="0" w:line="16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1140" w:type="dxa"/>
            <w:vAlign w:val="bottom"/>
            <w:gridSpan w:val="2"/>
          </w:tcPr>
          <w:p>
            <w:pPr>
              <w:jc w:val="center"/>
              <w:ind w:left="34"/>
              <w:spacing w:after="0" w:line="165"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5"/>
        </w:trPr>
        <w:tc>
          <w:tcPr>
            <w:tcW w:w="8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101.INS</w:t>
            </w:r>
          </w:p>
        </w:tc>
        <w:tc>
          <w:tcPr>
            <w:tcW w:w="93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Inline XBRL Instance Document-the instance document does not appear in the Interactive Data file because its XBRL tags are embedded</w:t>
            </w:r>
          </w:p>
        </w:tc>
        <w:tc>
          <w:tcPr>
            <w:tcW w:w="11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w:t>
            </w: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within the Inline XBRL document.</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5"/>
        </w:trPr>
        <w:tc>
          <w:tcPr>
            <w:tcW w:w="8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101.SCH</w:t>
            </w:r>
          </w:p>
        </w:tc>
        <w:tc>
          <w:tcPr>
            <w:tcW w:w="93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1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w:t>
            </w:r>
          </w:p>
        </w:tc>
      </w:tr>
      <w:tr>
        <w:trPr>
          <w:trHeight w:val="228"/>
        </w:trPr>
        <w:tc>
          <w:tcPr>
            <w:tcW w:w="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3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Cover Page Interactive Data File (as formatted as Inline XBRL and contained in Exhibit 101).</w:t>
            </w:r>
          </w:p>
        </w:tc>
        <w:tc>
          <w:tcPr>
            <w:tcW w:w="11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460375</wp:posOffset>
            </wp:positionV>
            <wp:extent cx="716470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20" w:type="dxa"/>
            <w:vAlign w:val="bottom"/>
          </w:tcPr>
          <w:p>
            <w:pPr>
              <w:spacing w:after="0"/>
              <w:rPr>
                <w:sz w:val="19"/>
                <w:szCs w:val="19"/>
                <w:color w:val="auto"/>
              </w:rPr>
            </w:pP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7"/>
                <w:szCs w:val="17"/>
                <w:b w:val="1"/>
                <w:bCs w:val="1"/>
                <w:color w:val="auto"/>
              </w:rPr>
              <w:t>Talkspace, Inc.</w:t>
            </w:r>
          </w:p>
        </w:tc>
      </w:tr>
      <w:tr>
        <w:trPr>
          <w:trHeight w:val="410"/>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2025</w:t>
            </w:r>
          </w:p>
        </w:tc>
        <w:tc>
          <w:tcPr>
            <w:tcW w:w="2840" w:type="dxa"/>
            <w:vAlign w:val="bottom"/>
          </w:tcPr>
          <w:p>
            <w:pPr>
              <w:ind w:left="200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 Cohen</w:t>
            </w:r>
          </w:p>
        </w:tc>
      </w:tr>
      <w:tr>
        <w:trPr>
          <w:trHeight w:val="182"/>
        </w:trPr>
        <w:tc>
          <w:tcPr>
            <w:tcW w:w="3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10"/>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2025</w:t>
            </w:r>
          </w:p>
        </w:tc>
        <w:tc>
          <w:tcPr>
            <w:tcW w:w="2840" w:type="dxa"/>
            <w:vAlign w:val="bottom"/>
          </w:tcPr>
          <w:p>
            <w:pPr>
              <w:ind w:left="200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Ian Harris</w:t>
            </w:r>
          </w:p>
        </w:tc>
      </w:tr>
      <w:tr>
        <w:trPr>
          <w:trHeight w:val="182"/>
        </w:trPr>
        <w:tc>
          <w:tcPr>
            <w:tcW w:w="3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513"/>
        </w:trPr>
        <w:tc>
          <w:tcPr>
            <w:tcW w:w="3320" w:type="dxa"/>
            <w:vAlign w:val="bottom"/>
          </w:tcPr>
          <w:p>
            <w:pPr>
              <w:spacing w:after="0"/>
              <w:rPr>
                <w:sz w:val="24"/>
                <w:szCs w:val="24"/>
                <w:color w:val="auto"/>
              </w:rPr>
            </w:pPr>
          </w:p>
        </w:tc>
        <w:tc>
          <w:tcPr>
            <w:tcW w:w="28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27</w:t>
            </w:r>
          </w:p>
        </w:tc>
        <w:tc>
          <w:tcPr>
            <w:tcW w:w="5080" w:type="dxa"/>
            <w:vAlign w:val="bottom"/>
          </w:tcPr>
          <w:p>
            <w:pPr>
              <w:spacing w:after="0"/>
              <w:rPr>
                <w:sz w:val="24"/>
                <w:szCs w:val="24"/>
                <w:color w:val="auto"/>
              </w:rPr>
            </w:pPr>
          </w:p>
        </w:tc>
      </w:tr>
      <w:tr>
        <w:trPr>
          <w:trHeight w:val="724"/>
        </w:trPr>
        <w:tc>
          <w:tcPr>
            <w:tcW w:w="3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Jon Cohen, certify that:</w:t>
      </w:r>
    </w:p>
    <w:p>
      <w:pPr>
        <w:spacing w:after="0" w:line="215" w:lineRule="exact"/>
        <w:rPr>
          <w:sz w:val="20"/>
          <w:szCs w:val="20"/>
          <w:color w:val="auto"/>
        </w:rPr>
      </w:pPr>
    </w:p>
    <w:p>
      <w:pPr>
        <w:ind w:left="520" w:hanging="517"/>
        <w:spacing w:after="0"/>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Talkspace, Inc.;</w:t>
      </w:r>
    </w:p>
    <w:p>
      <w:pPr>
        <w:spacing w:after="0" w:line="215" w:lineRule="exact"/>
        <w:rPr>
          <w:rFonts w:ascii="Times New Roman" w:cs="Times New Roman" w:eastAsia="Times New Roman" w:hAnsi="Times New Roman"/>
          <w:sz w:val="17"/>
          <w:szCs w:val="17"/>
          <w:color w:val="auto"/>
        </w:rPr>
      </w:pPr>
    </w:p>
    <w:p>
      <w:pPr>
        <w:ind w:left="520" w:hanging="517"/>
        <w:spacing w:after="0" w:line="285"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520" w:hanging="517"/>
        <w:spacing w:after="0" w:line="285"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520" w:hanging="517"/>
        <w:spacing w:after="0" w:line="268"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7"/>
          <w:szCs w:val="17"/>
          <w:color w:val="auto"/>
        </w:rPr>
      </w:pPr>
    </w:p>
    <w:p>
      <w:pPr>
        <w:ind w:left="1020" w:hanging="508"/>
        <w:spacing w:after="0" w:line="285"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520" w:hanging="517"/>
        <w:spacing w:after="0" w:line="285"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020" w:hanging="508"/>
        <w:spacing w:after="0" w:line="285"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020" w:hanging="508"/>
        <w:spacing w:after="0" w:line="285" w:lineRule="auto"/>
        <w:tabs>
          <w:tab w:leader="none" w:pos="10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2025</w:t>
            </w:r>
          </w:p>
        </w:tc>
        <w:tc>
          <w:tcPr>
            <w:tcW w:w="282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 Cohen</w:t>
            </w:r>
          </w:p>
        </w:tc>
      </w:tr>
      <w:tr>
        <w:trPr>
          <w:trHeight w:val="182"/>
        </w:trPr>
        <w:tc>
          <w:tcPr>
            <w:tcW w:w="3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134"/>
        </w:trPr>
        <w:tc>
          <w:tcPr>
            <w:tcW w:w="33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Ian Harris, certify that:</w:t>
      </w:r>
    </w:p>
    <w:p>
      <w:pPr>
        <w:spacing w:after="0" w:line="215" w:lineRule="exact"/>
        <w:rPr>
          <w:sz w:val="20"/>
          <w:szCs w:val="20"/>
          <w:color w:val="auto"/>
        </w:rPr>
      </w:pPr>
    </w:p>
    <w:p>
      <w:pPr>
        <w:ind w:left="520" w:hanging="517"/>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Talkspace, Inc.;</w:t>
      </w:r>
    </w:p>
    <w:p>
      <w:pPr>
        <w:spacing w:after="0" w:line="215" w:lineRule="exact"/>
        <w:rPr>
          <w:rFonts w:ascii="Times New Roman" w:cs="Times New Roman" w:eastAsia="Times New Roman" w:hAnsi="Times New Roman"/>
          <w:sz w:val="17"/>
          <w:szCs w:val="17"/>
          <w:color w:val="auto"/>
        </w:rPr>
      </w:pPr>
    </w:p>
    <w:p>
      <w:pPr>
        <w:ind w:left="520" w:hanging="517"/>
        <w:spacing w:after="0" w:line="285"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520" w:hanging="517"/>
        <w:spacing w:after="0" w:line="285"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520" w:hanging="517"/>
        <w:spacing w:after="0" w:line="268"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7"/>
          <w:szCs w:val="17"/>
          <w:color w:val="auto"/>
        </w:rPr>
      </w:pPr>
    </w:p>
    <w:p>
      <w:pPr>
        <w:ind w:left="1020" w:hanging="508"/>
        <w:spacing w:after="0" w:line="285"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1020" w:hanging="508"/>
        <w:spacing w:after="0" w:line="268"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520" w:hanging="517"/>
        <w:spacing w:after="0" w:line="285"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020" w:hanging="508"/>
        <w:spacing w:after="0" w:line="285"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020" w:hanging="508"/>
        <w:spacing w:after="0" w:line="285" w:lineRule="auto"/>
        <w:tabs>
          <w:tab w:leader="none" w:pos="10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Ian Harris</w:t>
            </w:r>
          </w:p>
        </w:tc>
      </w:tr>
      <w:tr>
        <w:trPr>
          <w:trHeight w:val="182"/>
        </w:trPr>
        <w:tc>
          <w:tcPr>
            <w:tcW w:w="3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134"/>
        </w:trPr>
        <w:tc>
          <w:tcPr>
            <w:tcW w:w="33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8"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on Form 10-Q of Talkspace, Inc. (the “Company”) for the period ended March 31, 2025 as filed with the Securities and Exchange Commission on the date hereof (the “Report”), I certify, pursuant to 18 U.S.C. § 1350, as adopted pursuant to § 906 of the Sarbanes-Oxley Act of 2002, that:</w:t>
      </w:r>
    </w:p>
    <w:p>
      <w:pPr>
        <w:spacing w:after="0" w:line="167" w:lineRule="exact"/>
        <w:rPr>
          <w:sz w:val="20"/>
          <w:szCs w:val="20"/>
          <w:color w:val="auto"/>
        </w:rPr>
      </w:pPr>
    </w:p>
    <w:p>
      <w:pPr>
        <w:ind w:left="880" w:hanging="344"/>
        <w:spacing w:after="0"/>
        <w:tabs>
          <w:tab w:leader="none" w:pos="8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17"/>
          <w:szCs w:val="17"/>
          <w:color w:val="auto"/>
        </w:rPr>
      </w:pPr>
    </w:p>
    <w:p>
      <w:pPr>
        <w:ind w:left="880" w:hanging="344"/>
        <w:spacing w:after="0"/>
        <w:tabs>
          <w:tab w:leader="none" w:pos="8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2025</w:t>
            </w:r>
          </w:p>
        </w:tc>
        <w:tc>
          <w:tcPr>
            <w:tcW w:w="28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 Cohen</w:t>
            </w:r>
          </w:p>
        </w:tc>
      </w:tr>
      <w:tr>
        <w:trPr>
          <w:trHeight w:val="182"/>
        </w:trPr>
        <w:tc>
          <w:tcPr>
            <w:tcW w:w="3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Jon Cohen</w:t>
            </w:r>
          </w:p>
        </w:tc>
      </w:tr>
      <w:tr>
        <w:trPr>
          <w:trHeight w:val="222"/>
        </w:trPr>
        <w:tc>
          <w:tcPr>
            <w:tcW w:w="33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134"/>
        </w:trPr>
        <w:tc>
          <w:tcPr>
            <w:tcW w:w="3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8"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7"/>
          <w:szCs w:val="17"/>
          <w:color w:val="auto"/>
        </w:rPr>
        <w:t>In connection with the Quarterly Report on Form 10-Q of Talkspace, Inc. (the “Company”) for the period ended March 31, 2025 as filed with the Securities and Exchange Commission on the date hereof (the “Report”), I certify, pursuant to 18 U.S.C. § 1350, as adopted pursuant to § 906 of the Sarbanes-Oxley Act of 2002, that:</w:t>
      </w:r>
    </w:p>
    <w:p>
      <w:pPr>
        <w:spacing w:after="0" w:line="167" w:lineRule="exact"/>
        <w:rPr>
          <w:sz w:val="20"/>
          <w:szCs w:val="20"/>
          <w:color w:val="auto"/>
        </w:rPr>
      </w:pPr>
    </w:p>
    <w:p>
      <w:pPr>
        <w:ind w:left="880" w:hanging="34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17"/>
          <w:szCs w:val="17"/>
          <w:color w:val="auto"/>
        </w:rPr>
      </w:pPr>
    </w:p>
    <w:p>
      <w:pPr>
        <w:ind w:left="880" w:hanging="344"/>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2025</w:t>
            </w:r>
          </w:p>
        </w:tc>
        <w:tc>
          <w:tcPr>
            <w:tcW w:w="2820" w:type="dxa"/>
            <w:vAlign w:val="bottom"/>
          </w:tcPr>
          <w:p>
            <w:pPr>
              <w:ind w:left="20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Ian Harris</w:t>
            </w:r>
          </w:p>
        </w:tc>
      </w:tr>
      <w:tr>
        <w:trPr>
          <w:trHeight w:val="182"/>
        </w:trPr>
        <w:tc>
          <w:tcPr>
            <w:tcW w:w="3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Ian Harris</w:t>
            </w:r>
          </w:p>
        </w:tc>
      </w:tr>
      <w:tr>
        <w:trPr>
          <w:trHeight w:val="222"/>
        </w:trPr>
        <w:tc>
          <w:tcPr>
            <w:tcW w:w="3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340"/>
        </w:trPr>
        <w:tc>
          <w:tcPr>
            <w:tcW w:w="33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Roman"/>
      <w:start w:val="4"/>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2025-05-09T07:51:26Z</dcterms:created>
  <dcterms:modified xsi:type="dcterms:W3CDTF">2025-05-09T07:51:26Z</dcterms:modified>
</cp:coreProperties>
</file>