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Talkspace,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87427V103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September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660" w:right="9200" w:hanging="4"/>
        <w:spacing w:after="0" w:line="563" w:lineRule="auto"/>
        <w:tabs>
          <w:tab w:leader="none" w:pos="765" w:val="left"/>
        </w:tabs>
        <w:numPr>
          <w:ilvl w:val="0"/>
          <w:numId w:val="1"/>
        </w:numPr>
        <w:rPr>
          <w:rFonts w:ascii="Arial" w:cs="Arial" w:eastAsia="Arial" w:hAnsi="Arial"/>
          <w:sz w:val="16"/>
          <w:szCs w:val="16"/>
          <w:color w:val="auto"/>
        </w:rPr>
      </w:pPr>
      <w:r>
        <w:rPr>
          <w:rFonts w:ascii="Arial" w:cs="Arial" w:eastAsia="Arial" w:hAnsi="Arial"/>
          <w:sz w:val="16"/>
          <w:szCs w:val="16"/>
          <w:color w:val="auto"/>
        </w:rPr>
        <w:t>  ] Rule 13d-1(b) [X] 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2"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CUSIP No.</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87427V103</w:t>
            </w:r>
          </w:p>
        </w:tc>
      </w:tr>
    </w:tbl>
    <w:p>
      <w:pPr>
        <w:spacing w:after="0" w:line="200" w:lineRule="exact"/>
        <w:rPr>
          <w:sz w:val="20"/>
          <w:szCs w:val="20"/>
          <w:color w:val="auto"/>
        </w:rPr>
      </w:pPr>
    </w:p>
    <w:p>
      <w:pPr>
        <w:spacing w:after="0" w:line="218"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16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Harbor Spring Master Fund, LP</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20" w:right="7880" w:hanging="912"/>
        <w:spacing w:after="0" w:line="50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20" w:right="7620" w:hanging="912"/>
        <w:spacing w:after="0" w:line="50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7,884,141</w:t>
      </w:r>
    </w:p>
    <w:p>
      <w:pPr>
        <w:spacing w:after="0" w:line="1" w:lineRule="exact"/>
        <w:rPr>
          <w:rFonts w:ascii="Arial" w:cs="Arial" w:eastAsia="Arial" w:hAnsi="Arial"/>
          <w:sz w:val="18"/>
          <w:szCs w:val="18"/>
          <w:color w:val="auto"/>
        </w:rPr>
      </w:pPr>
    </w:p>
    <w:p>
      <w:pPr>
        <w:ind w:left="920" w:right="7480" w:hanging="912"/>
        <w:spacing w:after="0" w:line="50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20" w:right="7220" w:hanging="912"/>
        <w:spacing w:after="0" w:line="50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7,884,141</w:t>
      </w:r>
    </w:p>
    <w:p>
      <w:pPr>
        <w:spacing w:after="0" w:line="1" w:lineRule="exact"/>
        <w:rPr>
          <w:rFonts w:ascii="Arial" w:cs="Arial" w:eastAsia="Arial" w:hAnsi="Arial"/>
          <w:sz w:val="18"/>
          <w:szCs w:val="18"/>
          <w:color w:val="auto"/>
        </w:rPr>
      </w:pPr>
    </w:p>
    <w:p>
      <w:pPr>
        <w:ind w:left="920" w:right="3200" w:hanging="912"/>
        <w:spacing w:after="0" w:line="55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7,884,141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10.</w:t>
            </w:r>
          </w:p>
        </w:tc>
        <w:tc>
          <w:tcPr>
            <w:tcW w:w="8460" w:type="dxa"/>
            <w:vAlign w:val="bottom"/>
          </w:tcPr>
          <w:p>
            <w:pPr>
              <w:ind w:left="3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80" w:type="dxa"/>
            <w:vAlign w:val="bottom"/>
          </w:tcPr>
          <w:p>
            <w:pPr>
              <w:spacing w:after="0"/>
              <w:rPr>
                <w:sz w:val="20"/>
                <w:szCs w:val="20"/>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(SEE INSTRUCTIONS)</w:t>
            </w:r>
          </w:p>
        </w:tc>
        <w:tc>
          <w:tcPr>
            <w:tcW w:w="1280" w:type="dxa"/>
            <w:vAlign w:val="bottom"/>
          </w:tcPr>
          <w:p>
            <w:pPr>
              <w:spacing w:after="0"/>
              <w:rPr>
                <w:sz w:val="20"/>
                <w:szCs w:val="20"/>
                <w:color w:val="auto"/>
              </w:rPr>
            </w:pPr>
          </w:p>
        </w:tc>
      </w:tr>
    </w:tbl>
    <w:p>
      <w:pPr>
        <w:spacing w:after="0" w:line="202" w:lineRule="exact"/>
        <w:rPr>
          <w:sz w:val="20"/>
          <w:szCs w:val="20"/>
          <w:color w:val="auto"/>
        </w:rPr>
      </w:pPr>
    </w:p>
    <w:p>
      <w:pPr>
        <w:ind w:left="920" w:right="4680" w:hanging="912"/>
        <w:spacing w:after="0" w:line="500"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4.98%</w:t>
      </w:r>
    </w:p>
    <w:p>
      <w:pPr>
        <w:spacing w:after="0" w:line="1" w:lineRule="exact"/>
        <w:rPr>
          <w:rFonts w:ascii="Arial" w:cs="Arial" w:eastAsia="Arial" w:hAnsi="Arial"/>
          <w:sz w:val="18"/>
          <w:szCs w:val="18"/>
          <w:color w:val="auto"/>
        </w:rPr>
      </w:pPr>
    </w:p>
    <w:p>
      <w:pPr>
        <w:ind w:left="920" w:right="5420" w:hanging="912"/>
        <w:spacing w:after="0" w:line="559"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1016" w:right="9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CUSIP No.</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87427V103</w:t>
            </w:r>
          </w:p>
        </w:tc>
      </w:tr>
    </w:tbl>
    <w:p>
      <w:pPr>
        <w:spacing w:after="0" w:line="200" w:lineRule="exact"/>
        <w:rPr>
          <w:sz w:val="20"/>
          <w:szCs w:val="20"/>
          <w:color w:val="auto"/>
        </w:rPr>
      </w:pPr>
    </w:p>
    <w:p>
      <w:pPr>
        <w:spacing w:after="0" w:line="218" w:lineRule="exact"/>
        <w:rPr>
          <w:sz w:val="20"/>
          <w:szCs w:val="20"/>
          <w:color w:val="auto"/>
        </w:rPr>
      </w:pPr>
    </w:p>
    <w:p>
      <w:pPr>
        <w:ind w:left="920" w:hanging="912"/>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16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Harbor Spring GP, LLC</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20" w:hanging="9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right="6080" w:hanging="912"/>
        <w:spacing w:after="0" w:line="52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20" w:right="7880" w:hanging="912"/>
        <w:spacing w:after="0" w:line="500"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20" w:right="7620" w:hanging="912"/>
        <w:spacing w:after="0" w:line="500"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7,884,141</w:t>
      </w:r>
    </w:p>
    <w:p>
      <w:pPr>
        <w:spacing w:after="0" w:line="1" w:lineRule="exact"/>
        <w:rPr>
          <w:rFonts w:ascii="Arial" w:cs="Arial" w:eastAsia="Arial" w:hAnsi="Arial"/>
          <w:sz w:val="18"/>
          <w:szCs w:val="18"/>
          <w:color w:val="auto"/>
        </w:rPr>
      </w:pPr>
    </w:p>
    <w:p>
      <w:pPr>
        <w:ind w:left="920" w:right="7480" w:hanging="912"/>
        <w:spacing w:after="0" w:line="500"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20" w:right="7220" w:hanging="912"/>
        <w:spacing w:after="0" w:line="500"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7,884,141</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7,884,141</w:t>
      </w:r>
    </w:p>
    <w:p>
      <w:pPr>
        <w:spacing w:after="0" w:line="225" w:lineRule="exact"/>
        <w:rPr>
          <w:sz w:val="20"/>
          <w:szCs w:val="20"/>
          <w:color w:val="auto"/>
        </w:rPr>
      </w:pPr>
    </w:p>
    <w:p>
      <w:pPr>
        <w:ind w:left="920" w:right="340" w:hanging="919"/>
        <w:spacing w:after="0" w:line="277" w:lineRule="auto"/>
        <w:tabs>
          <w:tab w:leader="none" w:pos="9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[_] (SEE INSTRUCTIONS)</w:t>
      </w:r>
    </w:p>
    <w:p>
      <w:pPr>
        <w:spacing w:after="0" w:line="170" w:lineRule="exact"/>
        <w:rPr>
          <w:sz w:val="20"/>
          <w:szCs w:val="20"/>
          <w:color w:val="auto"/>
        </w:rPr>
      </w:pPr>
    </w:p>
    <w:p>
      <w:pPr>
        <w:ind w:left="920" w:right="4680" w:hanging="912"/>
        <w:spacing w:after="0" w:line="500"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4.98%</w:t>
      </w:r>
    </w:p>
    <w:p>
      <w:pPr>
        <w:spacing w:after="0" w:line="1" w:lineRule="exact"/>
        <w:rPr>
          <w:rFonts w:ascii="Arial" w:cs="Arial" w:eastAsia="Arial" w:hAnsi="Arial"/>
          <w:sz w:val="18"/>
          <w:szCs w:val="18"/>
          <w:color w:val="auto"/>
        </w:rPr>
      </w:pPr>
    </w:p>
    <w:p>
      <w:pPr>
        <w:ind w:left="920" w:right="5420" w:hanging="912"/>
        <w:spacing w:after="0" w:line="559"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868"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CUSIP No.</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87427V103</w:t>
            </w:r>
          </w:p>
        </w:tc>
      </w:tr>
    </w:tbl>
    <w:p>
      <w:pPr>
        <w:spacing w:after="0" w:line="200" w:lineRule="exact"/>
        <w:rPr>
          <w:sz w:val="20"/>
          <w:szCs w:val="20"/>
          <w:color w:val="auto"/>
        </w:rPr>
      </w:pPr>
    </w:p>
    <w:p>
      <w:pPr>
        <w:spacing w:after="0" w:line="218" w:lineRule="exact"/>
        <w:rPr>
          <w:sz w:val="20"/>
          <w:szCs w:val="20"/>
          <w:color w:val="auto"/>
        </w:rPr>
      </w:pPr>
    </w:p>
    <w:p>
      <w:pPr>
        <w:ind w:left="920" w:hanging="912"/>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16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Harbor Spring Capital, LLC</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20" w:right="7880" w:hanging="912"/>
        <w:spacing w:after="0" w:line="500"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20" w:right="7620" w:hanging="912"/>
        <w:spacing w:after="0" w:line="500"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7,884,141</w:t>
      </w:r>
    </w:p>
    <w:p>
      <w:pPr>
        <w:spacing w:after="0" w:line="1" w:lineRule="exact"/>
        <w:rPr>
          <w:rFonts w:ascii="Arial" w:cs="Arial" w:eastAsia="Arial" w:hAnsi="Arial"/>
          <w:sz w:val="18"/>
          <w:szCs w:val="18"/>
          <w:color w:val="auto"/>
        </w:rPr>
      </w:pPr>
    </w:p>
    <w:p>
      <w:pPr>
        <w:ind w:left="920" w:right="7480" w:hanging="912"/>
        <w:spacing w:after="0" w:line="500"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20" w:right="7220" w:hanging="912"/>
        <w:spacing w:after="0" w:line="500"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7,884,141</w:t>
      </w:r>
    </w:p>
    <w:p>
      <w:pPr>
        <w:spacing w:after="0" w:line="1" w:lineRule="exact"/>
        <w:rPr>
          <w:rFonts w:ascii="Arial" w:cs="Arial" w:eastAsia="Arial" w:hAnsi="Arial"/>
          <w:sz w:val="18"/>
          <w:szCs w:val="18"/>
          <w:color w:val="auto"/>
        </w:rPr>
      </w:pPr>
    </w:p>
    <w:p>
      <w:pPr>
        <w:ind w:left="920" w:right="3200" w:hanging="912"/>
        <w:spacing w:after="0" w:line="500"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7,884,141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10.</w:t>
            </w:r>
          </w:p>
        </w:tc>
        <w:tc>
          <w:tcPr>
            <w:tcW w:w="8460" w:type="dxa"/>
            <w:vAlign w:val="bottom"/>
          </w:tcPr>
          <w:p>
            <w:pPr>
              <w:ind w:left="3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80" w:type="dxa"/>
            <w:vAlign w:val="bottom"/>
          </w:tcPr>
          <w:p>
            <w:pPr>
              <w:spacing w:after="0"/>
              <w:rPr>
                <w:sz w:val="20"/>
                <w:szCs w:val="20"/>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(SEE INSTRUCTIONS)</w:t>
            </w:r>
          </w:p>
        </w:tc>
        <w:tc>
          <w:tcPr>
            <w:tcW w:w="1280" w:type="dxa"/>
            <w:vAlign w:val="bottom"/>
          </w:tcPr>
          <w:p>
            <w:pPr>
              <w:spacing w:after="0"/>
              <w:rPr>
                <w:sz w:val="20"/>
                <w:szCs w:val="20"/>
                <w:color w:val="auto"/>
              </w:rPr>
            </w:pPr>
          </w:p>
        </w:tc>
      </w:tr>
    </w:tbl>
    <w:p>
      <w:pPr>
        <w:spacing w:after="0" w:line="202" w:lineRule="exact"/>
        <w:rPr>
          <w:sz w:val="20"/>
          <w:szCs w:val="20"/>
          <w:color w:val="auto"/>
        </w:rPr>
      </w:pPr>
    </w:p>
    <w:p>
      <w:pPr>
        <w:ind w:left="920" w:right="4680" w:hanging="912"/>
        <w:spacing w:after="0" w:line="500"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4.98%</w:t>
      </w:r>
    </w:p>
    <w:p>
      <w:pPr>
        <w:spacing w:after="0" w:line="1" w:lineRule="exact"/>
        <w:rPr>
          <w:rFonts w:ascii="Arial" w:cs="Arial" w:eastAsia="Arial" w:hAnsi="Arial"/>
          <w:sz w:val="18"/>
          <w:szCs w:val="18"/>
          <w:color w:val="auto"/>
        </w:rPr>
      </w:pPr>
    </w:p>
    <w:p>
      <w:pPr>
        <w:ind w:left="920" w:right="5420" w:hanging="912"/>
        <w:spacing w:after="0" w:line="559"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00,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1084"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CUSIP No.</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87427V103</w:t>
            </w:r>
          </w:p>
        </w:tc>
      </w:tr>
    </w:tbl>
    <w:p>
      <w:pPr>
        <w:spacing w:after="0" w:line="200" w:lineRule="exact"/>
        <w:rPr>
          <w:sz w:val="20"/>
          <w:szCs w:val="20"/>
          <w:color w:val="auto"/>
        </w:rPr>
      </w:pPr>
    </w:p>
    <w:p>
      <w:pPr>
        <w:spacing w:after="0" w:line="218" w:lineRule="exact"/>
        <w:rPr>
          <w:sz w:val="20"/>
          <w:szCs w:val="20"/>
          <w:color w:val="auto"/>
        </w:rPr>
      </w:pPr>
    </w:p>
    <w:p>
      <w:pPr>
        <w:ind w:left="920" w:hanging="912"/>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16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Amit Doshi</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20" w:hanging="912"/>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hanging="912"/>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20" w:right="7880" w:hanging="912"/>
        <w:spacing w:after="0" w:line="500"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20" w:right="7620" w:hanging="912"/>
        <w:spacing w:after="0" w:line="500"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 7,884,141</w:t>
      </w:r>
    </w:p>
    <w:p>
      <w:pPr>
        <w:spacing w:after="0" w:line="1" w:lineRule="exact"/>
        <w:rPr>
          <w:rFonts w:ascii="Arial" w:cs="Arial" w:eastAsia="Arial" w:hAnsi="Arial"/>
          <w:sz w:val="18"/>
          <w:szCs w:val="18"/>
          <w:color w:val="auto"/>
        </w:rPr>
      </w:pPr>
    </w:p>
    <w:p>
      <w:pPr>
        <w:ind w:left="920" w:right="7480" w:hanging="912"/>
        <w:spacing w:after="0" w:line="500"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20" w:right="7220" w:hanging="912"/>
        <w:spacing w:after="0" w:line="500"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7,884,141</w:t>
      </w:r>
    </w:p>
    <w:p>
      <w:pPr>
        <w:spacing w:after="0" w:line="1" w:lineRule="exact"/>
        <w:rPr>
          <w:rFonts w:ascii="Arial" w:cs="Arial" w:eastAsia="Arial" w:hAnsi="Arial"/>
          <w:sz w:val="18"/>
          <w:szCs w:val="18"/>
          <w:color w:val="auto"/>
        </w:rPr>
      </w:pPr>
    </w:p>
    <w:p>
      <w:pPr>
        <w:ind w:left="920" w:right="3200" w:hanging="912"/>
        <w:spacing w:after="0" w:line="559"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7,884,141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10.</w:t>
            </w:r>
          </w:p>
        </w:tc>
        <w:tc>
          <w:tcPr>
            <w:tcW w:w="8460" w:type="dxa"/>
            <w:vAlign w:val="bottom"/>
          </w:tcPr>
          <w:p>
            <w:pPr>
              <w:ind w:left="3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80" w:type="dxa"/>
            <w:vAlign w:val="bottom"/>
          </w:tcPr>
          <w:p>
            <w:pPr>
              <w:spacing w:after="0"/>
              <w:rPr>
                <w:sz w:val="20"/>
                <w:szCs w:val="20"/>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(SEE INSTRUCTIONS)</w:t>
            </w:r>
          </w:p>
        </w:tc>
        <w:tc>
          <w:tcPr>
            <w:tcW w:w="1280" w:type="dxa"/>
            <w:vAlign w:val="bottom"/>
          </w:tcPr>
          <w:p>
            <w:pPr>
              <w:spacing w:after="0"/>
              <w:rPr>
                <w:sz w:val="20"/>
                <w:szCs w:val="20"/>
                <w:color w:val="auto"/>
              </w:rPr>
            </w:pPr>
          </w:p>
        </w:tc>
      </w:tr>
    </w:tbl>
    <w:p>
      <w:pPr>
        <w:spacing w:after="0" w:line="202" w:lineRule="exact"/>
        <w:rPr>
          <w:sz w:val="20"/>
          <w:szCs w:val="20"/>
          <w:color w:val="auto"/>
        </w:rPr>
      </w:pPr>
    </w:p>
    <w:p>
      <w:pPr>
        <w:ind w:left="920" w:right="4680" w:hanging="912"/>
        <w:spacing w:after="0" w:line="500"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4.98%</w:t>
      </w:r>
    </w:p>
    <w:p>
      <w:pPr>
        <w:spacing w:after="0" w:line="1" w:lineRule="exact"/>
        <w:rPr>
          <w:rFonts w:ascii="Arial" w:cs="Arial" w:eastAsia="Arial" w:hAnsi="Arial"/>
          <w:sz w:val="18"/>
          <w:szCs w:val="18"/>
          <w:color w:val="auto"/>
        </w:rPr>
      </w:pPr>
    </w:p>
    <w:p>
      <w:pPr>
        <w:ind w:left="920" w:right="5420" w:hanging="912"/>
        <w:spacing w:after="0" w:line="559"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1084" w:right="9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w w:val="97"/>
              </w:rPr>
              <w:t>CUSIP No.</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87427V103</w:t>
            </w:r>
          </w:p>
        </w:tc>
        <w:tc>
          <w:tcPr>
            <w:tcW w:w="60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600" w:type="dxa"/>
            <w:vAlign w:val="bottom"/>
          </w:tcPr>
          <w:p>
            <w:pPr>
              <w:ind w:left="40"/>
              <w:spacing w:after="0"/>
              <w:rPr>
                <w:sz w:val="20"/>
                <w:szCs w:val="20"/>
                <w:color w:val="auto"/>
              </w:rPr>
            </w:pPr>
            <w:r>
              <w:rPr>
                <w:rFonts w:ascii="Arial" w:cs="Arial" w:eastAsia="Arial" w:hAnsi="Arial"/>
                <w:sz w:val="18"/>
                <w:szCs w:val="18"/>
                <w:color w:val="auto"/>
              </w:rPr>
              <w:t>(a).</w:t>
            </w:r>
          </w:p>
        </w:tc>
        <w:tc>
          <w:tcPr>
            <w:tcW w:w="8640" w:type="dxa"/>
            <w:vAlign w:val="bottom"/>
            <w:gridSpan w:val="3"/>
          </w:tcPr>
          <w:p>
            <w:pPr>
              <w:spacing w:after="0"/>
              <w:rPr>
                <w:sz w:val="20"/>
                <w:szCs w:val="20"/>
                <w:color w:val="auto"/>
              </w:rPr>
            </w:pPr>
            <w:r>
              <w:rPr>
                <w:rFonts w:ascii="Arial" w:cs="Arial" w:eastAsia="Arial" w:hAnsi="Arial"/>
                <w:sz w:val="18"/>
                <w:szCs w:val="18"/>
                <w:color w:val="auto"/>
              </w:rPr>
              <w:t>Name of Issuer:</w:t>
            </w:r>
          </w:p>
        </w:tc>
        <w:tc>
          <w:tcPr>
            <w:tcW w:w="1120" w:type="dxa"/>
            <w:vAlign w:val="bottom"/>
          </w:tcPr>
          <w:p>
            <w:pPr>
              <w:spacing w:after="0"/>
              <w:rPr>
                <w:sz w:val="24"/>
                <w:szCs w:val="24"/>
                <w:color w:val="auto"/>
              </w:rPr>
            </w:pPr>
          </w:p>
        </w:tc>
      </w:tr>
      <w:tr>
        <w:trPr>
          <w:trHeight w:val="466"/>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Talkspace, Inc.</w:t>
            </w:r>
          </w:p>
        </w:tc>
        <w:tc>
          <w:tcPr>
            <w:tcW w:w="112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(b).</w:t>
            </w:r>
          </w:p>
        </w:tc>
        <w:tc>
          <w:tcPr>
            <w:tcW w:w="8640" w:type="dxa"/>
            <w:vAlign w:val="bottom"/>
            <w:gridSpan w:val="3"/>
          </w:tcPr>
          <w:p>
            <w:pPr>
              <w:spacing w:after="0"/>
              <w:rPr>
                <w:sz w:val="20"/>
                <w:szCs w:val="20"/>
                <w:color w:val="auto"/>
              </w:rPr>
            </w:pPr>
            <w:r>
              <w:rPr>
                <w:rFonts w:ascii="Arial" w:cs="Arial" w:eastAsia="Arial" w:hAnsi="Arial"/>
                <w:sz w:val="18"/>
                <w:szCs w:val="18"/>
                <w:color w:val="auto"/>
              </w:rPr>
              <w:t>Address of issuer's principal executive offices:</w:t>
            </w:r>
          </w:p>
        </w:tc>
        <w:tc>
          <w:tcPr>
            <w:tcW w:w="1120" w:type="dxa"/>
            <w:vAlign w:val="bottom"/>
          </w:tcPr>
          <w:p>
            <w:pPr>
              <w:spacing w:after="0"/>
              <w:rPr>
                <w:sz w:val="24"/>
                <w:szCs w:val="24"/>
                <w:color w:val="auto"/>
              </w:rPr>
            </w:pPr>
          </w:p>
        </w:tc>
      </w:tr>
      <w:tr>
        <w:trPr>
          <w:trHeight w:val="688"/>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570 Lexington Avenue, 35th Floor</w:t>
            </w:r>
          </w:p>
        </w:tc>
        <w:tc>
          <w:tcPr>
            <w:tcW w:w="1120" w:type="dxa"/>
            <w:vAlign w:val="bottom"/>
          </w:tcPr>
          <w:p>
            <w:pPr>
              <w:spacing w:after="0"/>
              <w:rPr>
                <w:sz w:val="24"/>
                <w:szCs w:val="24"/>
                <w:color w:val="auto"/>
              </w:rPr>
            </w:pPr>
          </w:p>
        </w:tc>
      </w:tr>
      <w:tr>
        <w:trPr>
          <w:trHeight w:val="237"/>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New York, New York 10022</w:t>
            </w:r>
          </w:p>
        </w:tc>
        <w:tc>
          <w:tcPr>
            <w:tcW w:w="112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600" w:type="dxa"/>
            <w:vAlign w:val="bottom"/>
          </w:tcPr>
          <w:p>
            <w:pPr>
              <w:ind w:left="40"/>
              <w:spacing w:after="0"/>
              <w:rPr>
                <w:sz w:val="20"/>
                <w:szCs w:val="20"/>
                <w:color w:val="auto"/>
              </w:rPr>
            </w:pPr>
            <w:r>
              <w:rPr>
                <w:rFonts w:ascii="Arial" w:cs="Arial" w:eastAsia="Arial" w:hAnsi="Arial"/>
                <w:sz w:val="18"/>
                <w:szCs w:val="18"/>
                <w:color w:val="auto"/>
              </w:rPr>
              <w:t>(a).</w:t>
            </w:r>
          </w:p>
        </w:tc>
        <w:tc>
          <w:tcPr>
            <w:tcW w:w="8640" w:type="dxa"/>
            <w:vAlign w:val="bottom"/>
            <w:gridSpan w:val="3"/>
          </w:tcPr>
          <w:p>
            <w:pPr>
              <w:spacing w:after="0"/>
              <w:rPr>
                <w:sz w:val="20"/>
                <w:szCs w:val="20"/>
                <w:color w:val="auto"/>
              </w:rPr>
            </w:pPr>
            <w:r>
              <w:rPr>
                <w:rFonts w:ascii="Arial" w:cs="Arial" w:eastAsia="Arial" w:hAnsi="Arial"/>
                <w:sz w:val="18"/>
                <w:szCs w:val="18"/>
                <w:color w:val="auto"/>
              </w:rPr>
              <w:t>Name of person filing:</w:t>
            </w:r>
          </w:p>
        </w:tc>
        <w:tc>
          <w:tcPr>
            <w:tcW w:w="1120" w:type="dxa"/>
            <w:vAlign w:val="bottom"/>
          </w:tcPr>
          <w:p>
            <w:pPr>
              <w:spacing w:after="0"/>
              <w:rPr>
                <w:sz w:val="24"/>
                <w:szCs w:val="24"/>
                <w:color w:val="auto"/>
              </w:rPr>
            </w:pPr>
          </w:p>
        </w:tc>
      </w:tr>
      <w:tr>
        <w:trPr>
          <w:trHeight w:val="445"/>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Harbor Spring Master Fund, LP</w:t>
            </w:r>
          </w:p>
        </w:tc>
        <w:tc>
          <w:tcPr>
            <w:tcW w:w="11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Harbor Spring GP, LLC</w:t>
            </w:r>
          </w:p>
        </w:tc>
        <w:tc>
          <w:tcPr>
            <w:tcW w:w="1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Harbor Spring Capital, LLC</w:t>
            </w:r>
          </w:p>
        </w:tc>
        <w:tc>
          <w:tcPr>
            <w:tcW w:w="1120" w:type="dxa"/>
            <w:vAlign w:val="bottom"/>
          </w:tcPr>
          <w:p>
            <w:pPr>
              <w:spacing w:after="0"/>
              <w:rPr>
                <w:sz w:val="18"/>
                <w:szCs w:val="18"/>
                <w:color w:val="auto"/>
              </w:rPr>
            </w:pPr>
          </w:p>
        </w:tc>
      </w:tr>
      <w:tr>
        <w:trPr>
          <w:trHeight w:val="237"/>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Amit Doshi</w:t>
            </w:r>
          </w:p>
        </w:tc>
        <w:tc>
          <w:tcPr>
            <w:tcW w:w="112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(b).</w:t>
            </w:r>
          </w:p>
        </w:tc>
        <w:tc>
          <w:tcPr>
            <w:tcW w:w="8640" w:type="dxa"/>
            <w:vAlign w:val="bottom"/>
            <w:gridSpan w:val="3"/>
          </w:tcPr>
          <w:p>
            <w:pPr>
              <w:spacing w:after="0"/>
              <w:rPr>
                <w:sz w:val="20"/>
                <w:szCs w:val="20"/>
                <w:color w:val="auto"/>
              </w:rPr>
            </w:pPr>
            <w:r>
              <w:rPr>
                <w:rFonts w:ascii="Arial" w:cs="Arial" w:eastAsia="Arial" w:hAnsi="Arial"/>
                <w:sz w:val="18"/>
                <w:szCs w:val="18"/>
                <w:color w:val="auto"/>
              </w:rPr>
              <w:t>Address or principal business office or, if none, residence:</w:t>
            </w:r>
          </w:p>
        </w:tc>
        <w:tc>
          <w:tcPr>
            <w:tcW w:w="1120" w:type="dxa"/>
            <w:vAlign w:val="bottom"/>
          </w:tcPr>
          <w:p>
            <w:pPr>
              <w:spacing w:after="0"/>
              <w:rPr>
                <w:sz w:val="24"/>
                <w:szCs w:val="24"/>
                <w:color w:val="auto"/>
              </w:rPr>
            </w:pPr>
          </w:p>
        </w:tc>
      </w:tr>
      <w:tr>
        <w:trPr>
          <w:trHeight w:val="418"/>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Harbor Spring Master Fund, LP</w:t>
            </w:r>
          </w:p>
        </w:tc>
        <w:tc>
          <w:tcPr>
            <w:tcW w:w="11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c/o Harbor Spring GP, LLC</w:t>
            </w:r>
          </w:p>
        </w:tc>
        <w:tc>
          <w:tcPr>
            <w:tcW w:w="1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437 Madison Avenue, Floor 28</w:t>
            </w:r>
          </w:p>
        </w:tc>
        <w:tc>
          <w:tcPr>
            <w:tcW w:w="11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New York, New York 10022</w:t>
            </w:r>
          </w:p>
        </w:tc>
        <w:tc>
          <w:tcPr>
            <w:tcW w:w="11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Harbor Spring GP, LLC</w:t>
            </w:r>
          </w:p>
        </w:tc>
        <w:tc>
          <w:tcPr>
            <w:tcW w:w="11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437 Madison Avenue, Floor 28</w:t>
            </w:r>
          </w:p>
        </w:tc>
        <w:tc>
          <w:tcPr>
            <w:tcW w:w="11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New York, New York 10022</w:t>
            </w:r>
          </w:p>
        </w:tc>
        <w:tc>
          <w:tcPr>
            <w:tcW w:w="11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Harbor Spring Capital, LLC</w:t>
            </w:r>
          </w:p>
        </w:tc>
        <w:tc>
          <w:tcPr>
            <w:tcW w:w="11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437 Madison Avenue, Floor 28</w:t>
            </w:r>
          </w:p>
        </w:tc>
        <w:tc>
          <w:tcPr>
            <w:tcW w:w="11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New York, New York 10022</w:t>
            </w:r>
          </w:p>
        </w:tc>
        <w:tc>
          <w:tcPr>
            <w:tcW w:w="11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Amit Doshi</w:t>
            </w:r>
          </w:p>
        </w:tc>
        <w:tc>
          <w:tcPr>
            <w:tcW w:w="11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437 Madison Avenue, Floor 28</w:t>
            </w:r>
          </w:p>
        </w:tc>
        <w:tc>
          <w:tcPr>
            <w:tcW w:w="11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New York, New York 10022</w:t>
            </w:r>
          </w:p>
        </w:tc>
        <w:tc>
          <w:tcPr>
            <w:tcW w:w="112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(c).</w:t>
            </w:r>
          </w:p>
        </w:tc>
        <w:tc>
          <w:tcPr>
            <w:tcW w:w="8640" w:type="dxa"/>
            <w:vAlign w:val="bottom"/>
            <w:gridSpan w:val="3"/>
          </w:tcPr>
          <w:p>
            <w:pPr>
              <w:spacing w:after="0"/>
              <w:rPr>
                <w:sz w:val="20"/>
                <w:szCs w:val="20"/>
                <w:color w:val="auto"/>
              </w:rPr>
            </w:pPr>
            <w:r>
              <w:rPr>
                <w:rFonts w:ascii="Arial" w:cs="Arial" w:eastAsia="Arial" w:hAnsi="Arial"/>
                <w:sz w:val="18"/>
                <w:szCs w:val="18"/>
                <w:color w:val="auto"/>
              </w:rPr>
              <w:t>Citizenship:</w:t>
            </w:r>
          </w:p>
        </w:tc>
        <w:tc>
          <w:tcPr>
            <w:tcW w:w="1120" w:type="dxa"/>
            <w:vAlign w:val="bottom"/>
          </w:tcPr>
          <w:p>
            <w:pPr>
              <w:spacing w:after="0"/>
              <w:rPr>
                <w:sz w:val="24"/>
                <w:szCs w:val="24"/>
                <w:color w:val="auto"/>
              </w:rPr>
            </w:pPr>
          </w:p>
        </w:tc>
      </w:tr>
      <w:tr>
        <w:trPr>
          <w:trHeight w:val="445"/>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Harbor Spring Master Fund, LP – Cayman Islands</w:t>
            </w:r>
          </w:p>
        </w:tc>
        <w:tc>
          <w:tcPr>
            <w:tcW w:w="11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Harbor Spring GP, LLC – Delaware</w:t>
            </w:r>
          </w:p>
        </w:tc>
        <w:tc>
          <w:tcPr>
            <w:tcW w:w="1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Harbor Spring Capital, LLC – Delaware</w:t>
            </w:r>
          </w:p>
        </w:tc>
        <w:tc>
          <w:tcPr>
            <w:tcW w:w="1120" w:type="dxa"/>
            <w:vAlign w:val="bottom"/>
          </w:tcPr>
          <w:p>
            <w:pPr>
              <w:spacing w:after="0"/>
              <w:rPr>
                <w:sz w:val="18"/>
                <w:szCs w:val="18"/>
                <w:color w:val="auto"/>
              </w:rPr>
            </w:pPr>
          </w:p>
        </w:tc>
      </w:tr>
      <w:tr>
        <w:trPr>
          <w:trHeight w:val="237"/>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Amit Doshi – United States of America</w:t>
            </w:r>
          </w:p>
        </w:tc>
        <w:tc>
          <w:tcPr>
            <w:tcW w:w="112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(d).</w:t>
            </w:r>
          </w:p>
        </w:tc>
        <w:tc>
          <w:tcPr>
            <w:tcW w:w="8640" w:type="dxa"/>
            <w:vAlign w:val="bottom"/>
            <w:gridSpan w:val="3"/>
          </w:tcPr>
          <w:p>
            <w:pPr>
              <w:spacing w:after="0"/>
              <w:rPr>
                <w:sz w:val="20"/>
                <w:szCs w:val="20"/>
                <w:color w:val="auto"/>
              </w:rPr>
            </w:pPr>
            <w:r>
              <w:rPr>
                <w:rFonts w:ascii="Arial" w:cs="Arial" w:eastAsia="Arial" w:hAnsi="Arial"/>
                <w:sz w:val="18"/>
                <w:szCs w:val="18"/>
                <w:color w:val="auto"/>
              </w:rPr>
              <w:t>Title of class of securities:</w:t>
            </w:r>
          </w:p>
        </w:tc>
        <w:tc>
          <w:tcPr>
            <w:tcW w:w="1120" w:type="dxa"/>
            <w:vAlign w:val="bottom"/>
          </w:tcPr>
          <w:p>
            <w:pPr>
              <w:spacing w:after="0"/>
              <w:rPr>
                <w:sz w:val="24"/>
                <w:szCs w:val="24"/>
                <w:color w:val="auto"/>
              </w:rPr>
            </w:pPr>
          </w:p>
        </w:tc>
      </w:tr>
      <w:tr>
        <w:trPr>
          <w:trHeight w:val="466"/>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Common Stock, par value $0.0001 per share</w:t>
            </w:r>
          </w:p>
        </w:tc>
        <w:tc>
          <w:tcPr>
            <w:tcW w:w="112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(e).</w:t>
            </w:r>
          </w:p>
        </w:tc>
        <w:tc>
          <w:tcPr>
            <w:tcW w:w="8640" w:type="dxa"/>
            <w:vAlign w:val="bottom"/>
            <w:gridSpan w:val="3"/>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spacing w:after="0"/>
              <w:rPr>
                <w:sz w:val="24"/>
                <w:szCs w:val="24"/>
                <w:color w:val="auto"/>
              </w:rPr>
            </w:pPr>
          </w:p>
        </w:tc>
      </w:tr>
      <w:tr>
        <w:trPr>
          <w:trHeight w:val="466"/>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87427V103</w:t>
            </w:r>
          </w:p>
        </w:tc>
        <w:tc>
          <w:tcPr>
            <w:tcW w:w="1120" w:type="dxa"/>
            <w:vAlign w:val="bottom"/>
          </w:tcPr>
          <w:p>
            <w:pPr>
              <w:spacing w:after="0"/>
              <w:rPr>
                <w:sz w:val="24"/>
                <w:szCs w:val="24"/>
                <w:color w:val="auto"/>
              </w:rPr>
            </w:pPr>
          </w:p>
        </w:tc>
      </w:tr>
      <w:tr>
        <w:trPr>
          <w:trHeight w:val="459"/>
        </w:trPr>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ind w:left="1580" w:hanging="668"/>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Act (15 U.S.C. 78o).</w:t>
      </w:r>
    </w:p>
    <w:p>
      <w:pPr>
        <w:spacing w:after="0" w:line="279" w:lineRule="exact"/>
        <w:rPr>
          <w:rFonts w:ascii="Arial" w:cs="Arial" w:eastAsia="Arial" w:hAnsi="Arial"/>
          <w:sz w:val="18"/>
          <w:szCs w:val="18"/>
          <w:color w:val="auto"/>
        </w:rPr>
      </w:pPr>
    </w:p>
    <w:p>
      <w:pPr>
        <w:ind w:left="1580" w:hanging="668"/>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Bank as defined in section 3(a)(6) of the Act (15 U.S.C. 78c).</w:t>
      </w:r>
    </w:p>
    <w:p>
      <w:pPr>
        <w:spacing w:after="0" w:line="279" w:lineRule="exact"/>
        <w:rPr>
          <w:rFonts w:ascii="Arial" w:cs="Arial" w:eastAsia="Arial" w:hAnsi="Arial"/>
          <w:sz w:val="18"/>
          <w:szCs w:val="18"/>
          <w:color w:val="auto"/>
        </w:rPr>
      </w:pPr>
    </w:p>
    <w:p>
      <w:pPr>
        <w:ind w:left="1580" w:hanging="668"/>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Act (15 U.S.C. 78c).</w:t>
      </w:r>
    </w:p>
    <w:p>
      <w:pPr>
        <w:spacing w:after="0" w:line="279" w:lineRule="exact"/>
        <w:rPr>
          <w:rFonts w:ascii="Arial" w:cs="Arial" w:eastAsia="Arial" w:hAnsi="Arial"/>
          <w:sz w:val="18"/>
          <w:szCs w:val="18"/>
          <w:color w:val="auto"/>
        </w:rPr>
      </w:pPr>
    </w:p>
    <w:p>
      <w:pPr>
        <w:ind w:left="1580" w:hanging="668"/>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 (15 U.S.C. 80a-8).</w:t>
      </w:r>
    </w:p>
    <w:p>
      <w:pPr>
        <w:spacing w:after="0" w:line="279" w:lineRule="exact"/>
        <w:rPr>
          <w:rFonts w:ascii="Arial" w:cs="Arial" w:eastAsia="Arial" w:hAnsi="Arial"/>
          <w:sz w:val="18"/>
          <w:szCs w:val="18"/>
          <w:color w:val="auto"/>
        </w:rPr>
      </w:pPr>
    </w:p>
    <w:p>
      <w:pPr>
        <w:ind w:left="1580" w:hanging="668"/>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investment adviser in accordance with § 240.13d-1(b)(1)(ii)(E);</w:t>
      </w:r>
    </w:p>
    <w:p>
      <w:pPr>
        <w:spacing w:after="0" w:line="279" w:lineRule="exact"/>
        <w:rPr>
          <w:rFonts w:ascii="Arial" w:cs="Arial" w:eastAsia="Arial" w:hAnsi="Arial"/>
          <w:sz w:val="18"/>
          <w:szCs w:val="18"/>
          <w:color w:val="auto"/>
        </w:rPr>
      </w:pPr>
    </w:p>
    <w:p>
      <w:pPr>
        <w:ind w:left="1580" w:hanging="668"/>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An employee benefit plan or endowment fund in accordance with § 240.13d-1(b)(1)(ii)(F);</w:t>
      </w:r>
    </w:p>
    <w:p>
      <w:pPr>
        <w:spacing w:after="0" w:line="279" w:lineRule="exact"/>
        <w:rPr>
          <w:rFonts w:ascii="Arial" w:cs="Arial" w:eastAsia="Arial" w:hAnsi="Arial"/>
          <w:sz w:val="18"/>
          <w:szCs w:val="18"/>
          <w:color w:val="auto"/>
        </w:rPr>
      </w:pPr>
    </w:p>
    <w:p>
      <w:pPr>
        <w:ind w:left="1580" w:hanging="668"/>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A parent holding company or control person in accordance with §240.13d-1(b)(1)(ii)(G);</w:t>
      </w:r>
    </w:p>
    <w:p>
      <w:pPr>
        <w:spacing w:after="0" w:line="279" w:lineRule="exact"/>
        <w:rPr>
          <w:rFonts w:ascii="Arial" w:cs="Arial" w:eastAsia="Arial" w:hAnsi="Arial"/>
          <w:sz w:val="18"/>
          <w:szCs w:val="18"/>
          <w:color w:val="auto"/>
        </w:rPr>
      </w:pPr>
    </w:p>
    <w:p>
      <w:pPr>
        <w:ind w:left="1580" w:hanging="668"/>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A savings association as defined in Section 3(b) of the Federal Deposit Insurance Act (12 U.S.C.1813);</w:t>
      </w:r>
    </w:p>
    <w:p>
      <w:pPr>
        <w:spacing w:after="0" w:line="279" w:lineRule="exact"/>
        <w:rPr>
          <w:rFonts w:ascii="Arial" w:cs="Arial" w:eastAsia="Arial" w:hAnsi="Arial"/>
          <w:sz w:val="18"/>
          <w:szCs w:val="18"/>
          <w:color w:val="auto"/>
        </w:rPr>
      </w:pPr>
    </w:p>
    <w:p>
      <w:pPr>
        <w:ind w:left="2040" w:right="600" w:hanging="1128"/>
        <w:spacing w:after="0" w:line="277" w:lineRule="auto"/>
        <w:tabs>
          <w:tab w:leader="none" w:pos="15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580" w:hanging="668"/>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A non-U.S. institution in accordance with §240.13d-1(b)(1)(ii)(J);</w:t>
      </w:r>
    </w:p>
    <w:p>
      <w:pPr>
        <w:spacing w:after="0" w:line="279" w:lineRule="exact"/>
        <w:rPr>
          <w:rFonts w:ascii="Arial" w:cs="Arial" w:eastAsia="Arial" w:hAnsi="Arial"/>
          <w:sz w:val="18"/>
          <w:szCs w:val="18"/>
          <w:color w:val="auto"/>
        </w:rPr>
      </w:pPr>
    </w:p>
    <w:p>
      <w:pPr>
        <w:ind w:left="2040" w:right="20" w:hanging="1128"/>
        <w:spacing w:after="0" w:line="277" w:lineRule="auto"/>
        <w:tabs>
          <w:tab w:leader="none" w:pos="15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[_] Group, in accordance with §240.13d-1(b)(1)(ii)(K). If filing as a non-U.S. institution in accordance with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134620</wp:posOffset>
            </wp:positionV>
            <wp:extent cx="5846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480" w:hanging="460"/>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rFonts w:ascii="Arial" w:cs="Arial" w:eastAsia="Arial" w:hAnsi="Arial"/>
          <w:sz w:val="18"/>
          <w:szCs w:val="18"/>
          <w:color w:val="auto"/>
        </w:rPr>
      </w:pPr>
    </w:p>
    <w:p>
      <w:pPr>
        <w:ind w:left="1480" w:right="6440"/>
        <w:spacing w:after="0" w:line="259" w:lineRule="auto"/>
        <w:rPr>
          <w:rFonts w:ascii="Arial" w:cs="Arial" w:eastAsia="Arial" w:hAnsi="Arial"/>
          <w:sz w:val="18"/>
          <w:szCs w:val="18"/>
          <w:color w:val="auto"/>
        </w:rPr>
      </w:pPr>
      <w:r>
        <w:rPr>
          <w:rFonts w:ascii="Arial" w:cs="Arial" w:eastAsia="Arial" w:hAnsi="Arial"/>
          <w:sz w:val="18"/>
          <w:szCs w:val="18"/>
          <w:color w:val="auto"/>
        </w:rPr>
        <w:t>Harbor Spring Master Fund, LP – 7,884,141 Harbor Spring GP, LLC – 7,884,141 Harbor Spring Capital, LLC – 7,884,141 Amit Doshi – 7,884,141</w:t>
      </w:r>
    </w:p>
    <w:p>
      <w:pPr>
        <w:spacing w:after="0" w:line="240" w:lineRule="exact"/>
        <w:rPr>
          <w:rFonts w:ascii="Arial" w:cs="Arial" w:eastAsia="Arial" w:hAnsi="Arial"/>
          <w:sz w:val="18"/>
          <w:szCs w:val="18"/>
          <w:color w:val="auto"/>
        </w:rPr>
      </w:pPr>
    </w:p>
    <w:p>
      <w:pPr>
        <w:ind w:left="1480" w:hanging="460"/>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1480" w:right="6700"/>
        <w:spacing w:after="0" w:line="259" w:lineRule="auto"/>
        <w:rPr>
          <w:rFonts w:ascii="Arial" w:cs="Arial" w:eastAsia="Arial" w:hAnsi="Arial"/>
          <w:sz w:val="18"/>
          <w:szCs w:val="18"/>
          <w:color w:val="auto"/>
        </w:rPr>
      </w:pPr>
      <w:r>
        <w:rPr>
          <w:rFonts w:ascii="Arial" w:cs="Arial" w:eastAsia="Arial" w:hAnsi="Arial"/>
          <w:sz w:val="18"/>
          <w:szCs w:val="18"/>
          <w:color w:val="auto"/>
        </w:rPr>
        <w:t>Harbor Spring Master Fund, LP – 4.98% Harbor Spring GP, LLC – 4.98% Harbor Spring Capital, LLC – 4.98% Amit Doshi – 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-8890</wp:posOffset>
            </wp:positionV>
            <wp:extent cx="61976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-1020445</wp:posOffset>
            </wp:positionV>
            <wp:extent cx="61976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084" w:right="459" w:bottom="1440" w:gutter="0" w:footer="0" w:header="0"/>
        </w:sectPr>
      </w:pPr>
    </w:p>
    <w:bookmarkStart w:id="7" w:name="page8"/>
    <w:bookmarkEnd w:id="7"/>
    <w:p>
      <w:pPr>
        <w:ind w:left="1480" w:hanging="460"/>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040" w:right="6340" w:hanging="561"/>
        <w:spacing w:after="0" w:line="255" w:lineRule="auto"/>
        <w:tabs>
          <w:tab w:leader="none" w:pos="2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 Harbor Spring Master Fund, LP – 0 Harbor Spring GP, LLC – 0</w:t>
      </w:r>
    </w:p>
    <w:p>
      <w:pPr>
        <w:spacing w:after="0" w:line="2" w:lineRule="exact"/>
        <w:rPr>
          <w:rFonts w:ascii="Arial" w:cs="Arial" w:eastAsia="Arial" w:hAnsi="Arial"/>
          <w:sz w:val="18"/>
          <w:szCs w:val="18"/>
          <w:color w:val="auto"/>
        </w:rPr>
      </w:pPr>
    </w:p>
    <w:p>
      <w:pPr>
        <w:ind w:left="2040" w:right="6860"/>
        <w:spacing w:after="0" w:line="260" w:lineRule="auto"/>
        <w:rPr>
          <w:rFonts w:ascii="Arial" w:cs="Arial" w:eastAsia="Arial" w:hAnsi="Arial"/>
          <w:sz w:val="18"/>
          <w:szCs w:val="18"/>
          <w:color w:val="auto"/>
        </w:rPr>
      </w:pPr>
      <w:r>
        <w:rPr>
          <w:rFonts w:ascii="Arial" w:cs="Arial" w:eastAsia="Arial" w:hAnsi="Arial"/>
          <w:sz w:val="18"/>
          <w:szCs w:val="18"/>
          <w:color w:val="auto"/>
        </w:rPr>
        <w:t>Harbor Spring Capital, LLC – 0 Amit Doshi – 0</w:t>
      </w:r>
    </w:p>
    <w:p>
      <w:pPr>
        <w:spacing w:after="0" w:line="225" w:lineRule="exact"/>
        <w:rPr>
          <w:rFonts w:ascii="Arial" w:cs="Arial" w:eastAsia="Arial" w:hAnsi="Arial"/>
          <w:sz w:val="18"/>
          <w:szCs w:val="18"/>
          <w:color w:val="auto"/>
        </w:rPr>
      </w:pPr>
    </w:p>
    <w:p>
      <w:pPr>
        <w:ind w:left="2040" w:right="5960" w:hanging="561"/>
        <w:spacing w:after="0" w:line="257" w:lineRule="auto"/>
        <w:tabs>
          <w:tab w:leader="none" w:pos="2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Harbor Spring Master Fund, LP – 7,884,141 Harbor Spring GP, LLC – 7,884,141 Harbor Spring Capital, LLC – 7,884,141 Amit Doshi – 7,884,141</w:t>
      </w:r>
    </w:p>
    <w:p>
      <w:pPr>
        <w:spacing w:after="0" w:line="255" w:lineRule="exact"/>
        <w:rPr>
          <w:rFonts w:ascii="Arial" w:cs="Arial" w:eastAsia="Arial" w:hAnsi="Arial"/>
          <w:sz w:val="18"/>
          <w:szCs w:val="18"/>
          <w:color w:val="auto"/>
        </w:rPr>
      </w:pPr>
    </w:p>
    <w:p>
      <w:pPr>
        <w:ind w:left="2040" w:right="5440" w:hanging="561"/>
        <w:spacing w:after="0" w:line="274" w:lineRule="auto"/>
        <w:tabs>
          <w:tab w:leader="none" w:pos="20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Harbor Spring Master Fund, LP – 0</w:t>
      </w:r>
    </w:p>
    <w:p>
      <w:pPr>
        <w:ind w:left="2040" w:right="6860"/>
        <w:spacing w:after="0" w:line="255" w:lineRule="auto"/>
        <w:rPr>
          <w:rFonts w:ascii="Arial" w:cs="Arial" w:eastAsia="Arial" w:hAnsi="Arial"/>
          <w:sz w:val="17"/>
          <w:szCs w:val="17"/>
          <w:color w:val="auto"/>
        </w:rPr>
      </w:pPr>
      <w:r>
        <w:rPr>
          <w:rFonts w:ascii="Arial" w:cs="Arial" w:eastAsia="Arial" w:hAnsi="Arial"/>
          <w:sz w:val="18"/>
          <w:szCs w:val="18"/>
          <w:color w:val="auto"/>
        </w:rPr>
        <w:t>Harbor Spring GP, LLC – 0 Harbor Spring Capital, LLC – 0 Amit Doshi – 0</w:t>
      </w:r>
    </w:p>
    <w:p>
      <w:pPr>
        <w:spacing w:after="0" w:line="230" w:lineRule="exact"/>
        <w:rPr>
          <w:rFonts w:ascii="Arial" w:cs="Arial" w:eastAsia="Arial" w:hAnsi="Arial"/>
          <w:sz w:val="17"/>
          <w:szCs w:val="17"/>
          <w:color w:val="auto"/>
        </w:rPr>
      </w:pPr>
    </w:p>
    <w:p>
      <w:pPr>
        <w:ind w:left="2040" w:right="5260" w:hanging="561"/>
        <w:spacing w:after="0" w:line="255" w:lineRule="auto"/>
        <w:tabs>
          <w:tab w:leader="none" w:pos="2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Harbor Spring Master Fund, LP – 7,884,141 Harbor Spring GP, LLC – 7,884,141</w:t>
      </w:r>
    </w:p>
    <w:p>
      <w:pPr>
        <w:spacing w:after="0" w:line="2" w:lineRule="exact"/>
        <w:rPr>
          <w:rFonts w:ascii="Arial" w:cs="Arial" w:eastAsia="Arial" w:hAnsi="Arial"/>
          <w:sz w:val="18"/>
          <w:szCs w:val="18"/>
          <w:color w:val="auto"/>
        </w:rPr>
      </w:pPr>
    </w:p>
    <w:p>
      <w:pPr>
        <w:ind w:left="2040" w:right="6220"/>
        <w:spacing w:after="0" w:line="260" w:lineRule="auto"/>
        <w:rPr>
          <w:rFonts w:ascii="Arial" w:cs="Arial" w:eastAsia="Arial" w:hAnsi="Arial"/>
          <w:sz w:val="18"/>
          <w:szCs w:val="18"/>
          <w:color w:val="auto"/>
        </w:rPr>
      </w:pPr>
      <w:r>
        <w:rPr>
          <w:rFonts w:ascii="Arial" w:cs="Arial" w:eastAsia="Arial" w:hAnsi="Arial"/>
          <w:sz w:val="18"/>
          <w:szCs w:val="18"/>
          <w:color w:val="auto"/>
        </w:rPr>
        <w:t>Harbor Spring Capital, LLC – 7,884,141 Amit Doshi – 7,884,141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-1270</wp:posOffset>
            </wp:positionV>
            <wp:extent cx="58375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7555" cy="1714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-849630</wp:posOffset>
            </wp:positionV>
            <wp:extent cx="58375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7555" cy="1714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-1715770</wp:posOffset>
            </wp:positionV>
            <wp:extent cx="58375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7555" cy="1714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-2564130</wp:posOffset>
            </wp:positionV>
            <wp:extent cx="58375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7555" cy="17145"/>
                    </a:xfrm>
                    <a:prstGeom prst="rect">
                      <a:avLst/>
                    </a:prstGeom>
                    <a:noFill/>
                  </pic:spPr>
                </pic:pic>
              </a:graphicData>
            </a:graphic>
          </wp:anchor>
        </w:drawing>
      </w: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020" w:right="1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As of September 28, 2022, the reporting persons have ceased to be the beneficial owner of more than 5% of the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39370</wp:posOffset>
            </wp:positionV>
            <wp:extent cx="6489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5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02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31750</wp:posOffset>
            </wp:positionV>
            <wp:extent cx="6489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8" w:name="page9"/>
    <w:bookmarkEnd w:id="8"/>
    <w:p>
      <w:pPr>
        <w:ind w:left="1260" w:right="240" w:hanging="1241"/>
        <w:spacing w:after="0" w:line="277" w:lineRule="auto"/>
        <w:tabs>
          <w:tab w:leader="none" w:pos="12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97" w:lineRule="exact"/>
        <w:rPr>
          <w:sz w:val="20"/>
          <w:szCs w:val="20"/>
          <w:color w:val="auto"/>
        </w:rPr>
      </w:pPr>
    </w:p>
    <w:p>
      <w:pPr>
        <w:jc w:val="both"/>
        <w:ind w:left="1260"/>
        <w:spacing w:after="0" w:line="311"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31750</wp:posOffset>
            </wp:positionV>
            <wp:extent cx="63436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7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260" w:right="140"/>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31750</wp:posOffset>
            </wp:positionV>
            <wp:extent cx="63436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79" w:lineRule="exact"/>
        <w:rPr>
          <w:sz w:val="20"/>
          <w:szCs w:val="20"/>
          <w:color w:val="auto"/>
        </w:rPr>
      </w:pPr>
    </w:p>
    <w:p>
      <w:pPr>
        <w:ind w:left="126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31750</wp:posOffset>
            </wp:positionV>
            <wp:extent cx="63436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252" w:lineRule="exact"/>
        <w:rPr>
          <w:sz w:val="20"/>
          <w:szCs w:val="20"/>
          <w:color w:val="auto"/>
        </w:rPr>
      </w:pPr>
    </w:p>
    <w:p>
      <w:pPr>
        <w:ind w:left="158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September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Harbor Spring Master Fund,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Harbor Spring GP, LLC,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Amit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Name: Amit Doshi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Harbor Spring GP,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Amit Doshi</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Amit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Harbor Spring Capital,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Amit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Name: Amit Doshi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Amit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Amit Doshi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*Each of the Reporting Persons disclaims beneficial ownership in the shares reported herein except to the extent of his or its pecuniary interest therein.</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undersigned agree that this Schedule 13G dated September 29, 2022 relating to the Common Stock, par value $0.0001 per share of Talkspace, Inc., shall be filed on behalf of the undersigned.</w:t>
      </w:r>
    </w:p>
    <w:p>
      <w:pPr>
        <w:spacing w:after="0" w:line="38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September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Harbor Spring Master Fund,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Harbor Spring GP, LLC,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Amit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Name: Amit Doshi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Harbor Spring GP,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Amit Doshi</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Amit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Harbor Spring Capital,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Amit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Name: Amit Doshi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Amit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Amit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1154430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5"/>
    </w:lvl>
  </w:abstractNum>
  <w:abstractNum w:abstractNumId="4">
    <w:nsid w:val="140E0F76"/>
    <w:multiLevelType w:val="hybridMultilevel"/>
    <w:lvl w:ilvl="0">
      <w:lvlJc w:val="left"/>
      <w:lvlText w:val="%1."/>
      <w:numFmt w:val="decimal"/>
      <w:start w:val="1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1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1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2022-09-29T14:39:53Z</dcterms:created>
  <dcterms:modified xsi:type="dcterms:W3CDTF">2022-09-29T14:39:53Z</dcterms:modified>
</cp:coreProperties>
</file>