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438"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660" w:type="dxa"/>
            <w:vAlign w:val="bottom"/>
            <w:tcBorders>
              <w:bottom w:val="single" w:sz="8" w:color="auto"/>
            </w:tcBorders>
          </w:tcPr>
          <w:p>
            <w:pPr>
              <w:spacing w:after="0"/>
              <w:rPr>
                <w:sz w:val="17"/>
                <w:szCs w:val="17"/>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rPr>
              <w:t>to</w:t>
            </w:r>
          </w:p>
        </w:tc>
      </w:tr>
      <w:tr>
        <w:trPr>
          <w:trHeight w:val="358"/>
        </w:trPr>
        <w:tc>
          <w:tcPr>
            <w:tcW w:w="3420" w:type="dxa"/>
            <w:vAlign w:val="bottom"/>
            <w:gridSpan w:val="3"/>
          </w:tcPr>
          <w:p>
            <w:pPr>
              <w:ind w:left="560"/>
              <w:spacing w:after="0"/>
              <w:rPr>
                <w:sz w:val="20"/>
                <w:szCs w:val="20"/>
                <w:color w:val="auto"/>
              </w:rPr>
            </w:pPr>
            <w:r>
              <w:rPr>
                <w:rFonts w:ascii="Arial" w:cs="Arial" w:eastAsia="Arial" w:hAnsi="Arial"/>
                <w:sz w:val="18"/>
                <w:szCs w:val="18"/>
                <w:b w:val="1"/>
                <w:bCs w:val="1"/>
                <w:color w:val="auto"/>
                <w:w w:val="90"/>
              </w:rPr>
              <w:t>Commission File Number: 001-39314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TALKSPACE, INC.</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4"/>
          <w:szCs w:val="24"/>
          <w:color w:val="auto"/>
        </w:rPr>
      </w:pPr>
    </w:p>
    <w:tbl>
      <w:tblPr>
        <w:tblLayout w:type="fixed"/>
        <w:tblInd w:w="1780" w:type="dxa"/>
        <w:tblCellMar>
          <w:top w:w="0" w:type="dxa"/>
          <w:left w:w="0" w:type="dxa"/>
          <w:bottom w:w="0" w:type="dxa"/>
          <w:right w:w="0" w:type="dxa"/>
        </w:tblCellMar>
      </w:tblPr>
      <w:tr>
        <w:trPr>
          <w:trHeight w:val="210"/>
        </w:trPr>
        <w:tc>
          <w:tcPr>
            <w:tcW w:w="4120" w:type="dxa"/>
            <w:vAlign w:val="bottom"/>
          </w:tcPr>
          <w:p>
            <w:pPr>
              <w:jc w:val="center"/>
              <w:ind w:right="1990"/>
              <w:spacing w:after="0"/>
              <w:rPr>
                <w:sz w:val="20"/>
                <w:szCs w:val="20"/>
                <w:color w:val="auto"/>
              </w:rPr>
            </w:pPr>
            <w:r>
              <w:rPr>
                <w:rFonts w:ascii="Arial" w:cs="Arial" w:eastAsia="Arial" w:hAnsi="Arial"/>
                <w:sz w:val="16"/>
                <w:szCs w:val="16"/>
                <w:b w:val="1"/>
                <w:bCs w:val="1"/>
                <w:color w:val="auto"/>
                <w:w w:val="93"/>
              </w:rPr>
              <w:t>Delaware</w:t>
            </w:r>
          </w:p>
        </w:tc>
        <w:tc>
          <w:tcPr>
            <w:tcW w:w="3040" w:type="dxa"/>
            <w:vAlign w:val="bottom"/>
          </w:tcPr>
          <w:p>
            <w:pPr>
              <w:jc w:val="center"/>
              <w:ind w:left="1950"/>
              <w:spacing w:after="0"/>
              <w:rPr>
                <w:sz w:val="20"/>
                <w:szCs w:val="20"/>
                <w:color w:val="auto"/>
              </w:rPr>
            </w:pPr>
            <w:r>
              <w:rPr>
                <w:rFonts w:ascii="Arial" w:cs="Arial" w:eastAsia="Arial" w:hAnsi="Arial"/>
                <w:sz w:val="16"/>
                <w:szCs w:val="16"/>
                <w:b w:val="1"/>
                <w:bCs w:val="1"/>
                <w:color w:val="auto"/>
                <w:w w:val="91"/>
              </w:rPr>
              <w:t>84-4636604</w:t>
            </w:r>
          </w:p>
        </w:tc>
      </w:tr>
      <w:tr>
        <w:trPr>
          <w:trHeight w:val="190"/>
        </w:trPr>
        <w:tc>
          <w:tcPr>
            <w:tcW w:w="4120" w:type="dxa"/>
            <w:vAlign w:val="bottom"/>
          </w:tcPr>
          <w:p>
            <w:pPr>
              <w:jc w:val="center"/>
              <w:ind w:right="1970"/>
              <w:spacing w:after="0"/>
              <w:rPr>
                <w:sz w:val="20"/>
                <w:szCs w:val="20"/>
                <w:color w:val="auto"/>
              </w:rPr>
            </w:pPr>
            <w:r>
              <w:rPr>
                <w:rFonts w:ascii="Arial" w:cs="Arial" w:eastAsia="Arial" w:hAnsi="Arial"/>
                <w:sz w:val="13"/>
                <w:szCs w:val="13"/>
                <w:b w:val="1"/>
                <w:bCs w:val="1"/>
                <w:color w:val="auto"/>
                <w:w w:val="87"/>
              </w:rPr>
              <w:t>( State or other jurisdiction of</w:t>
            </w:r>
          </w:p>
        </w:tc>
        <w:tc>
          <w:tcPr>
            <w:tcW w:w="3040" w:type="dxa"/>
            <w:vAlign w:val="bottom"/>
          </w:tcPr>
          <w:p>
            <w:pPr>
              <w:jc w:val="center"/>
              <w:ind w:left="1950"/>
              <w:spacing w:after="0"/>
              <w:rPr>
                <w:sz w:val="20"/>
                <w:szCs w:val="20"/>
                <w:color w:val="auto"/>
              </w:rPr>
            </w:pPr>
            <w:r>
              <w:rPr>
                <w:rFonts w:ascii="Arial" w:cs="Arial" w:eastAsia="Arial" w:hAnsi="Arial"/>
                <w:sz w:val="13"/>
                <w:szCs w:val="13"/>
                <w:b w:val="1"/>
                <w:bCs w:val="1"/>
                <w:color w:val="auto"/>
                <w:w w:val="90"/>
              </w:rPr>
              <w:t>(I.R.S. Employer</w:t>
            </w:r>
          </w:p>
        </w:tc>
      </w:tr>
      <w:tr>
        <w:trPr>
          <w:trHeight w:val="178"/>
        </w:trPr>
        <w:tc>
          <w:tcPr>
            <w:tcW w:w="4120" w:type="dxa"/>
            <w:vAlign w:val="bottom"/>
          </w:tcPr>
          <w:p>
            <w:pPr>
              <w:jc w:val="center"/>
              <w:ind w:right="1970"/>
              <w:spacing w:after="0"/>
              <w:rPr>
                <w:sz w:val="20"/>
                <w:szCs w:val="20"/>
                <w:color w:val="auto"/>
              </w:rPr>
            </w:pPr>
            <w:r>
              <w:rPr>
                <w:rFonts w:ascii="Arial" w:cs="Arial" w:eastAsia="Arial" w:hAnsi="Arial"/>
                <w:sz w:val="13"/>
                <w:szCs w:val="13"/>
                <w:b w:val="1"/>
                <w:bCs w:val="1"/>
                <w:color w:val="auto"/>
                <w:w w:val="88"/>
              </w:rPr>
              <w:t>incorporation or organization)</w:t>
            </w:r>
          </w:p>
        </w:tc>
        <w:tc>
          <w:tcPr>
            <w:tcW w:w="3040" w:type="dxa"/>
            <w:vAlign w:val="bottom"/>
          </w:tcPr>
          <w:p>
            <w:pPr>
              <w:jc w:val="center"/>
              <w:ind w:left="1950"/>
              <w:spacing w:after="0"/>
              <w:rPr>
                <w:sz w:val="20"/>
                <w:szCs w:val="20"/>
                <w:color w:val="auto"/>
              </w:rPr>
            </w:pPr>
            <w:r>
              <w:rPr>
                <w:rFonts w:ascii="Arial" w:cs="Arial" w:eastAsia="Arial" w:hAnsi="Arial"/>
                <w:sz w:val="13"/>
                <w:szCs w:val="13"/>
                <w:b w:val="1"/>
                <w:bCs w:val="1"/>
                <w:color w:val="auto"/>
                <w:w w:val="89"/>
              </w:rPr>
              <w:t>Identification No.)</w:t>
            </w:r>
          </w:p>
        </w:tc>
      </w:tr>
      <w:tr>
        <w:trPr>
          <w:trHeight w:val="226"/>
        </w:trPr>
        <w:tc>
          <w:tcPr>
            <w:tcW w:w="4120" w:type="dxa"/>
            <w:vAlign w:val="bottom"/>
          </w:tcPr>
          <w:p>
            <w:pPr>
              <w:jc w:val="center"/>
              <w:ind w:right="1970"/>
              <w:spacing w:after="0"/>
              <w:rPr>
                <w:sz w:val="20"/>
                <w:szCs w:val="20"/>
                <w:color w:val="auto"/>
              </w:rPr>
            </w:pPr>
            <w:r>
              <w:rPr>
                <w:rFonts w:ascii="Arial" w:cs="Arial" w:eastAsia="Arial" w:hAnsi="Arial"/>
                <w:sz w:val="16"/>
                <w:szCs w:val="16"/>
                <w:b w:val="1"/>
                <w:bCs w:val="1"/>
                <w:color w:val="auto"/>
                <w:w w:val="91"/>
              </w:rPr>
              <w:t>Not applicable</w:t>
            </w:r>
          </w:p>
        </w:tc>
        <w:tc>
          <w:tcPr>
            <w:tcW w:w="3040" w:type="dxa"/>
            <w:vAlign w:val="bottom"/>
          </w:tcPr>
          <w:p>
            <w:pPr>
              <w:jc w:val="center"/>
              <w:ind w:left="1970"/>
              <w:spacing w:after="0"/>
              <w:rPr>
                <w:sz w:val="20"/>
                <w:szCs w:val="20"/>
                <w:color w:val="auto"/>
              </w:rPr>
            </w:pPr>
            <w:r>
              <w:rPr>
                <w:rFonts w:ascii="Arial" w:cs="Arial" w:eastAsia="Arial" w:hAnsi="Arial"/>
                <w:sz w:val="16"/>
                <w:szCs w:val="16"/>
                <w:b w:val="1"/>
                <w:bCs w:val="1"/>
                <w:color w:val="auto"/>
                <w:w w:val="91"/>
              </w:rPr>
              <w:t>Not applicable</w:t>
            </w:r>
          </w:p>
        </w:tc>
      </w:tr>
      <w:tr>
        <w:trPr>
          <w:trHeight w:val="206"/>
        </w:trPr>
        <w:tc>
          <w:tcPr>
            <w:tcW w:w="4120" w:type="dxa"/>
            <w:vAlign w:val="bottom"/>
          </w:tcPr>
          <w:p>
            <w:pPr>
              <w:jc w:val="center"/>
              <w:ind w:right="197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40" w:type="dxa"/>
            <w:vAlign w:val="bottom"/>
          </w:tcPr>
          <w:p>
            <w:pPr>
              <w:jc w:val="center"/>
              <w:ind w:left="1950"/>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(212) 284-7206</w:t>
      </w:r>
    </w:p>
    <w:p>
      <w:pPr>
        <w:spacing w:after="0" w:line="90"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0"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TALK</w:t>
            </w:r>
          </w:p>
        </w:tc>
        <w:tc>
          <w:tcPr>
            <w:tcW w:w="120" w:type="dxa"/>
            <w:vAlign w:val="bottom"/>
          </w:tcPr>
          <w:p>
            <w:pPr>
              <w:spacing w:after="0"/>
              <w:rPr>
                <w:sz w:val="18"/>
                <w:szCs w:val="18"/>
                <w:color w:val="auto"/>
              </w:rPr>
            </w:pPr>
          </w:p>
        </w:tc>
        <w:tc>
          <w:tcPr>
            <w:tcW w:w="5040" w:type="dxa"/>
            <w:vAlign w:val="bottom"/>
          </w:tcPr>
          <w:p>
            <w:pPr>
              <w:ind w:left="1780"/>
              <w:spacing w:after="0"/>
              <w:rPr>
                <w:sz w:val="20"/>
                <w:szCs w:val="20"/>
                <w:color w:val="auto"/>
              </w:rPr>
            </w:pPr>
            <w:r>
              <w:rPr>
                <w:rFonts w:ascii="Arial" w:cs="Arial" w:eastAsia="Arial" w:hAnsi="Arial"/>
                <w:sz w:val="16"/>
                <w:szCs w:val="16"/>
                <w:color w:val="auto"/>
              </w:rPr>
              <w:t>Nasdaq Stock Market</w:t>
            </w:r>
          </w:p>
        </w:tc>
      </w:tr>
      <w:tr>
        <w:trPr>
          <w:trHeight w:val="229"/>
        </w:trPr>
        <w:tc>
          <w:tcPr>
            <w:tcW w:w="4280" w:type="dxa"/>
            <w:vAlign w:val="bottom"/>
          </w:tcPr>
          <w:p>
            <w:pPr>
              <w:ind w:left="20"/>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TALKW</w:t>
            </w:r>
          </w:p>
        </w:tc>
        <w:tc>
          <w:tcPr>
            <w:tcW w:w="120" w:type="dxa"/>
            <w:vAlign w:val="bottom"/>
          </w:tcPr>
          <w:p>
            <w:pPr>
              <w:spacing w:after="0"/>
              <w:rPr>
                <w:sz w:val="19"/>
                <w:szCs w:val="19"/>
                <w:color w:val="auto"/>
              </w:rPr>
            </w:pPr>
          </w:p>
        </w:tc>
        <w:tc>
          <w:tcPr>
            <w:tcW w:w="5040" w:type="dxa"/>
            <w:vAlign w:val="bottom"/>
          </w:tcPr>
          <w:p>
            <w:pPr>
              <w:ind w:left="1780"/>
              <w:spacing w:after="0"/>
              <w:rPr>
                <w:sz w:val="20"/>
                <w:szCs w:val="20"/>
                <w:color w:val="auto"/>
              </w:rPr>
            </w:pPr>
            <w:r>
              <w:rPr>
                <w:rFonts w:ascii="Arial" w:cs="Arial" w:eastAsia="Arial" w:hAnsi="Arial"/>
                <w:sz w:val="16"/>
                <w:szCs w:val="16"/>
                <w:color w:val="auto"/>
              </w:rPr>
              <w:t>Nasdaq Stock Market</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600" w:right="206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8, 2021, the registrant had 152,307,497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3"/>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tcPr>
          <w:p>
            <w:pPr>
              <w:spacing w:after="0"/>
              <w:rPr>
                <w:sz w:val="19"/>
                <w:szCs w:val="19"/>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23"/>
          </w:tcPr>
          <w:p>
            <w:pPr>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Financial Statements (Unaudited)</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6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Balance Sheets as of September 30, 2021 (unaudited) and December 31, 2020</w:t>
              </w:r>
            </w:hyperlink>
          </w:p>
        </w:tc>
        <w:tc>
          <w:tcPr>
            <w:tcW w:w="20" w:type="dxa"/>
            <w:vAlign w:val="bottom"/>
            <w:tcBorders>
              <w:bottom w:val="single" w:sz="8" w:color="0000EE"/>
            </w:tcBorders>
          </w:tcPr>
          <w:p>
            <w:pPr>
              <w:spacing w:after="0"/>
              <w:rPr>
                <w:sz w:val="19"/>
                <w:szCs w:val="19"/>
                <w:color w:val="auto"/>
              </w:rPr>
            </w:pPr>
          </w:p>
        </w:tc>
        <w:tc>
          <w:tcPr>
            <w:tcW w:w="182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80" w:type="dxa"/>
            <w:vAlign w:val="bottom"/>
            <w:tcBorders>
              <w:bottom w:val="single" w:sz="8" w:color="0000FF"/>
            </w:tcBorders>
            <w:gridSpan w:val="2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Condensed Consolidated Statements of Operations and Comprehensive Income (Loss) (unaudited) for the three and nine months</w:t>
              </w:r>
            </w:hyperlink>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tcBorders>
              <w:bottom w:val="single" w:sz="8" w:color="0000FF"/>
            </w:tcBorders>
            <w:gridSpan w:val="11"/>
          </w:tcPr>
          <w:p>
            <w:pPr>
              <w:spacing w:after="0"/>
              <w:rPr>
                <w:rFonts w:ascii="Arial" w:cs="Arial" w:eastAsia="Arial" w:hAnsi="Arial"/>
                <w:sz w:val="18"/>
                <w:szCs w:val="18"/>
                <w:color w:val="0000FF"/>
                <w:w w:val="87"/>
              </w:rPr>
            </w:pPr>
            <w:hyperlink w:anchor="page9">
              <w:r>
                <w:rPr>
                  <w:rFonts w:ascii="Arial" w:cs="Arial" w:eastAsia="Arial" w:hAnsi="Arial"/>
                  <w:sz w:val="18"/>
                  <w:szCs w:val="18"/>
                  <w:color w:val="0000FF"/>
                  <w:w w:val="87"/>
                </w:rPr>
                <w:t>ended September 30, 2021 and 2020</w:t>
              </w:r>
            </w:hyperlink>
          </w:p>
        </w:tc>
        <w:tc>
          <w:tcPr>
            <w:tcW w:w="20" w:type="dxa"/>
            <w:vAlign w:val="bottom"/>
            <w:tcBorders>
              <w:bottom w:val="single" w:sz="8" w:color="0000EE"/>
            </w:tcBorders>
          </w:tcPr>
          <w:p>
            <w:pPr>
              <w:spacing w:after="0"/>
              <w:rPr>
                <w:sz w:val="18"/>
                <w:szCs w:val="18"/>
                <w:color w:val="auto"/>
              </w:rPr>
            </w:pPr>
          </w:p>
        </w:tc>
        <w:tc>
          <w:tcPr>
            <w:tcW w:w="664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20" w:type="dxa"/>
            <w:vAlign w:val="bottom"/>
            <w:tcBorders>
              <w:bottom w:val="single" w:sz="8" w:color="0000FF"/>
            </w:tcBorders>
            <w:gridSpan w:val="20"/>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Condensed Consolidated Statements of Stockholder’s Equity (Deficit) (unaudited) for the three and nine months ended</w:t>
              </w:r>
            </w:hyperlink>
          </w:p>
        </w:tc>
        <w:tc>
          <w:tcPr>
            <w:tcW w:w="68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3"/>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September 30, 2021 and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720" w:type="dxa"/>
            <w:vAlign w:val="bottom"/>
            <w:tcBorders>
              <w:bottom w:val="single" w:sz="8" w:color="0000FF"/>
            </w:tcBorders>
            <w:gridSpan w:val="21"/>
          </w:tcPr>
          <w:p>
            <w:pPr>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Condensed Consolidated Statements of Cash Flows (unaudited) for the nine months ended September 30, 2021 and 2020</w:t>
              </w:r>
            </w:hyperlink>
          </w:p>
        </w:tc>
        <w:tc>
          <w:tcPr>
            <w:tcW w:w="58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8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3"/>
          </w:tcPr>
          <w:p>
            <w:pPr>
              <w:spacing w:after="0"/>
              <w:rPr>
                <w:sz w:val="19"/>
                <w:szCs w:val="19"/>
                <w:color w:val="auto"/>
              </w:rPr>
            </w:pPr>
          </w:p>
        </w:tc>
        <w:tc>
          <w:tcPr>
            <w:tcW w:w="284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4">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3"/>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2"/>
                <w:szCs w:val="22"/>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23"/>
          </w:tcPr>
          <w:p>
            <w:pPr>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Unregistered Sales of Equity Securities and Use of Proceeds</w:t>
              </w:r>
            </w:hyperlink>
          </w:p>
        </w:tc>
        <w:tc>
          <w:tcPr>
            <w:tcW w:w="494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Defaults Upon Senior Securities</w:t>
              </w:r>
            </w:hyperlink>
          </w:p>
        </w:tc>
        <w:tc>
          <w:tcPr>
            <w:tcW w:w="696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Mine Safety Disclosures</w:t>
              </w:r>
            </w:hyperlink>
          </w:p>
        </w:tc>
        <w:tc>
          <w:tcPr>
            <w:tcW w:w="752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23"/>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Exhibits</w:t>
              </w:r>
            </w:hyperlink>
          </w:p>
        </w:tc>
        <w:tc>
          <w:tcPr>
            <w:tcW w:w="7980" w:type="dxa"/>
            <w:vAlign w:val="bottom"/>
            <w:gridSpan w:val="19"/>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60" w:type="dxa"/>
            <w:vAlign w:val="bottom"/>
            <w:gridSpan w:val="3"/>
          </w:tcPr>
          <w:p>
            <w:pPr>
              <w:ind w:left="20"/>
              <w:spacing w:after="0"/>
              <w:rPr>
                <w:rFonts w:ascii="Arial" w:cs="Arial" w:eastAsia="Arial" w:hAnsi="Arial"/>
                <w:sz w:val="18"/>
                <w:szCs w:val="18"/>
                <w:color w:val="0000FF"/>
              </w:rPr>
            </w:pPr>
            <w:hyperlink w:anchor="page75">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5"/>
          </w:tcPr>
          <w:p>
            <w:pPr>
              <w:ind w:left="44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ind w:left="4280"/>
        <w:spacing w:after="0"/>
        <w:rPr>
          <w:sz w:val="20"/>
          <w:szCs w:val="20"/>
          <w:color w:val="auto"/>
        </w:rPr>
      </w:pPr>
      <w:r>
        <w:rPr>
          <w:rFonts w:ascii="Arial" w:cs="Arial" w:eastAsia="Arial" w:hAnsi="Arial"/>
          <w:sz w:val="22"/>
          <w:szCs w:val="22"/>
          <w:b w:val="1"/>
          <w:bCs w:val="1"/>
          <w:color w:val="auto"/>
        </w:rPr>
        <w:t>BASIS OF PRESENTATION</w:t>
      </w:r>
    </w:p>
    <w:p>
      <w:pPr>
        <w:spacing w:after="0" w:line="125" w:lineRule="exact"/>
        <w:rPr>
          <w:sz w:val="20"/>
          <w:szCs w:val="20"/>
          <w:color w:val="auto"/>
        </w:rPr>
      </w:pPr>
    </w:p>
    <w:p>
      <w:pPr>
        <w:jc w:val="center"/>
        <w:ind w:right="5060"/>
        <w:spacing w:after="0"/>
        <w:rPr>
          <w:sz w:val="20"/>
          <w:szCs w:val="20"/>
          <w:color w:val="auto"/>
        </w:rPr>
      </w:pPr>
      <w:r>
        <w:rPr>
          <w:rFonts w:ascii="Arial" w:cs="Arial" w:eastAsia="Arial" w:hAnsi="Arial"/>
          <w:sz w:val="16"/>
          <w:szCs w:val="16"/>
          <w:color w:val="auto"/>
        </w:rPr>
        <w:t>As used in this Quarterly Report, unless the context otherwise requires, references to:</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are to the Talkspace, Inc. 2021 Incentive Award Plan;</w:t>
      </w:r>
    </w:p>
    <w:p>
      <w:pPr>
        <w:spacing w:after="0" w:line="131" w:lineRule="exact"/>
        <w:rPr>
          <w:sz w:val="20"/>
          <w:szCs w:val="20"/>
          <w:color w:val="auto"/>
        </w:rPr>
      </w:pPr>
    </w:p>
    <w:p>
      <w:pPr>
        <w:ind w:left="700" w:right="4060"/>
        <w:spacing w:after="0" w:line="3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are to, together, (i) the First Merger and (ii) the Second Merger;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are to our bylaws dated June 22, 2021;</w:t>
      </w:r>
    </w:p>
    <w:p>
      <w:pPr>
        <w:spacing w:after="0" w:line="1" w:lineRule="exact"/>
        <w:rPr>
          <w:sz w:val="20"/>
          <w:szCs w:val="20"/>
          <w:color w:val="auto"/>
        </w:rPr>
      </w:pPr>
    </w:p>
    <w:p>
      <w:pPr>
        <w:ind w:left="700" w:right="600"/>
        <w:spacing w:after="0" w:line="3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are to the second amended and restated certificate of incorporation of Talkspace, Inc. dated June 22, 2021;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are to the consummation of the Business Combination;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are to the Delaware General Corporation Law, as amended;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2021 ESPP”</w:t>
      </w:r>
      <w:r>
        <w:rPr>
          <w:rFonts w:ascii="Arial" w:cs="Arial" w:eastAsia="Arial" w:hAnsi="Arial"/>
          <w:sz w:val="18"/>
          <w:szCs w:val="18"/>
          <w:color w:val="auto"/>
        </w:rPr>
        <w:t xml:space="preserve"> are to the Talkspace, Inc. 2021 Employee Stock Purchase Plan;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are to the Securities Exchange Act of 1934, as amended;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are to the merger of First Merger Sub with and into Old Talkspace;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Merger Sub</w:t>
      </w:r>
      <w:r>
        <w:rPr>
          <w:rFonts w:ascii="Arial" w:cs="Arial" w:eastAsia="Arial" w:hAnsi="Arial"/>
          <w:sz w:val="18"/>
          <w:szCs w:val="18"/>
          <w:color w:val="auto"/>
        </w:rPr>
        <w:t>” are to Tailwind Merger Sub I, Inc.;</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HEC</w:t>
      </w:r>
      <w:r>
        <w:rPr>
          <w:rFonts w:ascii="Arial" w:cs="Arial" w:eastAsia="Arial" w:hAnsi="Arial"/>
          <w:sz w:val="18"/>
          <w:szCs w:val="18"/>
          <w:color w:val="auto"/>
        </w:rPr>
        <w:t>” are to Hudson Executive Investment Corp., a Delaware corporation;</w:t>
      </w:r>
    </w:p>
    <w:p>
      <w:pPr>
        <w:spacing w:after="0" w:line="131" w:lineRule="exact"/>
        <w:rPr>
          <w:sz w:val="20"/>
          <w:szCs w:val="20"/>
          <w:color w:val="auto"/>
        </w:rPr>
      </w:pPr>
    </w:p>
    <w:p>
      <w:pPr>
        <w:ind w:left="7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HEC Forward Purchase</w:t>
      </w:r>
      <w:r>
        <w:rPr>
          <w:rFonts w:ascii="Arial" w:cs="Arial" w:eastAsia="Arial" w:hAnsi="Arial"/>
          <w:sz w:val="18"/>
          <w:szCs w:val="18"/>
          <w:color w:val="auto"/>
        </w:rPr>
        <w:t>” are to the purchase by HEC Fund from HEC pursuant to the HEC Forward Purchase Agreement of 5,000,000 forward purchase units (the “Forward Purchase Units”), consisting of one share of Talkspace common stock and one-half of one warrant to purchase one share of Talkspace common stock, for $10.00 per unit, or an aggregate amount of $50,000,000, in a private placement closed concurrently with the Closing;</w:t>
      </w:r>
    </w:p>
    <w:p>
      <w:pPr>
        <w:spacing w:after="0" w:line="77" w:lineRule="exact"/>
        <w:rPr>
          <w:sz w:val="20"/>
          <w:szCs w:val="20"/>
          <w:color w:val="auto"/>
        </w:rPr>
      </w:pPr>
    </w:p>
    <w:p>
      <w:pPr>
        <w:ind w:left="700" w:right="24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HEC Forward Purchase Agreement</w:t>
      </w:r>
      <w:r>
        <w:rPr>
          <w:rFonts w:ascii="Arial" w:cs="Arial" w:eastAsia="Arial" w:hAnsi="Arial"/>
          <w:sz w:val="18"/>
          <w:szCs w:val="18"/>
          <w:color w:val="auto"/>
        </w:rPr>
        <w:t>” are to the forward purchase agreement, entered into as of June 8, 2020, by and between HEC and HEC Fund, as amended by that certain First Amendment to Forward Purchase Agreement, dated January 12, 2021;</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HEC Fund</w:t>
      </w:r>
      <w:r>
        <w:rPr>
          <w:rFonts w:ascii="Arial" w:cs="Arial" w:eastAsia="Arial" w:hAnsi="Arial"/>
          <w:sz w:val="18"/>
          <w:szCs w:val="18"/>
          <w:color w:val="auto"/>
        </w:rPr>
        <w:t>” are to HEC Master Fund LP, a Delaware limited partnership;</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HEC IPO</w:t>
      </w:r>
      <w:r>
        <w:rPr>
          <w:rFonts w:ascii="Arial" w:cs="Arial" w:eastAsia="Arial" w:hAnsi="Arial"/>
          <w:sz w:val="18"/>
          <w:szCs w:val="18"/>
          <w:color w:val="auto"/>
        </w:rPr>
        <w:t>” are to the initial public offering by HEC which closed on June 11, 2020;</w:t>
      </w:r>
    </w:p>
    <w:p>
      <w:pPr>
        <w:spacing w:after="0" w:line="131" w:lineRule="exact"/>
        <w:rPr>
          <w:sz w:val="20"/>
          <w:szCs w:val="20"/>
          <w:color w:val="auto"/>
        </w:rPr>
      </w:pPr>
    </w:p>
    <w:p>
      <w:pPr>
        <w:ind w:left="700" w:right="18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are to that certain Agreement and Plan of Merger, dated as of January 12, 2021, by and among HEC, Old Talkspace, First Merger Sub and Second Merger Sub;</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Old Talkspace</w:t>
      </w:r>
      <w:r>
        <w:rPr>
          <w:rFonts w:ascii="Arial" w:cs="Arial" w:eastAsia="Arial" w:hAnsi="Arial"/>
          <w:sz w:val="18"/>
          <w:szCs w:val="18"/>
          <w:color w:val="auto"/>
        </w:rPr>
        <w:t>” are to Groop Internet Platform, Inc. (d/b/a “Talkspace”), a Delaware corporation;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 are to the purchase of shares of Talkspace common stock pursuant to the Subscription Agreements;</w:t>
      </w:r>
    </w:p>
    <w:p>
      <w:pPr>
        <w:spacing w:after="0" w:line="131" w:lineRule="exact"/>
        <w:rPr>
          <w:sz w:val="20"/>
          <w:szCs w:val="20"/>
          <w:color w:val="auto"/>
        </w:rPr>
      </w:pPr>
    </w:p>
    <w:p>
      <w:pPr>
        <w:ind w:left="700" w:right="32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are to the warrants issued by HEC to the Sponsor in a private placement simultaneously with the closing of the HEC IPO and the warrants originally sold as part of the units in the HEC Forward Purchase;</w:t>
      </w:r>
    </w:p>
    <w:p>
      <w:pPr>
        <w:spacing w:after="0" w:line="62" w:lineRule="exact"/>
        <w:rPr>
          <w:sz w:val="20"/>
          <w:szCs w:val="20"/>
          <w:color w:val="auto"/>
        </w:rPr>
      </w:pPr>
    </w:p>
    <w:p>
      <w:pPr>
        <w:ind w:left="700" w:right="56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are to the warrants originally sold as part of the units in the HEC IPO (whether they were purchased in the HEC IPO or thereafter in the open market);</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are to the United States Securities and Exchange Commission;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Merger Sub</w:t>
      </w:r>
      <w:r>
        <w:rPr>
          <w:rFonts w:ascii="Arial" w:cs="Arial" w:eastAsia="Arial" w:hAnsi="Arial"/>
          <w:sz w:val="18"/>
          <w:szCs w:val="18"/>
          <w:color w:val="auto"/>
        </w:rPr>
        <w:t>” are to Tailwind Merger Sub II, LLC;</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are to HEC Sponsor LLC, a Delaware limited liability company;</w:t>
      </w:r>
    </w:p>
    <w:p>
      <w:pPr>
        <w:spacing w:after="0" w:line="131" w:lineRule="exact"/>
        <w:rPr>
          <w:sz w:val="20"/>
          <w:szCs w:val="20"/>
          <w:color w:val="auto"/>
        </w:rPr>
      </w:pPr>
    </w:p>
    <w:p>
      <w:pPr>
        <w:ind w:left="700" w:right="20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Support Agreement</w:t>
      </w:r>
      <w:r>
        <w:rPr>
          <w:rFonts w:ascii="Arial" w:cs="Arial" w:eastAsia="Arial" w:hAnsi="Arial"/>
          <w:sz w:val="18"/>
          <w:szCs w:val="18"/>
          <w:color w:val="auto"/>
        </w:rPr>
        <w:t>” are to that certain Support Agreement, dated as of January 12, 2021, by and among HEC, the HEC Insiders and Old Talkspace;</w:t>
      </w:r>
    </w:p>
    <w:p>
      <w:pPr>
        <w:spacing w:after="0" w:line="6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are to the subscription agreements entered into by and between HEC and the PIPE Investors, in each case, dated as of January 12, 2021 and entered into in connection with the PIPE Investment;</w:t>
      </w:r>
    </w:p>
    <w:p>
      <w:pPr>
        <w:spacing w:after="0" w:line="62" w:lineRule="exact"/>
        <w:rPr>
          <w:sz w:val="20"/>
          <w:szCs w:val="20"/>
          <w:color w:val="auto"/>
        </w:rPr>
      </w:pPr>
    </w:p>
    <w:p>
      <w:pPr>
        <w:ind w:left="5580" w:right="1180" w:hanging="4872"/>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are to, collectively, the Business Combination and the other transactions contemplated by the Merger Agreement;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 w:name="page4"/>
    <w:bookmarkEnd w:id="3"/>
    <w:p>
      <w:pPr>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are to that certain Warrant Agreement, dated as of June 8, 2020, by and between HEC and Continental Stock Transfer &amp; Trust Company; and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are to the public warrants and the private placement warrants.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020" w:top="476" w:right="55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46"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business strategy, expectations regarding the impact of COVID-19, our efforts to remediate our material weakness in internal control over financial reporting, and our objectives for future operations.</w:t>
      </w:r>
    </w:p>
    <w:p>
      <w:pPr>
        <w:spacing w:after="0" w:line="194"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These forward-looking statements are based on information available as of the date of this Quarterly Report and current expectations, forecasts and assumptions, which involve a number of judgments, risks and uncertainties, including without limitation, risks related to:</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history of losses and our ability to achieve or sustain profitability;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evolution of the markets in which we operate;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continue to grow our business;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limited operating history;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raise additional capital;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relating to our business, operations and financial performance, including:</w:t>
      </w:r>
    </w:p>
    <w:p>
      <w:pPr>
        <w:spacing w:after="0" w:line="131" w:lineRule="exact"/>
        <w:rPr>
          <w:sz w:val="20"/>
          <w:szCs w:val="20"/>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over financial reporting;</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and evolution of the virtual behavioral health market;</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increased competition in the virtual behavioral health market;</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products and brand, and to attract customers;</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develop and refine our technology platform;</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member base;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factors detailed under the section entitled “Risk Factors” in this Quarterly Report.</w:t>
      </w:r>
    </w:p>
    <w:p>
      <w:pPr>
        <w:spacing w:after="0" w:line="3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1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entitled “Risk Factors” in Part II, Item 1A of this Quarterly Report,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cause a decline in the price of shares of our common stock or warrants and result in a loss of all or a portion of your investment:</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a history of losses, which we expect to continue, and we may never achieve or sustain profitability.</w:t>
      </w:r>
    </w:p>
    <w:p>
      <w:pPr>
        <w:spacing w:after="0" w:line="198"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Our business and the markets we operate in are new and rapidly evolving which makes it difficult to evaluate our future prospects and the risks and challenges we may encounter.</w:t>
      </w:r>
    </w:p>
    <w:p>
      <w:pPr>
        <w:spacing w:after="0" w:line="143"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We may not grow at the rates we historically have achieved or at all, even if our key metrics may indicate growth, which could have a material adverse effect on the market price of our common stock.</w:t>
      </w:r>
    </w:p>
    <w:p>
      <w:pPr>
        <w:spacing w:after="0" w:line="129"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The virtual behavioral health market is immature and volatile, and if it does not develop, if it develops more slowly than we expect, if it encounters negative publicity or if our services are not competitive, the growth of our business will be harmed.</w:t>
      </w:r>
    </w:p>
    <w:p>
      <w:pPr>
        <w:spacing w:after="0" w:line="129"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The outbreak of the novel coronavirus (COVID-19) and its impact on business and economic conditions could adversely affect our business, results of operations and financial condition, and the extent and duration of those effects will be uncertain.</w:t>
      </w:r>
    </w:p>
    <w:p>
      <w:pPr>
        <w:spacing w:after="0" w:line="143" w:lineRule="exact"/>
        <w:rPr>
          <w:sz w:val="20"/>
          <w:szCs w:val="20"/>
          <w:color w:val="auto"/>
        </w:rPr>
      </w:pPr>
    </w:p>
    <w:p>
      <w:pPr>
        <w:jc w:val="both"/>
        <w:ind w:left="700" w:right="20"/>
        <w:spacing w:after="0" w:line="293" w:lineRule="auto"/>
        <w:rPr>
          <w:sz w:val="20"/>
          <w:szCs w:val="20"/>
          <w:color w:val="auto"/>
        </w:rPr>
      </w:pPr>
      <w:r>
        <w:rPr>
          <w:rFonts w:ascii="Arial" w:cs="Arial" w:eastAsia="Arial" w:hAnsi="Arial"/>
          <w:sz w:val="18"/>
          <w:szCs w:val="18"/>
          <w:color w:val="auto"/>
        </w:rPr>
        <w:t>We operate in a competitive industry, and if we are not able to compete effectively, our business, financial condition and results of operations will be harmed.</w:t>
      </w:r>
    </w:p>
    <w:p>
      <w:pPr>
        <w:spacing w:after="0" w:line="129" w:lineRule="exact"/>
        <w:rPr>
          <w:sz w:val="20"/>
          <w:szCs w:val="20"/>
          <w:color w:val="auto"/>
        </w:rPr>
      </w:pPr>
    </w:p>
    <w:p>
      <w:pPr>
        <w:jc w:val="both"/>
        <w:ind w:left="700"/>
        <w:spacing w:after="0" w:line="279" w:lineRule="auto"/>
        <w:rPr>
          <w:sz w:val="20"/>
          <w:szCs w:val="20"/>
          <w:color w:val="auto"/>
        </w:rPr>
      </w:pPr>
      <w:r>
        <w:rPr>
          <w:rFonts w:ascii="Arial" w:cs="Arial" w:eastAsia="Arial" w:hAnsi="Arial"/>
          <w:sz w:val="18"/>
          <w:szCs w:val="18"/>
          <w:color w:val="auto"/>
        </w:rPr>
        <w:t>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may be unsuccessful in achieving broad market education and changing consumer purchasing habits.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growth depends in part on the success of our strategic relationships with third parties that we provide services to.</w:t>
      </w:r>
    </w:p>
    <w:p>
      <w:pPr>
        <w:spacing w:after="0" w:line="198" w:lineRule="exact"/>
        <w:rPr>
          <w:sz w:val="20"/>
          <w:szCs w:val="20"/>
          <w:color w:val="auto"/>
        </w:rPr>
      </w:pPr>
    </w:p>
    <w:p>
      <w:pPr>
        <w:jc w:val="both"/>
        <w:ind w:left="700"/>
        <w:spacing w:after="0" w:line="279" w:lineRule="auto"/>
        <w:rPr>
          <w:sz w:val="20"/>
          <w:szCs w:val="20"/>
          <w:color w:val="auto"/>
        </w:rPr>
      </w:pPr>
      <w:r>
        <w:rPr>
          <w:rFonts w:ascii="Arial" w:cs="Arial" w:eastAsia="Arial" w:hAnsi="Arial"/>
          <w:sz w:val="18"/>
          <w:szCs w:val="18"/>
          <w:color w:val="auto"/>
        </w:rPr>
        <w:t>Our virtual behavioral healthcare strategies depend on our ability to maintain and expand our network of therapists, psychiatrists and other providers. If we are unable to do so, our future growth would be limited and our business, financial condition and results of operations would be harmed.</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Developments affecting spending by the healthcare industry could adversely affect our business.</w:t>
      </w:r>
    </w:p>
    <w:p>
      <w:pPr>
        <w:spacing w:after="0" w:line="212" w:lineRule="exact"/>
        <w:rPr>
          <w:sz w:val="20"/>
          <w:szCs w:val="20"/>
          <w:color w:val="auto"/>
        </w:rPr>
      </w:pPr>
    </w:p>
    <w:p>
      <w:pPr>
        <w:jc w:val="both"/>
        <w:ind w:left="700" w:right="20"/>
        <w:spacing w:after="0" w:line="293" w:lineRule="auto"/>
        <w:rPr>
          <w:sz w:val="20"/>
          <w:szCs w:val="20"/>
          <w:color w:val="auto"/>
        </w:rPr>
      </w:pPr>
      <w:r>
        <w:rPr>
          <w:rFonts w:ascii="Arial" w:cs="Arial" w:eastAsia="Arial" w:hAnsi="Arial"/>
          <w:sz w:val="18"/>
          <w:szCs w:val="18"/>
          <w:color w:val="auto"/>
        </w:rPr>
        <w:t>Our business could be adversely affected by legal challenges to our business model or by actions restricting our ability to provide the full range of our services in certain jurisdictions.</w:t>
      </w:r>
    </w:p>
    <w:p>
      <w:pPr>
        <w:spacing w:after="0" w:line="129" w:lineRule="exact"/>
        <w:rPr>
          <w:sz w:val="20"/>
          <w:szCs w:val="20"/>
          <w:color w:val="auto"/>
        </w:rPr>
      </w:pPr>
    </w:p>
    <w:p>
      <w:pPr>
        <w:jc w:val="both"/>
        <w:ind w:left="700"/>
        <w:spacing w:after="0" w:line="275" w:lineRule="auto"/>
        <w:rPr>
          <w:sz w:val="20"/>
          <w:szCs w:val="20"/>
          <w:color w:val="auto"/>
        </w:rPr>
      </w:pPr>
      <w:r>
        <w:rPr>
          <w:rFonts w:ascii="Arial" w:cs="Arial" w:eastAsia="Arial" w:hAnsi="Arial"/>
          <w:sz w:val="18"/>
          <w:szCs w:val="18"/>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145"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8"/>
          <w:szCs w:val="18"/>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15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Our use and disclosure of personally identifiable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Any failure to protect, enforce or defend our intellectual property rights could impair our ability to protect our technology and our brand.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may be subject to securities litigation, which is expensive and could divert management attention.</w:t>
      </w:r>
    </w:p>
    <w:p>
      <w:pPr>
        <w:spacing w:after="0" w:line="21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1020" w:top="54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September 30, 2021</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222,865</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5,318</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76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6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238,206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20,677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Deferred issuance costs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6,134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76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248,956</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LIABILITIES, CONVERTIBLE PREFERRED STOCK AND</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7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14,039</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Deferred revenues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8,302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76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7,634</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6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29,975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20,489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Warrant liabilities</w:t>
            </w: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FF0FC"/>
          </w:tcPr>
          <w:p>
            <w:pPr>
              <w:spacing w:after="0"/>
              <w:rPr>
                <w:sz w:val="20"/>
                <w:szCs w:val="20"/>
                <w:color w:val="auto"/>
              </w:rPr>
            </w:pPr>
          </w:p>
        </w:tc>
        <w:tc>
          <w:tcPr>
            <w:tcW w:w="76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42,073</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7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46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46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FF0FC"/>
          </w:tcPr>
          <w:p>
            <w:pPr>
              <w:spacing w:after="0"/>
              <w:rPr>
                <w:sz w:val="21"/>
                <w:szCs w:val="21"/>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4"/>
              </w:rPr>
              <w:t>Convertible preferred stock (Series Seed, Seed-1, Seed-2, A, B, C and D) of $0.0001 par value —</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5"/>
              </w:rPr>
              <w:t>Authorized: 100,000,000 and 95,709,146 shares at September 30, 2021 and December 31, 2020,</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1"/>
              </w:rPr>
              <w:t>respectively; Issued and outstanding: 0 and 94,582,550 shares at September 30, 2021 and December</w:t>
            </w:r>
          </w:p>
        </w:tc>
        <w:tc>
          <w:tcPr>
            <w:tcW w:w="160" w:type="dxa"/>
            <w:vAlign w:val="bottom"/>
            <w:shd w:val="clear" w:color="auto" w:fill="CFF0FC"/>
          </w:tcPr>
          <w:p>
            <w:pPr>
              <w:spacing w:after="0"/>
              <w:rPr>
                <w:sz w:val="19"/>
                <w:szCs w:val="1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shd w:val="clear" w:color="auto" w:fill="CFF0FC"/>
          </w:tcPr>
          <w:p>
            <w:pPr>
              <w:spacing w:after="0"/>
              <w:rPr>
                <w:sz w:val="20"/>
                <w:szCs w:val="20"/>
                <w:color w:val="auto"/>
              </w:rPr>
            </w:pPr>
          </w:p>
        </w:tc>
        <w:tc>
          <w:tcPr>
            <w:tcW w:w="76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31, 2020, respectively (1)</w:t>
            </w:r>
          </w:p>
        </w:tc>
        <w:tc>
          <w:tcPr>
            <w:tcW w:w="1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STOCKHOLDERS’ EQUITY (DEFICIT):</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FF0FC"/>
          </w:tcPr>
          <w:p>
            <w:pPr>
              <w:spacing w:after="0"/>
              <w:rPr>
                <w:sz w:val="21"/>
                <w:szCs w:val="21"/>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8"/>
              </w:rPr>
              <w:t>Common stock of $0.0001 par value — Authorized: 1,000,000,000 and 129,397,278 shares at</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1"/>
              </w:rPr>
              <w:t>September 30, 2021 and December 31, 2020, respectively; Issued and outstanding: 152,293,298 and</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13,413,431 shares at September 30, 2021 and December 31, 2020, respectively (1)</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 (1)</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357,330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7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(150,462 )</w:t>
            </w:r>
          </w:p>
        </w:tc>
        <w:tc>
          <w:tcPr>
            <w:tcW w:w="1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(108,788 )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Total stockholders’ equity (deficit)</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206,883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(98,898 )</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248,956</w:t>
            </w:r>
          </w:p>
        </w:tc>
        <w:tc>
          <w:tcPr>
            <w:tcW w:w="28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32,873</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7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-5328285</wp:posOffset>
            </wp:positionV>
            <wp:extent cx="17970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-5328285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-4333875</wp:posOffset>
            </wp:positionV>
            <wp:extent cx="17970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-4333875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-3056890</wp:posOffset>
            </wp:positionV>
            <wp:extent cx="17970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-3056890</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-2319655</wp:posOffset>
            </wp:positionV>
            <wp:extent cx="1797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-1436370</wp:posOffset>
            </wp:positionV>
            <wp:extent cx="1797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-1436370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-365125</wp:posOffset>
            </wp:positionV>
            <wp:extent cx="1797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179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797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120" w:firstLine="8"/>
        <w:spacing w:after="0" w:line="293" w:lineRule="auto"/>
        <w:tabs>
          <w:tab w:leader="none" w:pos="204"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Prior period results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120" w:type="dxa"/>
            <w:vAlign w:val="bottom"/>
            <w:shd w:val="clear" w:color="auto" w:fill="CFF0FC"/>
          </w:tcPr>
          <w:p>
            <w:pPr>
              <w:spacing w:after="0"/>
              <w:rPr>
                <w:sz w:val="22"/>
                <w:szCs w:val="22"/>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26,359</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21,505</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84,499</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50,502</w:t>
            </w:r>
          </w:p>
        </w:tc>
        <w:tc>
          <w:tcPr>
            <w:tcW w:w="100" w:type="dxa"/>
            <w:vAlign w:val="bottom"/>
            <w:shd w:val="clear" w:color="auto" w:fill="CFF0FC"/>
          </w:tcPr>
          <w:p>
            <w:pPr>
              <w:spacing w:after="0"/>
              <w:rPr>
                <w:sz w:val="22"/>
                <w:szCs w:val="22"/>
                <w:color w:val="auto"/>
              </w:rPr>
            </w:pPr>
          </w:p>
        </w:tc>
      </w:tr>
      <w:tr>
        <w:trPr>
          <w:trHeight w:val="250"/>
        </w:trPr>
        <w:tc>
          <w:tcPr>
            <w:tcW w:w="1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33,698</w:t>
            </w:r>
          </w:p>
        </w:tc>
        <w:tc>
          <w:tcPr>
            <w:tcW w:w="2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w:t>
            </w:r>
          </w:p>
        </w:tc>
        <w:tc>
          <w:tcPr>
            <w:tcW w:w="100" w:type="dxa"/>
            <w:vAlign w:val="bottom"/>
          </w:tcPr>
          <w:p>
            <w:pPr>
              <w:spacing w:after="0"/>
              <w:rPr>
                <w:sz w:val="21"/>
                <w:szCs w:val="21"/>
                <w:color w:val="auto"/>
              </w:rPr>
            </w:pPr>
          </w:p>
        </w:tc>
      </w:tr>
      <w:tr>
        <w:trPr>
          <w:trHeight w:val="250"/>
        </w:trPr>
        <w:tc>
          <w:tcPr>
            <w:tcW w:w="120" w:type="dxa"/>
            <w:vAlign w:val="bottom"/>
            <w:tcBorders>
              <w:bottom w:val="single" w:sz="8" w:color="CFF0FC"/>
            </w:tcBorders>
            <w:shd w:val="clear" w:color="auto" w:fill="CFF0FC"/>
          </w:tcPr>
          <w:p>
            <w:pPr>
              <w:spacing w:after="0"/>
              <w:rPr>
                <w:sz w:val="21"/>
                <w:szCs w:val="21"/>
                <w:color w:val="auto"/>
              </w:rPr>
            </w:pPr>
          </w:p>
        </w:tc>
        <w:tc>
          <w:tcPr>
            <w:tcW w:w="4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14,172</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50,801</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120" w:type="dxa"/>
            <w:vAlign w:val="bottom"/>
            <w:shd w:val="clear" w:color="auto" w:fill="CFF0FC"/>
          </w:tcPr>
          <w:p>
            <w:pPr>
              <w:spacing w:after="0"/>
              <w:rPr>
                <w:sz w:val="22"/>
                <w:szCs w:val="22"/>
                <w:color w:val="auto"/>
              </w:rPr>
            </w:pPr>
          </w:p>
        </w:tc>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 net</w:t>
            </w: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12,023</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100" w:type="dxa"/>
            <w:vAlign w:val="bottom"/>
            <w:shd w:val="clear" w:color="auto" w:fill="CFF0FC"/>
          </w:tcPr>
          <w:p>
            <w:pPr>
              <w:spacing w:after="0"/>
              <w:rPr>
                <w:sz w:val="22"/>
                <w:szCs w:val="22"/>
                <w:color w:val="auto"/>
              </w:rPr>
            </w:pPr>
          </w:p>
        </w:tc>
      </w:tr>
      <w:tr>
        <w:trPr>
          <w:trHeight w:val="250"/>
        </w:trPr>
        <w:tc>
          <w:tcPr>
            <w:tcW w:w="120" w:type="dxa"/>
            <w:vAlign w:val="bottom"/>
          </w:tcPr>
          <w:p>
            <w:pPr>
              <w:spacing w:after="0"/>
              <w:rPr>
                <w:sz w:val="21"/>
                <w:szCs w:val="21"/>
                <w:color w:val="auto"/>
              </w:rPr>
            </w:pPr>
          </w:p>
        </w:tc>
        <w:tc>
          <w:tcPr>
            <w:tcW w:w="4620" w:type="dxa"/>
            <w:vAlign w:val="bottom"/>
            <w:gridSpan w:val="2"/>
          </w:tcPr>
          <w:p>
            <w:pPr>
              <w:ind w:left="260"/>
              <w:spacing w:after="0"/>
              <w:rPr>
                <w:sz w:val="20"/>
                <w:szCs w:val="20"/>
                <w:color w:val="auto"/>
              </w:rPr>
            </w:pPr>
            <w:r>
              <w:rPr>
                <w:rFonts w:ascii="Arial" w:cs="Arial" w:eastAsia="Arial" w:hAnsi="Arial"/>
                <w:sz w:val="18"/>
                <w:szCs w:val="18"/>
                <w:color w:val="auto"/>
              </w:rPr>
              <w:t>Clinical operations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1,896</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5,886</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1"/>
                <w:szCs w:val="21"/>
                <w:color w:val="auto"/>
              </w:rPr>
            </w:pPr>
          </w:p>
        </w:tc>
      </w:tr>
      <w:tr>
        <w:trPr>
          <w:trHeight w:val="263"/>
        </w:trPr>
        <w:tc>
          <w:tcPr>
            <w:tcW w:w="120" w:type="dxa"/>
            <w:vAlign w:val="bottom"/>
            <w:shd w:val="clear" w:color="auto" w:fill="CFF0FC"/>
          </w:tcPr>
          <w:p>
            <w:pPr>
              <w:spacing w:after="0"/>
              <w:rPr>
                <w:sz w:val="22"/>
                <w:szCs w:val="22"/>
                <w:color w:val="auto"/>
              </w:rPr>
            </w:pPr>
          </w:p>
        </w:tc>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26,431</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12,660</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75,125</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30,020</w:t>
            </w:r>
          </w:p>
        </w:tc>
        <w:tc>
          <w:tcPr>
            <w:tcW w:w="100" w:type="dxa"/>
            <w:vAlign w:val="bottom"/>
            <w:shd w:val="clear" w:color="auto" w:fill="CFF0FC"/>
          </w:tcPr>
          <w:p>
            <w:pPr>
              <w:spacing w:after="0"/>
              <w:rPr>
                <w:sz w:val="22"/>
                <w:szCs w:val="22"/>
                <w:color w:val="auto"/>
              </w:rPr>
            </w:pPr>
          </w:p>
        </w:tc>
      </w:tr>
      <w:tr>
        <w:trPr>
          <w:trHeight w:val="250"/>
        </w:trPr>
        <w:tc>
          <w:tcPr>
            <w:tcW w:w="120" w:type="dxa"/>
            <w:vAlign w:val="bottom"/>
          </w:tcPr>
          <w:p>
            <w:pPr>
              <w:spacing w:after="0"/>
              <w:rPr>
                <w:sz w:val="21"/>
                <w:szCs w:val="21"/>
                <w:color w:val="auto"/>
              </w:rPr>
            </w:pPr>
          </w:p>
        </w:tc>
        <w:tc>
          <w:tcPr>
            <w:tcW w:w="462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23,112</w:t>
            </w:r>
          </w:p>
        </w:tc>
        <w:tc>
          <w:tcPr>
            <w:tcW w:w="2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21"/>
                <w:szCs w:val="21"/>
                <w:color w:val="auto"/>
              </w:rPr>
            </w:pPr>
          </w:p>
        </w:tc>
      </w:tr>
      <w:tr>
        <w:trPr>
          <w:trHeight w:val="236"/>
        </w:trPr>
        <w:tc>
          <w:tcPr>
            <w:tcW w:w="120" w:type="dxa"/>
            <w:vAlign w:val="bottom"/>
            <w:shd w:val="clear" w:color="auto" w:fill="CFF0FC"/>
          </w:tcPr>
          <w:p>
            <w:pPr>
              <w:spacing w:after="0"/>
              <w:rPr>
                <w:sz w:val="20"/>
                <w:szCs w:val="20"/>
                <w:color w:val="auto"/>
              </w:rPr>
            </w:pPr>
          </w:p>
        </w:tc>
        <w:tc>
          <w:tcPr>
            <w:tcW w:w="4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39,399</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17,495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116,146</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44,080</w:t>
            </w:r>
          </w:p>
        </w:tc>
        <w:tc>
          <w:tcPr>
            <w:tcW w:w="100" w:type="dxa"/>
            <w:vAlign w:val="bottom"/>
            <w:shd w:val="clear" w:color="auto" w:fill="CFF0FC"/>
          </w:tcPr>
          <w:p>
            <w:pPr>
              <w:spacing w:after="0"/>
              <w:rPr>
                <w:sz w:val="20"/>
                <w:szCs w:val="20"/>
                <w:color w:val="auto"/>
              </w:rPr>
            </w:pPr>
          </w:p>
        </w:tc>
      </w:tr>
      <w:tr>
        <w:trPr>
          <w:trHeight w:val="20"/>
        </w:trPr>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4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12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000000"/>
          </w:tcPr>
          <w:p>
            <w:pPr>
              <w:spacing w:after="0" w:line="20" w:lineRule="exact"/>
              <w:rPr>
                <w:sz w:val="1"/>
                <w:szCs w:val="1"/>
                <w:color w:val="auto"/>
              </w:rPr>
            </w:pPr>
          </w:p>
        </w:tc>
        <w:tc>
          <w:tcPr>
            <w:tcW w:w="88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000000"/>
          </w:tcPr>
          <w:p>
            <w:pPr>
              <w:spacing w:after="0" w:line="20" w:lineRule="exact"/>
              <w:rPr>
                <w:sz w:val="1"/>
                <w:szCs w:val="1"/>
                <w:color w:val="auto"/>
              </w:rPr>
            </w:pPr>
          </w:p>
        </w:tc>
        <w:tc>
          <w:tcPr>
            <w:tcW w:w="106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000000"/>
          </w:tcPr>
          <w:p>
            <w:pPr>
              <w:spacing w:after="0" w:line="20" w:lineRule="exact"/>
              <w:rPr>
                <w:sz w:val="1"/>
                <w:szCs w:val="1"/>
                <w:color w:val="auto"/>
              </w:rPr>
            </w:pP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(25,227 )</w:t>
            </w:r>
          </w:p>
        </w:tc>
        <w:tc>
          <w:tcPr>
            <w:tcW w:w="5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(2,404 )</w:t>
            </w:r>
          </w:p>
        </w:tc>
        <w:tc>
          <w:tcPr>
            <w:tcW w:w="3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(65,345 )</w:t>
            </w:r>
          </w:p>
        </w:tc>
        <w:tc>
          <w:tcPr>
            <w:tcW w:w="5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(10,972 )</w:t>
            </w:r>
          </w:p>
        </w:tc>
      </w:tr>
      <w:tr>
        <w:trPr>
          <w:trHeight w:val="263"/>
        </w:trPr>
        <w:tc>
          <w:tcPr>
            <w:tcW w:w="120" w:type="dxa"/>
            <w:vAlign w:val="bottom"/>
            <w:shd w:val="clear" w:color="auto" w:fill="CFF0FC"/>
          </w:tcPr>
          <w:p>
            <w:pPr>
              <w:spacing w:after="0"/>
              <w:rPr>
                <w:sz w:val="22"/>
                <w:szCs w:val="22"/>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Financial income (expense), net</w:t>
            </w: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26,743</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(285 )</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23,700</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(254 )</w:t>
            </w:r>
          </w:p>
        </w:tc>
      </w:tr>
      <w:tr>
        <w:trPr>
          <w:trHeight w:val="250"/>
        </w:trPr>
        <w:tc>
          <w:tcPr>
            <w:tcW w:w="1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Income (loss) before taxes on income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1,516</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(2,689 )</w:t>
            </w:r>
          </w:p>
        </w:tc>
        <w:tc>
          <w:tcPr>
            <w:tcW w:w="3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(41,645 )</w:t>
            </w:r>
          </w:p>
        </w:tc>
        <w:tc>
          <w:tcPr>
            <w:tcW w:w="5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(11,226 )</w:t>
            </w:r>
          </w:p>
        </w:tc>
      </w:tr>
      <w:tr>
        <w:trPr>
          <w:trHeight w:val="257"/>
        </w:trPr>
        <w:tc>
          <w:tcPr>
            <w:tcW w:w="120" w:type="dxa"/>
            <w:vAlign w:val="bottom"/>
            <w:tcBorders>
              <w:bottom w:val="single" w:sz="8" w:color="CFF0FC"/>
            </w:tcBorders>
            <w:shd w:val="clear" w:color="auto" w:fill="CFF0FC"/>
          </w:tcPr>
          <w:p>
            <w:pPr>
              <w:spacing w:after="0"/>
              <w:rPr>
                <w:sz w:val="22"/>
                <w:szCs w:val="22"/>
                <w:color w:val="auto"/>
              </w:rPr>
            </w:pPr>
          </w:p>
        </w:tc>
        <w:tc>
          <w:tcPr>
            <w:tcW w:w="4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Taxes on income</w:t>
            </w:r>
          </w:p>
        </w:tc>
        <w:tc>
          <w:tcPr>
            <w:tcW w:w="3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7"/>
        </w:trPr>
        <w:tc>
          <w:tcPr>
            <w:tcW w:w="120" w:type="dxa"/>
            <w:vAlign w:val="bottom"/>
          </w:tcPr>
          <w:p>
            <w:pPr>
              <w:spacing w:after="0"/>
              <w:rPr>
                <w:sz w:val="22"/>
                <w:szCs w:val="22"/>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1,505</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(2,692 )</w:t>
            </w:r>
          </w:p>
        </w:tc>
        <w:tc>
          <w:tcPr>
            <w:tcW w:w="32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(41,674 )</w:t>
            </w:r>
          </w:p>
        </w:tc>
        <w:tc>
          <w:tcPr>
            <w:tcW w:w="5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(11,238 )</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20" w:type="dxa"/>
            <w:vAlign w:val="bottom"/>
            <w:tcBorders>
              <w:bottom w:val="single" w:sz="8" w:color="CFF0FC"/>
            </w:tcBorders>
            <w:shd w:val="clear" w:color="auto" w:fill="CFF0FC"/>
          </w:tcPr>
          <w:p>
            <w:pPr>
              <w:spacing w:after="0"/>
              <w:rPr>
                <w:sz w:val="20"/>
                <w:szCs w:val="20"/>
                <w:color w:val="auto"/>
              </w:rPr>
            </w:pPr>
          </w:p>
        </w:tc>
        <w:tc>
          <w:tcPr>
            <w:tcW w:w="4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7"/>
        </w:trPr>
        <w:tc>
          <w:tcPr>
            <w:tcW w:w="120" w:type="dxa"/>
            <w:vAlign w:val="bottom"/>
          </w:tcPr>
          <w:p>
            <w:pPr>
              <w:spacing w:after="0"/>
              <w:rPr>
                <w:sz w:val="22"/>
                <w:szCs w:val="22"/>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1,505</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(2,692 )</w:t>
            </w:r>
          </w:p>
        </w:tc>
        <w:tc>
          <w:tcPr>
            <w:tcW w:w="32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(41,674 )</w:t>
            </w:r>
          </w:p>
        </w:tc>
        <w:tc>
          <w:tcPr>
            <w:tcW w:w="5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(11,238 )</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20" w:type="dxa"/>
            <w:vAlign w:val="bottom"/>
            <w:shd w:val="clear" w:color="auto" w:fill="CFF0FC"/>
          </w:tcPr>
          <w:p>
            <w:pPr>
              <w:spacing w:after="0"/>
              <w:rPr>
                <w:sz w:val="20"/>
                <w:szCs w:val="20"/>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share (1):</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1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(0.20 )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(0.64 )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(0.84 )</w:t>
            </w:r>
          </w:p>
        </w:tc>
      </w:tr>
      <w:tr>
        <w:trPr>
          <w:trHeight w:val="263"/>
        </w:trPr>
        <w:tc>
          <w:tcPr>
            <w:tcW w:w="120" w:type="dxa"/>
            <w:vAlign w:val="bottom"/>
            <w:shd w:val="clear" w:color="auto" w:fill="CFF0FC"/>
          </w:tcPr>
          <w:p>
            <w:pPr>
              <w:spacing w:after="0"/>
              <w:rPr>
                <w:sz w:val="22"/>
                <w:szCs w:val="22"/>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(0.64 )</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(0.84 )</w:t>
            </w:r>
          </w:p>
        </w:tc>
      </w:tr>
      <w:tr>
        <w:trPr>
          <w:trHeight w:val="250"/>
        </w:trPr>
        <w:tc>
          <w:tcPr>
            <w:tcW w:w="1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(1):</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120" w:type="dxa"/>
            <w:vAlign w:val="bottom"/>
            <w:shd w:val="clear" w:color="auto" w:fill="CFF0FC"/>
          </w:tcPr>
          <w:p>
            <w:pPr>
              <w:spacing w:after="0"/>
              <w:rPr>
                <w:sz w:val="22"/>
                <w:szCs w:val="22"/>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152,267,870</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13,375,193</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64,638,182</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13,348,522</w:t>
            </w:r>
          </w:p>
        </w:tc>
        <w:tc>
          <w:tcPr>
            <w:tcW w:w="100" w:type="dxa"/>
            <w:vAlign w:val="bottom"/>
            <w:shd w:val="clear" w:color="auto" w:fill="CFF0FC"/>
          </w:tcPr>
          <w:p>
            <w:pPr>
              <w:spacing w:after="0"/>
              <w:rPr>
                <w:sz w:val="22"/>
                <w:szCs w:val="22"/>
                <w:color w:val="auto"/>
              </w:rPr>
            </w:pPr>
          </w:p>
        </w:tc>
      </w:tr>
      <w:tr>
        <w:trPr>
          <w:trHeight w:val="243"/>
        </w:trPr>
        <w:tc>
          <w:tcPr>
            <w:tcW w:w="1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165,179,012</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13,375,193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64,638,182</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13,348,522</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-3176905</wp:posOffset>
            </wp:positionV>
            <wp:extent cx="1797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-3176905</wp:posOffset>
            </wp:positionV>
            <wp:extent cx="1625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-3176905</wp:posOffset>
            </wp:positionV>
            <wp:extent cx="16319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-3176905</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-2182495</wp:posOffset>
            </wp:positionV>
            <wp:extent cx="1797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-2182495</wp:posOffset>
            </wp:positionV>
            <wp:extent cx="1625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-2182495</wp:posOffset>
            </wp:positionV>
            <wp:extent cx="16319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-1522095</wp:posOffset>
            </wp:positionV>
            <wp:extent cx="17970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-1522095</wp:posOffset>
            </wp:positionV>
            <wp:extent cx="1625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-1522095</wp:posOffset>
            </wp:positionV>
            <wp:extent cx="16319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-1522095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-1162050</wp:posOffset>
            </wp:positionV>
            <wp:extent cx="17970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-1162050</wp:posOffset>
            </wp:positionV>
            <wp:extent cx="16256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-1162050</wp:posOffset>
            </wp:positionV>
            <wp:extent cx="16319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-1162050</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56" w:lineRule="exact"/>
        <w:rPr>
          <w:sz w:val="20"/>
          <w:szCs w:val="20"/>
          <w:color w:val="auto"/>
        </w:rPr>
      </w:pPr>
    </w:p>
    <w:p>
      <w:pPr>
        <w:ind w:right="120" w:firstLine="8"/>
        <w:spacing w:after="0" w:line="293" w:lineRule="auto"/>
        <w:tabs>
          <w:tab w:leader="none" w:pos="204"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Prior period results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TALKSPACE,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CHANGES IN STOCKHOLDERS’ EQUITY (DEFICIT) (Unaudited)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data)</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Nine months ended September 30,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80" w:type="dxa"/>
            <w:vAlign w:val="bottom"/>
            <w:gridSpan w:val="6"/>
          </w:tcPr>
          <w:p>
            <w:pPr>
              <w:ind w:left="320"/>
              <w:spacing w:after="0"/>
              <w:rPr>
                <w:sz w:val="20"/>
                <w:szCs w:val="20"/>
                <w:color w:val="auto"/>
              </w:rPr>
            </w:pPr>
            <w:r>
              <w:rPr>
                <w:rFonts w:ascii="Arial" w:cs="Arial" w:eastAsia="Arial" w:hAnsi="Arial"/>
                <w:sz w:val="11"/>
                <w:szCs w:val="11"/>
                <w:b w:val="1"/>
                <w:bCs w:val="1"/>
                <w:color w:val="auto"/>
              </w:rPr>
              <w:t>Convertible Preferred Stock (1)</w:t>
            </w:r>
          </w:p>
        </w:tc>
        <w:tc>
          <w:tcPr>
            <w:tcW w:w="18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1"/>
                <w:szCs w:val="11"/>
                <w:b w:val="1"/>
                <w:bCs w:val="1"/>
                <w:color w:val="auto"/>
              </w:rPr>
              <w:t>Common Stock (1)</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Additional paid-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Number of Shares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8"/>
              </w:rPr>
              <w:t>Number of Shares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1"/>
              </w:rPr>
              <w:t>in</w:t>
            </w:r>
          </w:p>
        </w:tc>
        <w:tc>
          <w:tcPr>
            <w:tcW w:w="16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Outstanding</w:t>
            </w:r>
          </w:p>
        </w:tc>
        <w:tc>
          <w:tcPr>
            <w:tcW w:w="160" w:type="dxa"/>
            <w:vAlign w:val="bottom"/>
          </w:tcPr>
          <w:p>
            <w:pPr>
              <w:spacing w:after="0"/>
              <w:rPr>
                <w:sz w:val="12"/>
                <w:szCs w:val="12"/>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9"/>
              </w:rPr>
              <w:t>Outstanding</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capital (1)</w:t>
            </w:r>
          </w:p>
        </w:tc>
        <w:tc>
          <w:tcPr>
            <w:tcW w:w="16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deficit</w:t>
            </w:r>
          </w:p>
        </w:tc>
        <w:tc>
          <w:tcPr>
            <w:tcW w:w="200" w:type="dxa"/>
            <w:vAlign w:val="bottom"/>
          </w:tcPr>
          <w:p>
            <w:pPr>
              <w:spacing w:after="0"/>
              <w:rPr>
                <w:sz w:val="12"/>
                <w:szCs w:val="12"/>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as of December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94,582,550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111,282</w:t>
            </w:r>
          </w:p>
        </w:tc>
        <w:tc>
          <w:tcPr>
            <w:tcW w:w="10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13,223,673</w:t>
            </w:r>
          </w:p>
        </w:tc>
        <w:tc>
          <w:tcPr>
            <w:tcW w:w="800" w:type="dxa"/>
            <w:vAlign w:val="bottom"/>
            <w:gridSpan w:val="2"/>
            <w:shd w:val="clear" w:color="auto" w:fill="CFF0FC"/>
          </w:tcPr>
          <w:p>
            <w:pPr>
              <w:jc w:val="right"/>
              <w:ind w:right="473"/>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(86,418 )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(79,599 )</w:t>
            </w: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122,004</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(7,900 )</w:t>
            </w: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(7,900 )</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as of March 31,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94,582,550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111,282</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13,345,677</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(94,318 )</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(87,044 )</w:t>
            </w:r>
          </w:p>
        </w:tc>
        <w:tc>
          <w:tcPr>
            <w:tcW w:w="0" w:type="dxa"/>
            <w:vAlign w:val="bottom"/>
          </w:tcPr>
          <w:p>
            <w:pPr>
              <w:spacing w:after="0"/>
              <w:rPr>
                <w:sz w:val="1"/>
                <w:szCs w:val="1"/>
                <w:color w:val="auto"/>
              </w:rPr>
            </w:pPr>
          </w:p>
        </w:tc>
      </w:tr>
      <w:tr>
        <w:trPr>
          <w:trHeight w:val="220"/>
        </w:trPr>
        <w:tc>
          <w:tcPr>
            <w:tcW w:w="3660" w:type="dxa"/>
            <w:vAlign w:val="bottom"/>
            <w:tcBorders>
              <w:top w:val="single" w:sz="8" w:color="CFF0FC"/>
            </w:tcBorders>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right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29,516</w:t>
            </w:r>
          </w:p>
        </w:tc>
        <w:tc>
          <w:tcPr>
            <w:tcW w:w="16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(646 )</w:t>
            </w: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(646 )</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as of June 30, 2020</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94,582,550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111,282</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13,375,193</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(94,964 )</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(87,350 )</w:t>
            </w:r>
          </w:p>
        </w:tc>
        <w:tc>
          <w:tcPr>
            <w:tcW w:w="0" w:type="dxa"/>
            <w:vAlign w:val="bottom"/>
          </w:tcPr>
          <w:p>
            <w:pPr>
              <w:spacing w:after="0"/>
              <w:rPr>
                <w:sz w:val="1"/>
                <w:szCs w:val="1"/>
                <w:color w:val="auto"/>
              </w:rPr>
            </w:pPr>
          </w:p>
        </w:tc>
      </w:tr>
      <w:tr>
        <w:trPr>
          <w:trHeight w:val="229"/>
        </w:trPr>
        <w:tc>
          <w:tcPr>
            <w:tcW w:w="3660" w:type="dxa"/>
            <w:vAlign w:val="bottom"/>
            <w:tcBorders>
              <w:top w:val="single" w:sz="8" w:color="CFF0FC"/>
            </w:tcBorders>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right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(2,692 )</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(2,692 )</w:t>
            </w:r>
          </w:p>
        </w:tc>
        <w:tc>
          <w:tcPr>
            <w:tcW w:w="0" w:type="dxa"/>
            <w:vAlign w:val="bottom"/>
          </w:tcPr>
          <w:p>
            <w:pPr>
              <w:spacing w:after="0"/>
              <w:rPr>
                <w:sz w:val="1"/>
                <w:szCs w:val="1"/>
                <w:color w:val="auto"/>
              </w:rPr>
            </w:pPr>
          </w:p>
        </w:tc>
      </w:tr>
      <w:tr>
        <w:trPr>
          <w:trHeight w:val="23"/>
        </w:trPr>
        <w:tc>
          <w:tcPr>
            <w:tcW w:w="20" w:type="dxa"/>
            <w:vAlign w:val="bottom"/>
            <w:shd w:val="clear" w:color="auto" w:fill="CFF0FC"/>
          </w:tcPr>
          <w:p>
            <w:pPr>
              <w:spacing w:after="0"/>
              <w:rPr>
                <w:sz w:val="2"/>
                <w:szCs w:val="2"/>
                <w:color w:val="auto"/>
              </w:rPr>
            </w:pPr>
          </w:p>
        </w:tc>
        <w:tc>
          <w:tcPr>
            <w:tcW w:w="27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Balance as of September 30, 2020</w:t>
            </w:r>
          </w:p>
        </w:tc>
        <w:tc>
          <w:tcPr>
            <w:tcW w:w="1020" w:type="dxa"/>
            <w:vAlign w:val="bottom"/>
          </w:tcPr>
          <w:p>
            <w:pPr>
              <w:jc w:val="right"/>
              <w:spacing w:after="0"/>
              <w:rPr>
                <w:sz w:val="20"/>
                <w:szCs w:val="20"/>
                <w:color w:val="auto"/>
              </w:rPr>
            </w:pPr>
            <w:r>
              <w:rPr>
                <w:rFonts w:ascii="Arial" w:cs="Arial" w:eastAsia="Arial" w:hAnsi="Arial"/>
                <w:sz w:val="16"/>
                <w:szCs w:val="16"/>
                <w:color w:val="auto"/>
              </w:rPr>
              <w:t>94,582,550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111,282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13,375,193</w:t>
            </w:r>
          </w:p>
        </w:tc>
        <w:tc>
          <w:tcPr>
            <w:tcW w:w="160" w:type="dxa"/>
            <w:vAlign w:val="bottom"/>
          </w:tcPr>
          <w:p>
            <w:pPr>
              <w:spacing w:after="0"/>
              <w:rPr>
                <w:sz w:val="19"/>
                <w:szCs w:val="19"/>
                <w:color w:val="auto"/>
              </w:rPr>
            </w:pPr>
          </w:p>
        </w:tc>
        <w:tc>
          <w:tcPr>
            <w:tcW w:w="640" w:type="dxa"/>
            <w:vAlign w:val="bottom"/>
          </w:tcPr>
          <w:p>
            <w:pPr>
              <w:jc w:val="right"/>
              <w:ind w:right="473"/>
              <w:spacing w:after="0"/>
              <w:rPr>
                <w:sz w:val="20"/>
                <w:szCs w:val="20"/>
                <w:color w:val="auto"/>
              </w:rPr>
            </w:pPr>
            <w:r>
              <w:rPr>
                <w:rFonts w:ascii="Arial" w:cs="Arial" w:eastAsia="Arial" w:hAnsi="Arial"/>
                <w:sz w:val="16"/>
                <w:szCs w:val="16"/>
                <w:color w:val="auto"/>
                <w:w w:val="89"/>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7,949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(97,656 )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(89,706 )</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Nine months ended September 30, 2021:</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66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280" w:type="dxa"/>
            <w:vAlign w:val="bottom"/>
            <w:gridSpan w:val="6"/>
          </w:tcPr>
          <w:p>
            <w:pPr>
              <w:ind w:left="320"/>
              <w:spacing w:after="0"/>
              <w:rPr>
                <w:sz w:val="20"/>
                <w:szCs w:val="20"/>
                <w:color w:val="auto"/>
              </w:rPr>
            </w:pPr>
            <w:r>
              <w:rPr>
                <w:rFonts w:ascii="Arial" w:cs="Arial" w:eastAsia="Arial" w:hAnsi="Arial"/>
                <w:sz w:val="11"/>
                <w:szCs w:val="11"/>
                <w:b w:val="1"/>
                <w:bCs w:val="1"/>
                <w:color w:val="auto"/>
              </w:rPr>
              <w:t>Convertible Preferred Stock (1)</w:t>
            </w:r>
          </w:p>
        </w:tc>
        <w:tc>
          <w:tcPr>
            <w:tcW w:w="18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1"/>
                <w:szCs w:val="11"/>
                <w:b w:val="1"/>
                <w:bCs w:val="1"/>
                <w:color w:val="auto"/>
              </w:rPr>
              <w:t>Common Stock (1)</w:t>
            </w:r>
          </w:p>
        </w:tc>
        <w:tc>
          <w:tcPr>
            <w:tcW w:w="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Additional paid-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Number of Shares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8"/>
              </w:rPr>
              <w:t>Number of Shares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1"/>
              </w:rPr>
              <w:t>in</w:t>
            </w:r>
          </w:p>
        </w:tc>
        <w:tc>
          <w:tcPr>
            <w:tcW w:w="16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Outstanding</w:t>
            </w:r>
          </w:p>
        </w:tc>
        <w:tc>
          <w:tcPr>
            <w:tcW w:w="160" w:type="dxa"/>
            <w:vAlign w:val="bottom"/>
          </w:tcPr>
          <w:p>
            <w:pPr>
              <w:spacing w:after="0"/>
              <w:rPr>
                <w:sz w:val="12"/>
                <w:szCs w:val="12"/>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9"/>
              </w:rPr>
              <w:t>Outstanding</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capital</w:t>
            </w:r>
          </w:p>
        </w:tc>
        <w:tc>
          <w:tcPr>
            <w:tcW w:w="16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deficit</w:t>
            </w:r>
          </w:p>
        </w:tc>
        <w:tc>
          <w:tcPr>
            <w:tcW w:w="200" w:type="dxa"/>
            <w:vAlign w:val="bottom"/>
          </w:tcPr>
          <w:p>
            <w:pPr>
              <w:spacing w:after="0"/>
              <w:rPr>
                <w:sz w:val="12"/>
                <w:szCs w:val="12"/>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as of December 31,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94,582,550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111,282</w:t>
            </w:r>
          </w:p>
        </w:tc>
        <w:tc>
          <w:tcPr>
            <w:tcW w:w="10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13,413,431</w:t>
            </w:r>
          </w:p>
        </w:tc>
        <w:tc>
          <w:tcPr>
            <w:tcW w:w="800" w:type="dxa"/>
            <w:vAlign w:val="bottom"/>
            <w:gridSpan w:val="2"/>
            <w:shd w:val="clear" w:color="auto" w:fill="CFF0FC"/>
          </w:tcPr>
          <w:p>
            <w:pPr>
              <w:jc w:val="right"/>
              <w:ind w:right="473"/>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(108,788 )</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(98,898 )</w:t>
            </w: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684,923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1,513</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Issuance of warrants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(12,738 )</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(12,738 )</w:t>
            </w:r>
          </w:p>
        </w:tc>
        <w:tc>
          <w:tcPr>
            <w:tcW w:w="0" w:type="dxa"/>
            <w:vAlign w:val="bottom"/>
          </w:tcPr>
          <w:p>
            <w:pPr>
              <w:spacing w:after="0"/>
              <w:rPr>
                <w:sz w:val="1"/>
                <w:szCs w:val="1"/>
                <w:color w:val="auto"/>
              </w:rPr>
            </w:pPr>
          </w:p>
        </w:tc>
      </w:tr>
      <w:tr>
        <w:trPr>
          <w:trHeight w:val="23"/>
        </w:trPr>
        <w:tc>
          <w:tcPr>
            <w:tcW w:w="20" w:type="dxa"/>
            <w:vAlign w:val="bottom"/>
            <w:shd w:val="clear" w:color="auto" w:fill="CFF0FC"/>
          </w:tcPr>
          <w:p>
            <w:pPr>
              <w:spacing w:after="0"/>
              <w:rPr>
                <w:sz w:val="2"/>
                <w:szCs w:val="2"/>
                <w:color w:val="auto"/>
              </w:rPr>
            </w:pPr>
          </w:p>
        </w:tc>
        <w:tc>
          <w:tcPr>
            <w:tcW w:w="27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Balance as of March 31, 2021</w:t>
            </w:r>
          </w:p>
        </w:tc>
        <w:tc>
          <w:tcPr>
            <w:tcW w:w="1020" w:type="dxa"/>
            <w:vAlign w:val="bottom"/>
          </w:tcPr>
          <w:p>
            <w:pPr>
              <w:jc w:val="right"/>
              <w:spacing w:after="0"/>
              <w:rPr>
                <w:sz w:val="20"/>
                <w:szCs w:val="20"/>
                <w:color w:val="auto"/>
              </w:rPr>
            </w:pPr>
            <w:r>
              <w:rPr>
                <w:rFonts w:ascii="Arial" w:cs="Arial" w:eastAsia="Arial" w:hAnsi="Arial"/>
                <w:sz w:val="16"/>
                <w:szCs w:val="16"/>
                <w:color w:val="auto"/>
              </w:rPr>
              <w:t>94,582,550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111,282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14,098,354</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(121,526 )</w:t>
            </w: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(109,201 )</w:t>
            </w: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2,617,908</w:t>
            </w:r>
          </w:p>
        </w:tc>
        <w:tc>
          <w:tcPr>
            <w:tcW w:w="160" w:type="dxa"/>
            <w:vAlign w:val="bottom"/>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1,128</w:t>
            </w: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15,196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w w:val="96"/>
              </w:rPr>
              <w:t>Common stock issued related to exercise of warrants</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98,871</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Acquisition of warrants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27,945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Preferred stock conversion</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(94,582,550 )</w:t>
            </w:r>
          </w:p>
        </w:tc>
        <w:tc>
          <w:tcPr>
            <w:tcW w:w="16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(111,282 )</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94,582,550</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111,272</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Issuance of common stock in connection with</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Business Combination and PIPE offering, net of</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issuance costs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40,858,053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185,739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185,743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(30,441 )</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(30,441 )</w:t>
            </w:r>
          </w:p>
        </w:tc>
        <w:tc>
          <w:tcPr>
            <w:tcW w:w="0" w:type="dxa"/>
            <w:vAlign w:val="bottom"/>
          </w:tcPr>
          <w:p>
            <w:pPr>
              <w:spacing w:after="0"/>
              <w:rPr>
                <w:sz w:val="1"/>
                <w:szCs w:val="1"/>
                <w:color w:val="auto"/>
              </w:rPr>
            </w:pPr>
          </w:p>
        </w:tc>
      </w:tr>
      <w:tr>
        <w:trPr>
          <w:trHeight w:val="23"/>
        </w:trPr>
        <w:tc>
          <w:tcPr>
            <w:tcW w:w="20" w:type="dxa"/>
            <w:vAlign w:val="bottom"/>
            <w:shd w:val="clear" w:color="auto" w:fill="CFF0FC"/>
          </w:tcPr>
          <w:p>
            <w:pPr>
              <w:spacing w:after="0"/>
              <w:rPr>
                <w:sz w:val="2"/>
                <w:szCs w:val="2"/>
                <w:color w:val="auto"/>
              </w:rPr>
            </w:pPr>
          </w:p>
        </w:tc>
        <w:tc>
          <w:tcPr>
            <w:tcW w:w="27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Balance as of June 30, 2021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152,255,736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89"/>
              </w:rPr>
              <w:t>15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354,213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(151,967 )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202,261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37,562</w:t>
            </w:r>
          </w:p>
        </w:tc>
        <w:tc>
          <w:tcPr>
            <w:tcW w:w="160" w:type="dxa"/>
            <w:vAlign w:val="bottom"/>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1,505</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Issuance costs in connection with Business</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(803 )</w:t>
            </w:r>
          </w:p>
        </w:tc>
        <w:tc>
          <w:tcPr>
            <w:tcW w:w="160" w:type="dxa"/>
            <w:vAlign w:val="bottom"/>
          </w:tcPr>
          <w:p>
            <w:pPr>
              <w:spacing w:after="0"/>
              <w:rPr>
                <w:sz w:val="17"/>
                <w:szCs w:val="17"/>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(803 )</w:t>
            </w:r>
          </w:p>
        </w:tc>
        <w:tc>
          <w:tcPr>
            <w:tcW w:w="0" w:type="dxa"/>
            <w:vAlign w:val="bottom"/>
          </w:tcPr>
          <w:p>
            <w:pPr>
              <w:spacing w:after="0"/>
              <w:rPr>
                <w:sz w:val="1"/>
                <w:szCs w:val="1"/>
                <w:color w:val="auto"/>
              </w:rPr>
            </w:pPr>
          </w:p>
        </w:tc>
      </w:tr>
      <w:tr>
        <w:trPr>
          <w:trHeight w:val="209"/>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Combination and PIPE offering</w:t>
            </w:r>
          </w:p>
        </w:tc>
        <w:tc>
          <w:tcPr>
            <w:tcW w:w="10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as of September 30, 2021</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152,293,298</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73"/>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15</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357,330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(150,462 )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7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-5978525</wp:posOffset>
            </wp:positionV>
            <wp:extent cx="34290" cy="307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0797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-4942840</wp:posOffset>
            </wp:positionV>
            <wp:extent cx="1289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-5258435</wp:posOffset>
            </wp:positionV>
            <wp:extent cx="128905" cy="3340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33401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-4942840</wp:posOffset>
            </wp:positionV>
            <wp:extent cx="10287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-4942840</wp:posOffset>
            </wp:positionV>
            <wp:extent cx="946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-4942840</wp:posOffset>
            </wp:positionV>
            <wp:extent cx="1111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-4942840</wp:posOffset>
            </wp:positionV>
            <wp:extent cx="11176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-4942840</wp:posOffset>
            </wp:positionV>
            <wp:extent cx="514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-4342765</wp:posOffset>
            </wp:positionV>
            <wp:extent cx="1289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-4658360</wp:posOffset>
            </wp:positionV>
            <wp:extent cx="128905" cy="3340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33401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-4342765</wp:posOffset>
            </wp:positionV>
            <wp:extent cx="10287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-4342765</wp:posOffset>
            </wp:positionV>
            <wp:extent cx="9461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-4342765</wp:posOffset>
            </wp:positionV>
            <wp:extent cx="1111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-4342765</wp:posOffset>
            </wp:positionV>
            <wp:extent cx="11176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-4342765</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-4042410</wp:posOffset>
            </wp:positionV>
            <wp:extent cx="1289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-4042410</wp:posOffset>
            </wp:positionV>
            <wp:extent cx="10287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-4042410</wp:posOffset>
            </wp:positionV>
            <wp:extent cx="9461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-4042410</wp:posOffset>
            </wp:positionV>
            <wp:extent cx="1111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-4042410</wp:posOffset>
            </wp:positionV>
            <wp:extent cx="11176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-4042410</wp:posOffset>
            </wp:positionV>
            <wp:extent cx="514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-4203700</wp:posOffset>
            </wp:positionV>
            <wp:extent cx="128905" cy="3511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351155"/>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-3509645</wp:posOffset>
            </wp:positionV>
            <wp:extent cx="3429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0861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-2482215</wp:posOffset>
            </wp:positionV>
            <wp:extent cx="12890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-2482215</wp:posOffset>
            </wp:positionV>
            <wp:extent cx="10287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-2482215</wp:posOffset>
            </wp:positionV>
            <wp:extent cx="946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-2482215</wp:posOffset>
            </wp:positionV>
            <wp:extent cx="11112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-2482215</wp:posOffset>
            </wp:positionV>
            <wp:extent cx="11176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-2482215</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-2643505</wp:posOffset>
            </wp:positionV>
            <wp:extent cx="128905" cy="3340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33401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-1042035</wp:posOffset>
            </wp:positionV>
            <wp:extent cx="12890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-1042035</wp:posOffset>
            </wp:positionV>
            <wp:extent cx="10287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-1042035</wp:posOffset>
            </wp:positionV>
            <wp:extent cx="9461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-1042035</wp:posOffset>
            </wp:positionV>
            <wp:extent cx="11112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-1042035</wp:posOffset>
            </wp:positionV>
            <wp:extent cx="11176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-1042035</wp:posOffset>
            </wp:positionV>
            <wp:extent cx="514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-1203325</wp:posOffset>
            </wp:positionV>
            <wp:extent cx="128905" cy="3340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33401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-24765</wp:posOffset>
            </wp:positionV>
            <wp:extent cx="1289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1289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-457835</wp:posOffset>
            </wp:positionV>
            <wp:extent cx="128905" cy="4711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47117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946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94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111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1117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1117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 Represents an amount lower than $1</w:t>
      </w:r>
    </w:p>
    <w:p>
      <w:pPr>
        <w:spacing w:after="0" w:line="21" w:lineRule="exact"/>
        <w:rPr>
          <w:sz w:val="20"/>
          <w:szCs w:val="20"/>
          <w:color w:val="auto"/>
        </w:rPr>
      </w:pPr>
    </w:p>
    <w:p>
      <w:pPr>
        <w:ind w:right="120" w:firstLine="8"/>
        <w:spacing w:after="0" w:line="261" w:lineRule="auto"/>
        <w:tabs>
          <w:tab w:leader="none" w:pos="204"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Prior period results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rPr>
          <w:rFonts w:ascii="Arial" w:cs="Arial" w:eastAsia="Arial" w:hAnsi="Arial"/>
          <w:sz w:val="14"/>
          <w:szCs w:val="14"/>
          <w:color w:val="auto"/>
        </w:rPr>
      </w:pPr>
      <w:r>
        <w:rPr>
          <w:rFonts w:ascii="Arial" w:cs="Arial" w:eastAsia="Arial" w:hAnsi="Arial"/>
          <w:sz w:val="16"/>
          <w:szCs w:val="16"/>
          <w:color w:val="auto"/>
        </w:rPr>
        <w:t>The accompanying notes are an integral part of the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56"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17145</wp:posOffset>
            </wp:positionV>
            <wp:extent cx="22288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20" w:type="dxa"/>
            <w:vAlign w:val="bottom"/>
            <w:shd w:val="clear" w:color="auto" w:fill="CFF0FC"/>
          </w:tcPr>
          <w:p>
            <w:pPr>
              <w:spacing w:after="0"/>
              <w:rPr>
                <w:sz w:val="20"/>
                <w:szCs w:val="20"/>
                <w:color w:val="auto"/>
              </w:rPr>
            </w:pPr>
          </w:p>
        </w:tc>
        <w:tc>
          <w:tcPr>
            <w:tcW w:w="7600" w:type="dxa"/>
            <w:vAlign w:val="bottom"/>
            <w:gridSpan w:val="4"/>
            <w:shd w:val="clear" w:color="auto" w:fill="CFF0FC"/>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20" w:type="dxa"/>
            <w:vAlign w:val="bottom"/>
            <w:tcBorders>
              <w:top w:val="single" w:sz="8" w:color="CFF0FC"/>
            </w:tcBorders>
          </w:tcPr>
          <w:p>
            <w:pPr>
              <w:spacing w:after="0"/>
              <w:rPr>
                <w:sz w:val="21"/>
                <w:szCs w:val="21"/>
                <w:color w:val="auto"/>
              </w:rPr>
            </w:pPr>
          </w:p>
        </w:tc>
        <w:tc>
          <w:tcPr>
            <w:tcW w:w="2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loss</w:t>
            </w:r>
          </w:p>
        </w:tc>
        <w:tc>
          <w:tcPr>
            <w:tcW w:w="4940" w:type="dxa"/>
            <w:vAlign w:val="bottom"/>
            <w:tcBorders>
              <w:top w:val="single" w:sz="8" w:color="CFF0FC"/>
            </w:tcBorders>
          </w:tcPr>
          <w:p>
            <w:pPr>
              <w:spacing w:after="0"/>
              <w:rPr>
                <w:sz w:val="21"/>
                <w:szCs w:val="21"/>
                <w:color w:val="auto"/>
              </w:rPr>
            </w:pPr>
          </w:p>
        </w:tc>
        <w:tc>
          <w:tcPr>
            <w:tcW w:w="1000" w:type="dxa"/>
            <w:vAlign w:val="bottom"/>
            <w:tcBorders>
              <w:top w:val="single" w:sz="8" w:color="CFF0FC"/>
            </w:tcBorders>
          </w:tcPr>
          <w:p>
            <w:pPr>
              <w:jc w:val="right"/>
              <w:ind w:right="81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FF0FC"/>
            </w:tcBorders>
            <w:gridSpan w:val="2"/>
          </w:tcPr>
          <w:p>
            <w:pPr>
              <w:jc w:val="right"/>
              <w:ind w:right="220"/>
              <w:spacing w:after="0"/>
              <w:rPr>
                <w:sz w:val="20"/>
                <w:szCs w:val="20"/>
                <w:color w:val="auto"/>
              </w:rPr>
            </w:pPr>
            <w:r>
              <w:rPr>
                <w:rFonts w:ascii="Arial" w:cs="Arial" w:eastAsia="Arial" w:hAnsi="Arial"/>
                <w:sz w:val="18"/>
                <w:szCs w:val="18"/>
                <w:color w:val="auto"/>
                <w:w w:val="94"/>
              </w:rPr>
              <w:t>(41,674 )</w:t>
            </w:r>
          </w:p>
        </w:tc>
        <w:tc>
          <w:tcPr>
            <w:tcW w:w="380" w:type="dxa"/>
            <w:vAlign w:val="bottom"/>
            <w:tcBorders>
              <w:top w:val="single" w:sz="8" w:color="CFF0FC"/>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(11,238 )</w:t>
            </w:r>
          </w:p>
        </w:tc>
      </w:tr>
      <w:tr>
        <w:trPr>
          <w:trHeight w:val="263"/>
        </w:trPr>
        <w:tc>
          <w:tcPr>
            <w:tcW w:w="76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600" w:type="dxa"/>
            <w:vAlign w:val="bottom"/>
            <w:gridSpan w:val="4"/>
          </w:tcPr>
          <w:p>
            <w:pPr>
              <w:ind w:left="1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1,458</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60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Amortization of debt issuance cost</w:t>
            </w: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600" w:type="dxa"/>
            <w:vAlign w:val="bottom"/>
            <w:gridSpan w:val="4"/>
          </w:tcPr>
          <w:p>
            <w:pPr>
              <w:ind w:left="18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20,584</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60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Warrant issuance cost and change in fair value</w:t>
            </w:r>
          </w:p>
        </w:tc>
        <w:tc>
          <w:tcPr>
            <w:tcW w:w="10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(23,842 )</w:t>
            </w: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600" w:type="dxa"/>
            <w:vAlign w:val="bottom"/>
            <w:gridSpan w:val="4"/>
          </w:tcPr>
          <w:p>
            <w:pPr>
              <w:ind w:left="180"/>
              <w:spacing w:after="0"/>
              <w:rPr>
                <w:sz w:val="20"/>
                <w:szCs w:val="20"/>
                <w:color w:val="auto"/>
              </w:rPr>
            </w:pPr>
            <w:r>
              <w:rPr>
                <w:rFonts w:ascii="Arial" w:cs="Arial" w:eastAsia="Arial" w:hAnsi="Arial"/>
                <w:sz w:val="18"/>
                <w:szCs w:val="18"/>
                <w:color w:val="auto"/>
              </w:rPr>
              <w:t>Increase in accounts receivable</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(3,045 )</w:t>
            </w:r>
          </w:p>
        </w:tc>
      </w:tr>
      <w:tr>
        <w:trPr>
          <w:trHeight w:val="263"/>
        </w:trPr>
        <w:tc>
          <w:tcPr>
            <w:tcW w:w="20" w:type="dxa"/>
            <w:vAlign w:val="bottom"/>
            <w:shd w:val="clear" w:color="auto" w:fill="CFF0FC"/>
          </w:tcPr>
          <w:p>
            <w:pPr>
              <w:spacing w:after="0"/>
              <w:rPr>
                <w:sz w:val="22"/>
                <w:szCs w:val="22"/>
                <w:color w:val="auto"/>
              </w:rPr>
            </w:pPr>
          </w:p>
        </w:tc>
        <w:tc>
          <w:tcPr>
            <w:tcW w:w="760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Increase in other current assets</w:t>
            </w:r>
          </w:p>
        </w:tc>
        <w:tc>
          <w:tcPr>
            <w:tcW w:w="10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(8,515 )</w:t>
            </w: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(1,108 )</w:t>
            </w:r>
          </w:p>
        </w:tc>
      </w:tr>
      <w:tr>
        <w:trPr>
          <w:trHeight w:val="250"/>
        </w:trPr>
        <w:tc>
          <w:tcPr>
            <w:tcW w:w="20" w:type="dxa"/>
            <w:vAlign w:val="bottom"/>
          </w:tcPr>
          <w:p>
            <w:pPr>
              <w:spacing w:after="0"/>
              <w:rPr>
                <w:sz w:val="21"/>
                <w:szCs w:val="21"/>
                <w:color w:val="auto"/>
              </w:rPr>
            </w:pPr>
          </w:p>
        </w:tc>
        <w:tc>
          <w:tcPr>
            <w:tcW w:w="7600" w:type="dxa"/>
            <w:vAlign w:val="bottom"/>
            <w:gridSpan w:val="4"/>
          </w:tcPr>
          <w:p>
            <w:pPr>
              <w:ind w:left="180"/>
              <w:spacing w:after="0"/>
              <w:rPr>
                <w:sz w:val="20"/>
                <w:szCs w:val="20"/>
                <w:color w:val="auto"/>
              </w:rPr>
            </w:pPr>
            <w:r>
              <w:rPr>
                <w:rFonts w:ascii="Arial" w:cs="Arial" w:eastAsia="Arial" w:hAnsi="Arial"/>
                <w:sz w:val="18"/>
                <w:szCs w:val="18"/>
                <w:color w:val="auto"/>
              </w:rPr>
              <w:t>Increase in accounts payable</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7,113</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60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Increase in deferred revenues</w:t>
            </w: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600" w:type="dxa"/>
            <w:vAlign w:val="bottom"/>
            <w:gridSpan w:val="4"/>
          </w:tcPr>
          <w:p>
            <w:pPr>
              <w:ind w:left="180"/>
              <w:spacing w:after="0"/>
              <w:rPr>
                <w:sz w:val="20"/>
                <w:szCs w:val="20"/>
                <w:color w:val="auto"/>
              </w:rPr>
            </w:pPr>
            <w:r>
              <w:rPr>
                <w:rFonts w:ascii="Arial" w:cs="Arial" w:eastAsia="Arial" w:hAnsi="Arial"/>
                <w:sz w:val="18"/>
                <w:szCs w:val="18"/>
                <w:color w:val="auto"/>
              </w:rPr>
              <w:t>(Decrease) increase in accrued expenses and other current liabilities</w:t>
            </w:r>
          </w:p>
        </w:tc>
        <w:tc>
          <w:tcPr>
            <w:tcW w:w="10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(134 )</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(41,109 )</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(6,663 )</w:t>
            </w:r>
          </w:p>
        </w:tc>
      </w:tr>
      <w:tr>
        <w:trPr>
          <w:trHeight w:val="203"/>
        </w:trPr>
        <w:tc>
          <w:tcPr>
            <w:tcW w:w="7620" w:type="dxa"/>
            <w:vAlign w:val="bottom"/>
            <w:tcBorders>
              <w:top w:val="single" w:sz="8" w:color="CFF0FC"/>
            </w:tcBorders>
            <w:gridSpan w:val="5"/>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10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shd w:val="clear" w:color="auto" w:fill="CFF0FC"/>
          </w:tcPr>
          <w:p>
            <w:pPr>
              <w:spacing w:after="0"/>
              <w:rPr>
                <w:sz w:val="22"/>
                <w:szCs w:val="22"/>
                <w:color w:val="auto"/>
              </w:rPr>
            </w:pPr>
          </w:p>
        </w:tc>
        <w:tc>
          <w:tcPr>
            <w:tcW w:w="760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(622 )</w:t>
            </w: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(43 )</w:t>
            </w:r>
          </w:p>
        </w:tc>
      </w:tr>
      <w:tr>
        <w:trPr>
          <w:trHeight w:val="250"/>
        </w:trPr>
        <w:tc>
          <w:tcPr>
            <w:tcW w:w="20" w:type="dxa"/>
            <w:vAlign w:val="bottom"/>
          </w:tcPr>
          <w:p>
            <w:pPr>
              <w:spacing w:after="0"/>
              <w:rPr>
                <w:sz w:val="21"/>
                <w:szCs w:val="21"/>
                <w:color w:val="auto"/>
              </w:rPr>
            </w:pPr>
          </w:p>
        </w:tc>
        <w:tc>
          <w:tcPr>
            <w:tcW w:w="7600" w:type="dxa"/>
            <w:vAlign w:val="bottom"/>
            <w:gridSpan w:val="4"/>
          </w:tcPr>
          <w:p>
            <w:pPr>
              <w:ind w:left="180"/>
              <w:spacing w:after="0"/>
              <w:rPr>
                <w:sz w:val="20"/>
                <w:szCs w:val="20"/>
                <w:color w:val="auto"/>
              </w:rPr>
            </w:pPr>
            <w:r>
              <w:rPr>
                <w:rFonts w:ascii="Arial" w:cs="Arial" w:eastAsia="Arial" w:hAnsi="Arial"/>
                <w:sz w:val="18"/>
                <w:szCs w:val="18"/>
                <w:color w:val="auto"/>
              </w:rPr>
              <w:t>Proceeds from restricted long-term bank deposit</w:t>
            </w: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r>
      <w:tr>
        <w:trPr>
          <w:trHeight w:val="250"/>
        </w:trPr>
        <w:tc>
          <w:tcPr>
            <w:tcW w:w="76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0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(622 )</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21"/>
                <w:szCs w:val="21"/>
                <w:color w:val="auto"/>
              </w:rPr>
            </w:pPr>
          </w:p>
        </w:tc>
      </w:tr>
      <w:tr>
        <w:trPr>
          <w:trHeight w:val="203"/>
        </w:trPr>
        <w:tc>
          <w:tcPr>
            <w:tcW w:w="7620" w:type="dxa"/>
            <w:vAlign w:val="bottom"/>
            <w:tcBorders>
              <w:top w:val="single" w:sz="8" w:color="CFF0FC"/>
            </w:tcBorders>
            <w:gridSpan w:val="5"/>
          </w:tcPr>
          <w:p>
            <w:pPr>
              <w:ind w:left="20"/>
              <w:spacing w:after="0" w:line="202" w:lineRule="exact"/>
              <w:rPr>
                <w:sz w:val="20"/>
                <w:szCs w:val="20"/>
                <w:color w:val="auto"/>
              </w:rPr>
            </w:pPr>
            <w:r>
              <w:rPr>
                <w:rFonts w:ascii="Arial" w:cs="Arial" w:eastAsia="Arial" w:hAnsi="Arial"/>
                <w:sz w:val="18"/>
                <w:szCs w:val="18"/>
                <w:color w:val="auto"/>
              </w:rPr>
              <w:t>Cash flows from financing activities:</w:t>
            </w:r>
          </w:p>
        </w:tc>
        <w:tc>
          <w:tcPr>
            <w:tcW w:w="10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20" w:type="dxa"/>
            <w:vAlign w:val="bottom"/>
            <w:shd w:val="clear" w:color="auto" w:fill="CFF0FC"/>
          </w:tcPr>
          <w:p>
            <w:pPr>
              <w:spacing w:after="0"/>
              <w:rPr>
                <w:sz w:val="22"/>
                <w:szCs w:val="22"/>
                <w:color w:val="auto"/>
              </w:rPr>
            </w:pPr>
          </w:p>
        </w:tc>
        <w:tc>
          <w:tcPr>
            <w:tcW w:w="760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Proceeds from reverse capitalization, net of transaction costs</w:t>
            </w: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249,428</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600" w:type="dxa"/>
            <w:vAlign w:val="bottom"/>
            <w:gridSpan w:val="4"/>
          </w:tcPr>
          <w:p>
            <w:pPr>
              <w:ind w:left="180"/>
              <w:spacing w:after="0"/>
              <w:rPr>
                <w:sz w:val="20"/>
                <w:szCs w:val="20"/>
                <w:color w:val="auto"/>
              </w:rPr>
            </w:pPr>
            <w:r>
              <w:rPr>
                <w:rFonts w:ascii="Arial" w:cs="Arial" w:eastAsia="Arial" w:hAnsi="Arial"/>
                <w:sz w:val="18"/>
                <w:szCs w:val="18"/>
                <w:color w:val="auto"/>
              </w:rPr>
              <w:t>Proceeds from borrowings</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shd w:val="clear" w:color="auto" w:fill="CFF0FC"/>
          </w:tcPr>
          <w:p>
            <w:pPr>
              <w:spacing w:after="0"/>
              <w:rPr>
                <w:sz w:val="22"/>
                <w:szCs w:val="22"/>
                <w:color w:val="auto"/>
              </w:rPr>
            </w:pPr>
          </w:p>
        </w:tc>
        <w:tc>
          <w:tcPr>
            <w:tcW w:w="760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Repayment of borrowings</w:t>
            </w:r>
          </w:p>
        </w:tc>
        <w:tc>
          <w:tcPr>
            <w:tcW w:w="10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(6,000 )</w:t>
            </w: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600" w:type="dxa"/>
            <w:vAlign w:val="bottom"/>
            <w:gridSpan w:val="4"/>
          </w:tcPr>
          <w:p>
            <w:pPr>
              <w:ind w:left="180"/>
              <w:spacing w:after="0"/>
              <w:rPr>
                <w:sz w:val="20"/>
                <w:szCs w:val="20"/>
                <w:color w:val="auto"/>
              </w:rPr>
            </w:pPr>
            <w:r>
              <w:rPr>
                <w:rFonts w:ascii="Arial" w:cs="Arial" w:eastAsia="Arial" w:hAnsi="Arial"/>
                <w:sz w:val="18"/>
                <w:szCs w:val="18"/>
                <w:color w:val="auto"/>
              </w:rPr>
              <w:t>Payment of debt issuance cost</w:t>
            </w:r>
          </w:p>
        </w:tc>
        <w:tc>
          <w:tcPr>
            <w:tcW w:w="10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(50 )</w:t>
            </w:r>
          </w:p>
        </w:tc>
        <w:tc>
          <w:tcPr>
            <w:tcW w:w="3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7600" w:type="dxa"/>
            <w:vAlign w:val="bottom"/>
            <w:tcBorders>
              <w:bottom w:val="single" w:sz="8" w:color="CFF0FC"/>
            </w:tcBorders>
            <w:gridSpan w:val="4"/>
            <w:shd w:val="clear" w:color="auto" w:fill="CFF0FC"/>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20" w:type="dxa"/>
            <w:vAlign w:val="bottom"/>
            <w:gridSpan w:val="5"/>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251,348</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r>
      <w:tr>
        <w:trPr>
          <w:trHeight w:val="257"/>
        </w:trPr>
        <w:tc>
          <w:tcPr>
            <w:tcW w:w="76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Change in cash and cash equivalents</w:t>
            </w: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209,617</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(6,230 )</w:t>
            </w:r>
          </w:p>
        </w:tc>
      </w:tr>
      <w:tr>
        <w:trPr>
          <w:trHeight w:val="250"/>
        </w:trPr>
        <w:tc>
          <w:tcPr>
            <w:tcW w:w="7620" w:type="dxa"/>
            <w:vAlign w:val="bottom"/>
            <w:gridSpan w:val="5"/>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13,248</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39,632</w:t>
            </w:r>
          </w:p>
        </w:tc>
        <w:tc>
          <w:tcPr>
            <w:tcW w:w="100" w:type="dxa"/>
            <w:vAlign w:val="bottom"/>
          </w:tcPr>
          <w:p>
            <w:pPr>
              <w:spacing w:after="0"/>
              <w:rPr>
                <w:sz w:val="21"/>
                <w:szCs w:val="21"/>
                <w:color w:val="auto"/>
              </w:rPr>
            </w:pPr>
          </w:p>
        </w:tc>
      </w:tr>
      <w:tr>
        <w:trPr>
          <w:trHeight w:val="256"/>
        </w:trPr>
        <w:tc>
          <w:tcPr>
            <w:tcW w:w="76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222,865</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33,402</w:t>
            </w:r>
          </w:p>
        </w:tc>
        <w:tc>
          <w:tcPr>
            <w:tcW w:w="100" w:type="dxa"/>
            <w:vAlign w:val="bottom"/>
            <w:shd w:val="clear" w:color="auto" w:fill="CFF0FC"/>
          </w:tcPr>
          <w:p>
            <w:pPr>
              <w:spacing w:after="0"/>
              <w:rPr>
                <w:sz w:val="22"/>
                <w:szCs w:val="22"/>
                <w:color w:val="auto"/>
              </w:rPr>
            </w:pPr>
          </w:p>
        </w:tc>
      </w:tr>
      <w:tr>
        <w:trPr>
          <w:trHeight w:val="203"/>
        </w:trPr>
        <w:tc>
          <w:tcPr>
            <w:tcW w:w="762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Supplemental cash flow data:</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76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22"/>
                <w:szCs w:val="22"/>
                <w:color w:val="auto"/>
              </w:rPr>
            </w:pPr>
          </w:p>
        </w:tc>
      </w:tr>
      <w:tr>
        <w:trPr>
          <w:trHeight w:val="203"/>
        </w:trPr>
        <w:tc>
          <w:tcPr>
            <w:tcW w:w="762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Non-cash financing activity:</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76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Conversion of preferred stock to common stock</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111,282</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-2979420</wp:posOffset>
            </wp:positionV>
            <wp:extent cx="1803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-2979420</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-2310765</wp:posOffset>
            </wp:positionV>
            <wp:extent cx="1803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-2310765</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-1325245</wp:posOffset>
            </wp:positionV>
            <wp:extent cx="1803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-1325245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w:t>
      </w:r>
    </w:p>
    <w:p>
      <w:pPr>
        <w:spacing w:after="0" w:line="183"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Talkspace, Inc. was originally incorporated as Hudson Executive Investment Corp. (“HEC”), a special purpose acquisition company, in Delaware on October 30, 2019 for the purpose of entering into a merger, share exchange, asset acquisition, stock purchase, recapitalization or other similar business combination with one or more businesses or entities.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“Second Merger” and, together with the First Merger, the “Business Combination”). In connection with the Business Combination, HEC filed the Certificate of Incorporation and changed its name to “Talkspace, Inc.”</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Business Combination was accounted for as a reverse recapitalization in accordance with accounting principles generally accepted in the United States (“GAAP”). Under this method of accounting, HEC who was the legal acquirer, is treated as the “acquired” company for financial reporting purposes. Accordingly, the Business Combination was treated as the equivalent of Old Talkspace issuing stock for the net assets of HEC, accompanied by a recapitalization. The net assets of HEC are stated at historical cost, with no goodwill or other intangible assets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Old Talkspace was determined to be the accounting acquirer based on the following predominant factors:</w:t>
      </w:r>
    </w:p>
    <w:p>
      <w:pPr>
        <w:spacing w:after="0" w:line="13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Old Talkspace’s shareholders represent a relative majority of the voting rights in the Company and have the ability to nominate the members of the board of directors for the Company;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Old Talkspace’s operations prior to the acquisition represent the ongoing operations of the Company; and</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Old Talkspace’s senior management represents a majority of the senior management of the Company.</w:t>
      </w:r>
    </w:p>
    <w:p>
      <w:pPr>
        <w:spacing w:after="0" w:line="24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consolidated assets, liabilities and results of operations prior to the Business Combination are those of Old Talkspace. The shares and corresponding capital amounts and losses per share, prior to the Business Combination, have been retroactively restated based on shares reflecting the exchange ratio established in the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Note 3, “Business Combination,” for further details.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November 1, 2020, the Company completed an acquisition of Lasting, an app-based subscription for relationship and couple counseling for a total cash consideration of $10.7 million. In addition, the Company entered into a non-competition agreement for a total consideration of $0.9 million, which was recorded as an intangible asset.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operates its business in a single segment, which is how its chief operating decision maker, the Company’s Chief Executive Officer, reviews financial performance and allocates resources. The majority of the Company’s operations is based in the United States.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global pandemic associated with COVID-19 has caused major disruption to all aspects of the global economy and daily life, particularly as quarantine and stay-at-home orders have been imposed by all levels of government. The Company has followed guidance by the United States, Israeli and other applicable foreign and local governments to protect its employees and operations during the pandemic and has implemented a remote environment for its business. The Company cannot predict the potential impacts of the COVID-19 pandemic on its business or operations, but continuously monitors performance and other industry reports to assess the risk of future negative impacts as the disruptions of the COVID-19 pandemic continue to evolve.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significant accounting policies applied in the annual consolidated financial statements of the Company as of December 31, 2020, have been applied consistently in these unaudited condensed consolidated financial statements, unless otherwise stated. These interim condensed consolidated financial statements should be read in conjunction with the audited consolidated financial statements as of and for the years ended December 31, 2020 and 2019 included in the Company’s final prospectus filed with the Securities and Exchange Commission (“SEC”) pursuant to Rule 424(b)(4) under the Securities Act of 1933, as amended, on July 13, 2021 (the “Prospectus”).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financial statements and accompanying notes. The Company evaluates its assumptions on an ongoing basis. The Company’s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condensed consolidated financial statements, and the reported amounts of revenue and expenses during the reporting periods. Actual results could differ from those estimates.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is an emerging growth company, as defined in the Jumpstart Our Business Startups Act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 condensed consolidated financial statements may not be comparable to companies that comply with the new or revised accounting pronouncements as of public company effective dates.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8"/>
          <w:szCs w:val="18"/>
          <w:color w:val="auto"/>
        </w:rPr>
        <w:t>On the last business day of the Company’s second quarter in fiscal 2021, the aggregate market value of the Company’s ordinary shares held by its non-affiliate shareholders exceeded $700 million. As a result, as of December 31, 2021, the Company will be considered a large accelerated filer as defined in Rule 12b-2 of the Securities Exchange Act of 1934 and the Company will cease to be an emerging growth company. Accordingly, the Company will no longer be exempt from the auditor attestation requirements under Section 404(b) of the Sarbanes-Oxley Act of 2002, as amended, and the Company’s independent registered public accounting firm will evaluate and report on the effectiveness of internal control over financial reporting. Further, following the loss of emerging growth company status, the Company will be required to comply with any new or revised accounting pronouncements as of public company effective 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February 2016, the FASB issued ASU 2016-02, Topic 842 “Leases”.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2020-05 which extends the effective date of ASU 2016-02 for non-public business entities, including smaller reporting companies, to fiscal years beginning after December 15, 2021, and interim periods within fiscal years beginning after December 15, 2022. Early adoption is permitted.</w:t>
      </w:r>
    </w:p>
    <w:p>
      <w:pPr>
        <w:spacing w:after="0" w:line="19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Company adopted ASC 842 on January 1, 2021 and did not restate comparative periods. In addition, the Company elected the available practical expedients on adoption.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determines if an arrangement is a lease at inception. Lease classification is governed by five criteria in ASC 842-10-25-2. If any of these five criteria is met, the Company classifies the lease as a finance lease. Otherwise, the Company classifies the lease as an operating lease. As of September 30, 2021, all arrangements were classified as operating leases.</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Operating leases are included in operating lease right-of-use (“ROU”) assets and operating lease liabilities in the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 Operating lease expenses are recognized on a straight-line basis over the lease term.</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new standard also provides practical expedients for an entity’s ongoing accounting. The Company elected the short-term lease recognition exemption for all leases with a term shorter than 12 months. This means that for those leases, the Company does not recognize ROU assets or lease liabilities, including not recognizing ROU assets or lease liabilities for existing short-term leases of those assets in transition, but recognizes lease expenses over the lease term on a straight-line basis. The Company also elected the practical expedient to not separate lease and non-lease components for all of the Company’s leases.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does not currently have any leases with terms in excess of 12 months. The Company adopted this ASU with no impact on its financial statements or related footnotes.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discussed in Note 1, on June 22, 2021, the Company completed the Business Combination pursuant to the Merger Agreement dated January 12, 2021. The Business Combination was accounted for as a reverse recapitalization in accordance with GAAP. Under this method of accounting, HEC, who was the legal acquirer, was treated as the “acquired” company for financial reporting purposes. Accordingly, the Business Combination was treated as the equivalent of Old Talkspace issuing stock for the net assets of HEC, accompanied by a recapitalization. The net assets of HEC are stated at historical cost, with no goodwill or other intangible assets recorded.</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Upon the Closing, among other things, all shares of Old Talkspace’s Common Stock, par value $0.001 per share (the “Old Talkspace Common Stock”), all shares of Old Talkspace’s Series Seed Preferred Stock, par value $0.001 per share, Series Seed-1 Preferred Stock, par value $0.001 per share, Series Seed-2 Preferred Stock, par value $0.001 per share, Series A Preferred Stock, par value $0.001 per share, Series B Preferred Stock, par value $0.001 per share, Series C Preferred Stock, par value $0.001 per share and Series D Preferred Stock, par value $0.001 per share (collectively, the “Old Talkspace Preferred Stock” and, together with the Old Talkspace Common Stock, the “Old Talkspace Capital Stock”) and all vested options exercisable for Old Talkspace Common Stock (“Old Talkspace Vested Options”) outstanding as of immediately prior to Closing were cancelled or assumed, as applicable, and converted into the right to receive, at the election of the holders thereof, a number of shares of Talkspace’s Common Stock, par value $0.0001 per share (the “Talkspace common stock”) (or, with respect to holders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8"/>
          <w:szCs w:val="18"/>
          <w:color w:val="auto"/>
        </w:rPr>
        <w:t>of Old Talkspace Vested Options, a number of vested options exercisable for Talkspace common stock “Talkspace Vested Options”) or a combination of shares of Talkspace common stock and cash (or, with respect to holders of Old Talkspace Vested Options, a combination of Talkspace Vested Options and cash), in each case, as adjusted pursuant to the Merger Agreement, which, in the aggregate with the unvested options exercisable for Old Talkspace Common Stock assumed by Talkspace and converted into unvested options exercisable for Talkspace common stock, equaled approximately $199.3 million in cash and 109,461,534 shares of Talkspace common stock (at a deemed value of $10.00 per share). The 109,461,534 shares consisted of 91,473,779 shares issued to holders of Old Talkspace capital stock and 17,987,755 options to purchase Talkspace common stock issued to holders of Old Talkspace stock options. The exchange ratio of 1.134140 was used to convert Old Talkspace capital stock and stock options into Talkspace capital stock and stock options.</w:t>
      </w:r>
    </w:p>
    <w:p>
      <w:pPr>
        <w:spacing w:after="0" w:line="19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connection with the Business Combination, a number of investors (each, a “Subscriber”) purchased from the Company an aggregate of 30,000,000 shares of common stock (the “PIPE”), for a purchase price of $10.00 per share and an aggregate purchase price of $300.0 million (the “PIPE Shares”), pursuant to separate subscription agreements (each, a “Subscription Agreement”) entered into effective as of January 12, 2021.</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in connection with the execution of the Merger Agreement, Talkspace entered into an amendment to the forward purchase agreement (as amended, the “Forward Purchase Agreement”) with HEC Master Fund LP, a Delaware limited partnership and affiliate of the Sponsor (“HEC Fund”), dated June 8, 2020. Pursuant to the Forward Purchase Agreement, HEC Fund agreed to purchase 2,500,000 forward purchase units, consisting of one share of HEC’s Class A common stock and one-half of one warrant to purchase one share of HEC’s Class A common stock, for $10.00 per unit, or an aggregate amount of $25.0 million, in a private placement that would close concurrently with the Closing and to backstop up to $25.0 million of redemptions by stockholders of HEC (the “Forward Purchase”).</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Immediately after giving effect to the redemption of 25,968,043 shares of HEC’s Class A common stock in connection with the Business Combination, the Forward Purchase and the PIPE Investment, there were 152,255,736 shares of Talkspace common stock and 33,480,000 warrants to purchase Talkspace common stock (the “Talkspace warrants”) outstanding. Upon the consummation of the Business Combination, HEC’s Class A common stock, warrants and units ceased trading on The Nasdaq Stock Market LLC (the “Nasdaq”), and Talkspace common stock and Talkspace warrants began trading on June 23, 2021 on Nasdaq under the symbols “TALK” and “TALKW,” respectively.</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Upon the closing of the Business Combination, the Company’s certificate of incorporation was amended and restated to, among other things, increase the total number of authorized shares of common stock to 1,000,000,000 shares, $0.0001 par value per share, and authorized shares of preferred stock to 100,000,000, $0.0001 par value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 and Private Placement Warrants</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As a result of the Business Combination, the Company assumed the outstanding Public Warrants to purchase 20,700,000 shares of the Company’s common stock and the outstanding Private Placement Warrants to purchase 10,280,000 shares of the Company’s common stock. Additionally, the Company issued 2,500,000 Private Placement Warrants at Closing pursuant to the Forward Purchase Agreement with HEC Fund as described above. Each whole Warrant entitles the registered holder to purchase one share of the Company’s common stock at a price of $11.50 per share, at any time commencing 30 days after the closing of the Business Combination. The warrants expire five years after the completion of the Business Combination.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for Cash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call the Public Warrants for redemption: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 whole and not in part;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 a price of $0.01 per warrant;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upon a minimum of thirty (30) days’ prior written notice of redemption, or the thirty (30)-day redemption period, to each warrant holder; and</w:t>
      </w:r>
    </w:p>
    <w:p>
      <w:pPr>
        <w:spacing w:after="0" w:line="154" w:lineRule="exact"/>
        <w:rPr>
          <w:sz w:val="20"/>
          <w:szCs w:val="20"/>
          <w:color w:val="auto"/>
        </w:rPr>
      </w:pPr>
    </w:p>
    <w:p>
      <w:pPr>
        <w:jc w:val="both"/>
        <w:ind w:left="960"/>
        <w:spacing w:after="0" w:line="266" w:lineRule="auto"/>
        <w:rPr>
          <w:sz w:val="20"/>
          <w:szCs w:val="20"/>
          <w:color w:val="auto"/>
        </w:rPr>
      </w:pPr>
      <w:r>
        <w:rPr>
          <w:rFonts w:ascii="Arial" w:cs="Arial" w:eastAsia="Arial" w:hAnsi="Arial"/>
          <w:sz w:val="18"/>
          <w:szCs w:val="18"/>
          <w:color w:val="auto"/>
        </w:rPr>
        <w:t>if, and only if, the closing price of the Company’s common stock equals or exceeds $18.00 per share (as adjusted for stock splits, stock recapitalizations, reorganizations, recapitalizations and the like) for any twenty (20) trading days within a thirty (30)-trading day period ending on the third business day prior to the date on which we send the notice of redemption to the warrant 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jc w:val="both"/>
        <w:spacing w:after="0" w:line="293" w:lineRule="auto"/>
        <w:rPr>
          <w:sz w:val="20"/>
          <w:szCs w:val="20"/>
          <w:color w:val="auto"/>
        </w:rPr>
      </w:pPr>
      <w:r>
        <w:rPr>
          <w:rFonts w:ascii="Arial" w:cs="Arial" w:eastAsia="Arial" w:hAnsi="Arial"/>
          <w:sz w:val="18"/>
          <w:szCs w:val="18"/>
          <w:color w:val="auto"/>
        </w:rPr>
        <w:t>When the Public Warrants become redeemable, the Company may exercise the redemption right even if the Company is unable to register or qualify the underlying securities for sale under all applicable state securities laws.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Private Placement Warrants are identical to the Public Warrants, except that the Private Placement Warrants and the shares of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for cash or on a cashless basis, at the holder’s option,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determined the Public Warrants met the criteria to be classified as equity in accordance with ASC 815-40. The Company valued these warrants using the instrument’s publicly listed trading price on the date of acquisition and included $27.9 million related to these warrants in additional paid-in capital within stockholder’s deficit. The Private Placement Warrants are accounted for as liabilities in accordance with ASC 815-40. As of September 30, 2021, the Company included $12.0 million within warrant liabilities in the accompanying condensed consolidated balance sheets. Refer to Note 5, “Fair Value Measurement” for additional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is operating a virtual behavioral healthcare business that connects individuals and licensed therapists, psychologists and psychiatrists with an online platform for one-on-one therapy delivered via messaging, audio and video. Individuals access the company’s services through the Company’s website or mobile app.</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provides these services directly to individuals through a subscription plan. The Company also contracts with health plans and other enterprises to provide its services to individuals who are qualified to receive access to the Company’s services through the Company’s commercial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revenues disaggregated by revenue source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ind w:left="480"/>
              <w:spacing w:after="0"/>
              <w:rPr>
                <w:sz w:val="20"/>
                <w:szCs w:val="20"/>
                <w:color w:val="auto"/>
              </w:rPr>
            </w:pPr>
            <w:r>
              <w:rPr>
                <w:rFonts w:ascii="Arial" w:cs="Arial" w:eastAsia="Arial" w:hAnsi="Arial"/>
                <w:sz w:val="14"/>
                <w:szCs w:val="14"/>
                <w:b w:val="1"/>
                <w:bCs w:val="1"/>
                <w:color w:val="auto"/>
                <w:w w:val="90"/>
              </w:rPr>
              <w:t>Nine months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5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r>
      <w:tr>
        <w:trPr>
          <w:trHeight w:val="256"/>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sales to unaffiliated customers:</w:t>
            </w: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340" w:type="dxa"/>
            <w:vAlign w:val="bottom"/>
          </w:tcPr>
          <w:p>
            <w:pPr>
              <w:ind w:left="20"/>
              <w:spacing w:after="0"/>
              <w:rPr>
                <w:sz w:val="20"/>
                <w:szCs w:val="20"/>
                <w:color w:val="auto"/>
              </w:rPr>
            </w:pPr>
            <w:r>
              <w:rPr>
                <w:rFonts w:ascii="Arial" w:cs="Arial" w:eastAsia="Arial" w:hAnsi="Arial"/>
                <w:sz w:val="18"/>
                <w:szCs w:val="18"/>
                <w:color w:val="auto"/>
              </w:rPr>
              <w:t>Consumers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18,631</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16,923</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ind w:left="460"/>
              <w:spacing w:after="0"/>
              <w:rPr>
                <w:sz w:val="20"/>
                <w:szCs w:val="20"/>
                <w:color w:val="auto"/>
              </w:rPr>
            </w:pPr>
            <w:r>
              <w:rPr>
                <w:rFonts w:ascii="Arial" w:cs="Arial" w:eastAsia="Arial" w:hAnsi="Arial"/>
                <w:sz w:val="18"/>
                <w:szCs w:val="18"/>
                <w:color w:val="auto"/>
                <w:w w:val="87"/>
              </w:rPr>
              <w:t>58,286</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42,208</w:t>
            </w:r>
          </w:p>
        </w:tc>
        <w:tc>
          <w:tcPr>
            <w:tcW w:w="100" w:type="dxa"/>
            <w:vAlign w:val="bottom"/>
          </w:tcPr>
          <w:p>
            <w:pPr>
              <w:spacing w:after="0"/>
              <w:rPr>
                <w:sz w:val="21"/>
                <w:szCs w:val="21"/>
                <w:color w:val="auto"/>
              </w:rPr>
            </w:pPr>
          </w:p>
        </w:tc>
      </w:tr>
      <w:tr>
        <w:trPr>
          <w:trHeight w:val="257"/>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w:t>
            </w: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7,728</w:t>
            </w:r>
          </w:p>
        </w:tc>
        <w:tc>
          <w:tcPr>
            <w:tcW w:w="2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87"/>
              </w:rPr>
              <w:t>26,213</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26,359</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21,505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ind w:left="460"/>
              <w:spacing w:after="0"/>
              <w:rPr>
                <w:sz w:val="20"/>
                <w:szCs w:val="20"/>
                <w:color w:val="auto"/>
              </w:rPr>
            </w:pPr>
            <w:r>
              <w:rPr>
                <w:rFonts w:ascii="Arial" w:cs="Arial" w:eastAsia="Arial" w:hAnsi="Arial"/>
                <w:sz w:val="18"/>
                <w:szCs w:val="18"/>
                <w:color w:val="auto"/>
                <w:w w:val="87"/>
              </w:rPr>
              <w:t>84,499</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50,502</w:t>
            </w:r>
          </w:p>
        </w:tc>
        <w:tc>
          <w:tcPr>
            <w:tcW w:w="100" w:type="dxa"/>
            <w:vAlign w:val="bottom"/>
          </w:tcPr>
          <w:p>
            <w:pPr>
              <w:spacing w:after="0"/>
              <w:rPr>
                <w:sz w:val="22"/>
                <w:szCs w:val="22"/>
                <w:color w:val="auto"/>
              </w:rPr>
            </w:pPr>
          </w:p>
        </w:tc>
      </w:tr>
      <w:tr>
        <w:trPr>
          <w:trHeight w:val="20"/>
        </w:trPr>
        <w:tc>
          <w:tcPr>
            <w:tcW w:w="5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-193675</wp:posOffset>
            </wp:positionV>
            <wp:extent cx="17970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-193675</wp:posOffset>
            </wp:positionV>
            <wp:extent cx="1803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-193675</wp:posOffset>
            </wp:positionV>
            <wp:extent cx="16319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Accounts receivable are recorded at the invoiced amount and amounts for which revenue has been recognized but not invoiced, net of allowance for credit loss. The allowance for credit loss is based on the Company’s assessment of historical collection experience, customer creditworthiness, current and future economic conditions and market conditions. The Company reviews the adequacy of the allowance for credit loss based on a combination of factors, including an assessment of the current customer’s aging balance, the nature and size of the customer, the financial condition of the customer, and the amount of any receivables in dispute. Accounts receivable deemed uncollectable are charged against the allowance for credit loss when identified. As of September 30, 2021, the allowance for credit losses mainly related to receivables from the Company’s health plan customers.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jc w:val="both"/>
        <w:spacing w:after="0" w:line="329" w:lineRule="auto"/>
        <w:rPr>
          <w:sz w:val="20"/>
          <w:szCs w:val="20"/>
          <w:color w:val="auto"/>
        </w:rPr>
      </w:pPr>
      <w:r>
        <w:rPr>
          <w:rFonts w:ascii="Arial" w:cs="Arial" w:eastAsia="Arial" w:hAnsi="Arial"/>
          <w:sz w:val="16"/>
          <w:szCs w:val="16"/>
          <w:color w:val="auto"/>
        </w:rPr>
        <w:t>During the three months ended September 30, 2021, the Company recorded an increase in the allowance for credit losses of $3.4 million, with approximately 84% of this amount related to aged balances over 90 days outstanding. During the nine months ended September 30, 2021, the Company recorded an increase in the allowance for credit losses of $3.6 million, with approximately 27% of this amount related to aged balances prior to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w:t>
      </w:r>
    </w:p>
    <w:p>
      <w:pPr>
        <w:spacing w:after="0" w:line="135"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The Company applies ASC 820, “Fair Value Measurements and Disclosures”. Under this standard, fair value is defined as the price that would be received to sell an asset or paid to transfer a liability (i.e., the “exit price”) in an orderly transaction between market participants at the measurement date.</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hierarchy is broken down into three levels based on the inputs as follows:</w:t>
      </w:r>
    </w:p>
    <w:p>
      <w:pPr>
        <w:spacing w:after="0" w:line="266" w:lineRule="exact"/>
        <w:rPr>
          <w:sz w:val="20"/>
          <w:szCs w:val="20"/>
          <w:color w:val="auto"/>
        </w:rPr>
      </w:pPr>
    </w:p>
    <w:p>
      <w:pPr>
        <w:jc w:val="both"/>
        <w:ind w:left="1820" w:right="20" w:hanging="1174"/>
        <w:spacing w:after="0" w:line="279" w:lineRule="auto"/>
        <w:tabs>
          <w:tab w:leader="none" w:pos="18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Valuations based on quoted prices in active markets for identical assets that the Company has the ability to access. Since valuations are based on quoted prices that are readily and regularly available in an active market, valuation of these products does not entail a significant degree of judgment.</w:t>
      </w:r>
    </w:p>
    <w:p>
      <w:pPr>
        <w:spacing w:after="0" w:line="223" w:lineRule="exact"/>
        <w:rPr>
          <w:sz w:val="20"/>
          <w:szCs w:val="20"/>
          <w:color w:val="auto"/>
        </w:rPr>
      </w:pPr>
    </w:p>
    <w:p>
      <w:pPr>
        <w:ind w:left="1840" w:right="20" w:hanging="1228"/>
        <w:spacing w:after="0" w:line="293" w:lineRule="auto"/>
        <w:tabs>
          <w:tab w:leader="none" w:pos="1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210"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consummation of the Business Combination, the Company acquired Private Placement Warrants from HEC. Additionally, there were Private Placement Warrants that were issued related to the closing of the Forward Purchase Agreement with the HEC Fund as described in Note 3. The Company measures its Private Placement Warrants at fair value on a recurring basis. The Private Placement Warrants were valued using a Modified Black Scholes Model, which is considered to be a Level 3 fair value measurement. The primary unobservable input utilized in determining the fair value of the Private Placement Warrants is the expected volatility of the Company’s common stock. The expected volatility of the Company’s common stock was estimated to be approximately 65% as of September 30, 2021.</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Prior to the Business Combination, Old Talkspace had issued warrants to purchase its common stock and its Series D preferred stock. In connection with the Business Combination, the warrants to purchase Old Talkspace’s common stock and its Series D preferred stock were exercised and converted into common shares of the Company during June 2021. As of December 31, 2020, there were 60,000 outstanding warrants to purchase the Old Talkspace’s common stock for a price of $0.44 per share and 50,881 outstanding warrants to purchase the Company’s preferred D stock for a price of $2.75 per share. The inputs related to Old Talkspace’s share prices prior to the Business Combination were determined based on management’s assumptions and based on the Option Pricing Model (“OPM”). The fair value of the underlying preferred share price was determined by the board of directors, considering among others, a third-party valuation. These inputs were considered to be a Level 3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indicates the fair value hierarchy of the valuation inputs the Company utilized to determine such fair value (dollars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7"/>
              </w:rPr>
              <w:t>September 30, 2021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9"/>
              </w:rPr>
              <w:t>December 31, 2020</w:t>
            </w:r>
          </w:p>
        </w:tc>
        <w:tc>
          <w:tcPr>
            <w:tcW w:w="100" w:type="dxa"/>
            <w:vAlign w:val="bottom"/>
          </w:tcPr>
          <w:p>
            <w:pPr>
              <w:spacing w:after="0"/>
              <w:rPr>
                <w:sz w:val="16"/>
                <w:szCs w:val="16"/>
                <w:color w:val="auto"/>
              </w:rPr>
            </w:pPr>
          </w:p>
        </w:tc>
      </w:tr>
      <w:tr>
        <w:trPr>
          <w:trHeight w:val="25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5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ind w:right="457"/>
              <w:spacing w:after="0"/>
              <w:rPr>
                <w:sz w:val="20"/>
                <w:szCs w:val="20"/>
                <w:color w:val="auto"/>
              </w:rPr>
            </w:pPr>
            <w:r>
              <w:rPr>
                <w:rFonts w:ascii="Arial" w:cs="Arial" w:eastAsia="Arial" w:hAnsi="Arial"/>
                <w:sz w:val="16"/>
                <w:szCs w:val="16"/>
                <w:color w:val="auto"/>
              </w:rPr>
              <w:t>(unaudited)</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1520" w:type="dxa"/>
            <w:vAlign w:val="bottom"/>
            <w:gridSpan w:val="2"/>
          </w:tcPr>
          <w:p>
            <w:pPr>
              <w:jc w:val="center"/>
              <w:ind w:left="510"/>
              <w:spacing w:after="0"/>
              <w:rPr>
                <w:sz w:val="20"/>
                <w:szCs w:val="20"/>
                <w:color w:val="auto"/>
              </w:rPr>
            </w:pPr>
            <w:r>
              <w:rPr>
                <w:rFonts w:ascii="Arial" w:cs="Arial" w:eastAsia="Arial" w:hAnsi="Arial"/>
                <w:sz w:val="18"/>
                <w:szCs w:val="18"/>
                <w:color w:val="auto"/>
                <w:w w:val="79"/>
              </w:rPr>
              <w:t>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12,012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Warrant liability – warrants to purchase Old Talkspace’s preferred D shares</w:t>
            </w:r>
          </w:p>
        </w:tc>
        <w:tc>
          <w:tcPr>
            <w:tcW w:w="1520" w:type="dxa"/>
            <w:vAlign w:val="bottom"/>
            <w:gridSpan w:val="2"/>
            <w:shd w:val="clear" w:color="auto" w:fill="CFF0FC"/>
          </w:tcPr>
          <w:p>
            <w:pPr>
              <w:jc w:val="center"/>
              <w:ind w:left="510"/>
              <w:spacing w:after="0"/>
              <w:rPr>
                <w:sz w:val="20"/>
                <w:szCs w:val="20"/>
                <w:color w:val="auto"/>
              </w:rPr>
            </w:pPr>
            <w:r>
              <w:rPr>
                <w:rFonts w:ascii="Arial" w:cs="Arial" w:eastAsia="Arial" w:hAnsi="Arial"/>
                <w:sz w:val="18"/>
                <w:szCs w:val="18"/>
                <w:color w:val="auto"/>
                <w:w w:val="79"/>
              </w:rPr>
              <w:t>3</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22"/>
                <w:szCs w:val="22"/>
                <w:color w:val="auto"/>
              </w:rPr>
            </w:pPr>
          </w:p>
        </w:tc>
      </w:tr>
      <w:tr>
        <w:trPr>
          <w:trHeight w:val="459"/>
        </w:trPr>
        <w:tc>
          <w:tcPr>
            <w:tcW w:w="5480" w:type="dxa"/>
            <w:vAlign w:val="bottom"/>
          </w:tcPr>
          <w:p>
            <w:pPr>
              <w:spacing w:after="0"/>
              <w:rPr>
                <w:sz w:val="24"/>
                <w:szCs w:val="24"/>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4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jc w:val="both"/>
        <w:spacing w:after="0" w:line="329" w:lineRule="auto"/>
        <w:rPr>
          <w:sz w:val="20"/>
          <w:szCs w:val="20"/>
          <w:color w:val="auto"/>
        </w:rPr>
      </w:pPr>
      <w:r>
        <w:rPr>
          <w:rFonts w:ascii="Arial" w:cs="Arial" w:eastAsia="Arial" w:hAnsi="Arial"/>
          <w:sz w:val="16"/>
          <w:szCs w:val="16"/>
          <w:color w:val="auto"/>
        </w:rPr>
        <w:t>The Private Placement Warrants are accounted for as liabilities in accordance with ASC 815-40 and are presented within warrant liabilities in the accompanying condensed consolidated balance sheets. The warrant liabilities are measured at fair value at inception and on a recurring basis, with changes in fair value presented within financial income (expense), net in the condensed consolidated statement of operations and comprehensive income (loss).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the fair value of warrant liabilities during the nine months ended September 30, 2021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Private Placement</w:t>
            </w:r>
          </w:p>
        </w:tc>
        <w:tc>
          <w:tcPr>
            <w:tcW w:w="1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Old Talkspace Warrants</w:t>
            </w:r>
          </w:p>
        </w:tc>
      </w:tr>
      <w:tr>
        <w:trPr>
          <w:trHeight w:val="25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22"/>
                <w:szCs w:val="22"/>
                <w:color w:val="auto"/>
              </w:rPr>
            </w:pP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color w:val="auto"/>
              </w:rPr>
              <w:t>Acquired in Business Combination</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32,399</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in connection with closing of the Forward Purchase Agreement</w:t>
            </w:r>
          </w:p>
        </w:tc>
        <w:tc>
          <w:tcPr>
            <w:tcW w:w="18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w:t>
            </w:r>
          </w:p>
        </w:tc>
        <w:tc>
          <w:tcPr>
            <w:tcW w:w="2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color w:val="auto"/>
              </w:rPr>
              <w:t>Change in value</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(28,266 )</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r>
      <w:tr>
        <w:trPr>
          <w:trHeight w:val="25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Converted into equity</w:t>
            </w:r>
          </w:p>
        </w:tc>
        <w:tc>
          <w:tcPr>
            <w:tcW w:w="18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(609 )</w:t>
            </w:r>
          </w:p>
        </w:tc>
      </w:tr>
      <w:tr>
        <w:trPr>
          <w:trHeight w:val="250"/>
        </w:trPr>
        <w:tc>
          <w:tcPr>
            <w:tcW w:w="7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September 30, 2021 (unaudited)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12,012</w:t>
            </w:r>
          </w:p>
        </w:tc>
        <w:tc>
          <w:tcPr>
            <w:tcW w:w="280" w:type="dxa"/>
            <w:vAlign w:val="bottom"/>
            <w:tcBorders>
              <w:top w:val="single" w:sz="8" w:color="CFF0FC"/>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1"/>
                <w:szCs w:val="21"/>
                <w:color w:val="auto"/>
              </w:rPr>
            </w:pP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-193675</wp:posOffset>
            </wp:positionV>
            <wp:extent cx="1803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connection with the consummation of the Business Combination, the Company also acquired Public Warrants from HEC and also issued equity warrants to certain consultants. The Company determined these warrants met the criteria to be classified as equity in accordance with ASC 815-40. The Company valued these warrants using the instrument’s publicly listed trading price on the date of acquisition or issuance, where applicable, and included in additional paid-in capital within stockholder’s deficit. This is considered to be a non-recurring Level 1 measurement due to the use of an observable market quote in an active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 ARRANGEMENTS</w:t>
      </w:r>
    </w:p>
    <w:p>
      <w:pPr>
        <w:spacing w:after="0" w:line="13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March 15, 2021, Talkspace entered into a credit and security agreement (the “Credit Agreement”) by and among, Talkspace and Talkspace Network LLC, as borrowers (each and collectively, jointly and severally, “Borrower”) and JPMorgan Chase Bank, N.A. and the other loan parties party thereto to provide Borrower with a term loan of up to $15.0 million, which was available to be drawn in a period of twelve months. The term loan will be required to be repaid within thirty-six months, beginning twelve months from the effective date of the Credit Agreement. In addition, under the Credit Agreement, the Borrower was provided with a credit line of up to $5.0 million, available for a period of two years from the effective date of the Credit Agreement.</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Under the Credit Agreement, Borrower was required to maintain a minimum 85% of the net revenue disclosed in the annual projections. The loans bore interest at a per annum rate equal to (x) in respect of each term loan, the greater of (i) the prime rate plus the Applicable Margin or (ii) 4.75%, and (y) in respect of each revolving loan, the greater of (i) the prime rate plus the Applicable Margin or (ii) 3.75%. “Applicable Margin” is (x) in respect of each term loan, 1.50% per annum and (y) in respect of each revolving loan, 0.50% per annum.</w:t>
      </w:r>
    </w:p>
    <w:p>
      <w:pPr>
        <w:spacing w:after="0" w:line="18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accordance with the Credit Agreement entered into on March 15, 2021, the Company issued a warrant (the “Warrant”) to JPMorgan Chase Bank, N.A. to purchase 114,454 shares at an exercise price of $0.01 per share in the case that, prior to June 30, 2021, the Company has neither (i) closed the Mergers nor</w:t>
      </w:r>
    </w:p>
    <w:p>
      <w:pPr>
        <w:spacing w:after="0" w:line="1" w:lineRule="exact"/>
        <w:rPr>
          <w:sz w:val="20"/>
          <w:szCs w:val="20"/>
          <w:color w:val="auto"/>
        </w:rPr>
      </w:pPr>
    </w:p>
    <w:p>
      <w:pPr>
        <w:jc w:val="both"/>
        <w:ind w:firstLine="8"/>
        <w:spacing w:after="0" w:line="314" w:lineRule="auto"/>
        <w:tabs>
          <w:tab w:leader="none" w:pos="286"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received net proceeds of at least twenty million dollars ($20.0 million) in connection with the issuance of additional equity interests. The Warrant provided that, if the Company either were to close the Mergers or receive such net proceeds from an equity issuance prior to June 30, 2021, the Warrant would be exercisable for zero shares and would automatically terminate. Otherwise, the Warrant would be exercisable until March 15, 2031 unless earlier terminated by the lender. During the three months ended March 31, 2021, the Company recorded $0.1 million in additional paid-in capital related to the estimated value of the issued warrant. As a result of the closing of the Business Combination, the Warrant was cancelled during June 2021.</w:t>
      </w:r>
    </w:p>
    <w:p>
      <w:pPr>
        <w:spacing w:after="0" w:line="15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 May 2021, the Company borrowed $6.0 million under the Credit Agreement to provide for additional liquidity. This amount was repaid in June 2021. In June 2021, the Company terminated the Credit Agreement.</w:t>
      </w:r>
    </w:p>
    <w:p>
      <w:pPr>
        <w:spacing w:after="0" w:line="170"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During the nine months ended September 30, 2021, the Company recorded debt issuance costs of $0.2 million, which comprised of $0.1 million in upfront fees and $0.1 million for the issued warrant. These costs were fully amortized through the termination of the Credit Agreement.</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3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From time-to-time, the Company is party to various legal proceedings, claims and litigation that arise in the normal course of business. In the opinion of management the ultimate outcome of these matters will not have a material adverse effect on the Company’s financial position, results of operations or cash flows. Accruals for loss contingencies are recorded when a loss is probable, and the amount of such loss can be reasonably estimated.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 and Indemnification</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CONVERTIBLE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Prior to the Business Combination, Old Talkspace</w:t>
      </w:r>
      <w:r>
        <w:rPr>
          <w:rFonts w:ascii="Arial" w:cs="Arial" w:eastAsia="Arial" w:hAnsi="Arial"/>
          <w:sz w:val="16"/>
          <w:szCs w:val="16"/>
          <w:color w:val="auto"/>
        </w:rPr>
        <w:t>’</w:t>
      </w:r>
      <w:r>
        <w:rPr>
          <w:rFonts w:ascii="Arial" w:cs="Arial" w:eastAsia="Arial" w:hAnsi="Arial"/>
          <w:sz w:val="18"/>
          <w:szCs w:val="18"/>
          <w:color w:val="auto"/>
        </w:rPr>
        <w:t>s convertible preferred stock consisted of the following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2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215"/>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6"/>
        </w:trPr>
        <w:tc>
          <w:tcPr>
            <w:tcW w:w="268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Arial" w:cs="Arial" w:eastAsia="Arial" w:hAnsi="Arial"/>
                <w:sz w:val="14"/>
                <w:szCs w:val="14"/>
                <w:b w:val="1"/>
                <w:bCs w:val="1"/>
                <w:color w:val="auto"/>
                <w:w w:val="94"/>
              </w:rPr>
              <w:t>Issue</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42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55"/>
              <w:spacing w:after="0"/>
              <w:rPr>
                <w:sz w:val="20"/>
                <w:szCs w:val="20"/>
                <w:color w:val="auto"/>
              </w:rPr>
            </w:pPr>
            <w:r>
              <w:rPr>
                <w:rFonts w:ascii="Arial" w:cs="Arial" w:eastAsia="Arial" w:hAnsi="Arial"/>
                <w:sz w:val="14"/>
                <w:szCs w:val="14"/>
                <w:b w:val="1"/>
                <w:bCs w:val="1"/>
                <w:color w:val="auto"/>
                <w:w w:val="98"/>
              </w:rPr>
              <w:t>Liquidation</w:t>
            </w:r>
          </w:p>
        </w:tc>
        <w:tc>
          <w:tcPr>
            <w:tcW w:w="100" w:type="dxa"/>
            <w:vAlign w:val="bottom"/>
          </w:tcPr>
          <w:p>
            <w:pPr>
              <w:spacing w:after="0"/>
              <w:rPr>
                <w:sz w:val="15"/>
                <w:szCs w:val="15"/>
                <w:color w:val="auto"/>
              </w:rPr>
            </w:pPr>
          </w:p>
        </w:tc>
      </w:tr>
      <w:tr>
        <w:trPr>
          <w:trHeight w:val="192"/>
        </w:trPr>
        <w:tc>
          <w:tcPr>
            <w:tcW w:w="2680" w:type="dxa"/>
            <w:vAlign w:val="bottom"/>
          </w:tcPr>
          <w:p>
            <w:pPr>
              <w:spacing w:after="0"/>
              <w:rPr>
                <w:sz w:val="16"/>
                <w:szCs w:val="16"/>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99"/>
              </w:rPr>
              <w:t>Price</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Authorized (1)</w:t>
            </w:r>
          </w:p>
        </w:tc>
        <w:tc>
          <w:tcPr>
            <w:tcW w:w="28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 (1)</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Preference</w:t>
            </w:r>
          </w:p>
        </w:tc>
        <w:tc>
          <w:tcPr>
            <w:tcW w:w="100" w:type="dxa"/>
            <w:vAlign w:val="bottom"/>
          </w:tcPr>
          <w:p>
            <w:pPr>
              <w:spacing w:after="0"/>
              <w:rPr>
                <w:sz w:val="16"/>
                <w:szCs w:val="16"/>
                <w:color w:val="auto"/>
              </w:rPr>
            </w:pPr>
          </w:p>
        </w:tc>
      </w:tr>
      <w:tr>
        <w:trPr>
          <w:trHeight w:val="256"/>
        </w:trPr>
        <w:tc>
          <w:tcPr>
            <w:tcW w:w="2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Seed</w:t>
            </w:r>
          </w:p>
        </w:tc>
        <w:tc>
          <w:tcPr>
            <w:tcW w:w="960" w:type="dxa"/>
            <w:vAlign w:val="bottom"/>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0.3275</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3,895,772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3,895,771</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FF0FC"/>
          </w:tcPr>
          <w:p>
            <w:pPr>
              <w:spacing w:after="0"/>
              <w:rPr>
                <w:sz w:val="22"/>
                <w:szCs w:val="22"/>
                <w:color w:val="auto"/>
              </w:rPr>
            </w:pPr>
          </w:p>
        </w:tc>
      </w:tr>
      <w:tr>
        <w:trPr>
          <w:trHeight w:val="250"/>
        </w:trPr>
        <w:tc>
          <w:tcPr>
            <w:tcW w:w="2680" w:type="dxa"/>
            <w:vAlign w:val="bottom"/>
          </w:tcPr>
          <w:p>
            <w:pPr>
              <w:ind w:left="20"/>
              <w:spacing w:after="0"/>
              <w:rPr>
                <w:sz w:val="20"/>
                <w:szCs w:val="20"/>
                <w:color w:val="auto"/>
              </w:rPr>
            </w:pPr>
            <w:r>
              <w:rPr>
                <w:rFonts w:ascii="Arial" w:cs="Arial" w:eastAsia="Arial" w:hAnsi="Arial"/>
                <w:sz w:val="18"/>
                <w:szCs w:val="18"/>
                <w:color w:val="auto"/>
              </w:rPr>
              <w:t>Seed-1</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0.3036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8,860,187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8,860,185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21"/>
                <w:szCs w:val="21"/>
                <w:color w:val="auto"/>
              </w:rPr>
            </w:pPr>
          </w:p>
        </w:tc>
      </w:tr>
      <w:tr>
        <w:trPr>
          <w:trHeight w:val="263"/>
        </w:trPr>
        <w:tc>
          <w:tcPr>
            <w:tcW w:w="2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Seed-2</w:t>
            </w:r>
          </w:p>
        </w:tc>
        <w:tc>
          <w:tcPr>
            <w:tcW w:w="96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0.3624</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3,755,433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3,755,433</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FF0FC"/>
          </w:tcPr>
          <w:p>
            <w:pPr>
              <w:spacing w:after="0"/>
              <w:rPr>
                <w:sz w:val="22"/>
                <w:szCs w:val="22"/>
                <w:color w:val="auto"/>
              </w:rPr>
            </w:pPr>
          </w:p>
        </w:tc>
      </w:tr>
      <w:tr>
        <w:trPr>
          <w:trHeight w:val="250"/>
        </w:trPr>
        <w:tc>
          <w:tcPr>
            <w:tcW w:w="2680" w:type="dxa"/>
            <w:vAlign w:val="bottom"/>
          </w:tcPr>
          <w:p>
            <w:pPr>
              <w:ind w:left="20"/>
              <w:spacing w:after="0"/>
              <w:rPr>
                <w:sz w:val="20"/>
                <w:szCs w:val="20"/>
                <w:color w:val="auto"/>
              </w:rPr>
            </w:pPr>
            <w:r>
              <w:rPr>
                <w:rFonts w:ascii="Arial" w:cs="Arial" w:eastAsia="Arial" w:hAnsi="Arial"/>
                <w:sz w:val="18"/>
                <w:szCs w:val="18"/>
                <w:color w:val="auto"/>
              </w:rPr>
              <w:t>Series A</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0.5842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18,163,165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18,163,165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21"/>
                <w:szCs w:val="21"/>
                <w:color w:val="auto"/>
              </w:rPr>
            </w:pPr>
          </w:p>
        </w:tc>
      </w:tr>
      <w:tr>
        <w:trPr>
          <w:trHeight w:val="263"/>
        </w:trPr>
        <w:tc>
          <w:tcPr>
            <w:tcW w:w="2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w:t>
            </w:r>
          </w:p>
        </w:tc>
        <w:tc>
          <w:tcPr>
            <w:tcW w:w="96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1.0413</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16,718,570</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16,337,364</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14,934</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22"/>
                <w:szCs w:val="22"/>
                <w:color w:val="auto"/>
              </w:rPr>
            </w:pPr>
          </w:p>
        </w:tc>
      </w:tr>
      <w:tr>
        <w:trPr>
          <w:trHeight w:val="250"/>
        </w:trPr>
        <w:tc>
          <w:tcPr>
            <w:tcW w:w="2680" w:type="dxa"/>
            <w:vAlign w:val="bottom"/>
          </w:tcPr>
          <w:p>
            <w:pPr>
              <w:ind w:left="20"/>
              <w:spacing w:after="0"/>
              <w:rPr>
                <w:sz w:val="20"/>
                <w:szCs w:val="20"/>
                <w:color w:val="auto"/>
              </w:rPr>
            </w:pPr>
            <w:r>
              <w:rPr>
                <w:rFonts w:ascii="Arial" w:cs="Arial" w:eastAsia="Arial" w:hAnsi="Arial"/>
                <w:sz w:val="18"/>
                <w:szCs w:val="18"/>
                <w:color w:val="auto"/>
              </w:rPr>
              <w:t>Series C</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1.5839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22,412,141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22,412,141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31,226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31,300</w:t>
            </w:r>
          </w:p>
        </w:tc>
        <w:tc>
          <w:tcPr>
            <w:tcW w:w="100" w:type="dxa"/>
            <w:vAlign w:val="bottom"/>
          </w:tcPr>
          <w:p>
            <w:pPr>
              <w:spacing w:after="0"/>
              <w:rPr>
                <w:sz w:val="21"/>
                <w:szCs w:val="21"/>
                <w:color w:val="auto"/>
              </w:rPr>
            </w:pPr>
          </w:p>
        </w:tc>
      </w:tr>
      <w:tr>
        <w:trPr>
          <w:trHeight w:val="263"/>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Series D</w:t>
            </w:r>
          </w:p>
        </w:tc>
        <w:tc>
          <w:tcPr>
            <w:tcW w:w="96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2.7515</w:t>
            </w:r>
          </w:p>
        </w:tc>
        <w:tc>
          <w:tcPr>
            <w:tcW w:w="28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21,903,878</w:t>
            </w:r>
          </w:p>
        </w:tc>
        <w:tc>
          <w:tcPr>
            <w:tcW w:w="28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21,158,491</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51,204</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95,709,146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94,582,550</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111,282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111,685</w:t>
            </w:r>
          </w:p>
        </w:tc>
        <w:tc>
          <w:tcPr>
            <w:tcW w:w="100" w:type="dxa"/>
            <w:vAlign w:val="bottom"/>
          </w:tcPr>
          <w:p>
            <w:pPr>
              <w:spacing w:after="0"/>
              <w:rPr>
                <w:sz w:val="21"/>
                <w:szCs w:val="21"/>
                <w:color w:val="auto"/>
              </w:rPr>
            </w:pPr>
          </w:p>
        </w:tc>
      </w:tr>
      <w:tr>
        <w:trPr>
          <w:trHeight w:val="20"/>
        </w:trPr>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-193675</wp:posOffset>
            </wp:positionV>
            <wp:extent cx="17145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-193675</wp:posOffset>
            </wp:positionV>
            <wp:extent cx="17145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-193675</wp:posOffset>
            </wp:positionV>
            <wp:extent cx="17145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5" w:lineRule="exact"/>
        <w:rPr>
          <w:sz w:val="20"/>
          <w:szCs w:val="20"/>
          <w:color w:val="auto"/>
        </w:rPr>
      </w:pPr>
    </w:p>
    <w:p>
      <w:pPr>
        <w:ind w:firstLine="8"/>
        <w:spacing w:after="0" w:line="293" w:lineRule="auto"/>
        <w:tabs>
          <w:tab w:leader="none" w:pos="217" w:val="left"/>
        </w:tabs>
        <w:numPr>
          <w:ilvl w:val="0"/>
          <w:numId w:val="8"/>
        </w:numPr>
        <w:rPr>
          <w:rFonts w:ascii="Arial" w:cs="Arial" w:eastAsia="Arial" w:hAnsi="Arial"/>
          <w:sz w:val="14"/>
          <w:szCs w:val="14"/>
          <w:color w:val="auto"/>
        </w:rPr>
      </w:pPr>
      <w:r>
        <w:rPr>
          <w:rFonts w:ascii="Arial" w:cs="Arial" w:eastAsia="Arial" w:hAnsi="Arial"/>
          <w:sz w:val="14"/>
          <w:szCs w:val="14"/>
          <w:color w:val="auto"/>
        </w:rPr>
        <w:t>Shares authorized and shares issued and outstanding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terms for the preferred stock provided that each share shall automatically be converted into shares of common stock at the then effective conversion price for such share immediately upon either (i) the closing of the sale of shares of common stock to the public at a price of at least $4.8151 per share (before deduction of the underwriting discount and commissions and subject to appropriate adjustments), in a firm-commitment underwritten public offering pursuant to an effective registration statement under the Securities Act of 1933, as amended, resulting in at least $50.0 million of proceeds, before deduction of the underwriting discount and commissions, to the Company, (ii) the closing of the sale of shares of common stock to the public in a firm-commitment underwritten public offering pursuant to an effective registration statement under the Securities Act of 1933, as amended, that is approved by the holders of at least a majority of the then outstanding shares of senior preferred stock, which shall include the holders of 55% of the outstanding shares of series D preferred stock, or (iii) the affirmative vote or written consent of the holders of at least a majority of the then outstanding shares of senior preferred stock, voting together as a single class and on an as-converted basis, which (A) shall include the holders of a majority of the outstanding shares of each of the series C preferred stock and series D preferred stock, if such conversion is not made in connection with a deemed liquidation event, and (B) shall include the holders of at least 70% of the outstanding shares of series C preferred stock and the holders of 55% of the outstanding shares of series D preferred stock, if such conversion is made in connection with a deemed liquidation event.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Business Combination, all of the shares of preferred stock were converted into common stock.</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35"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The Company adopted the 2014 Stock Incentive Plan (the “2014 Plan”) pursuant to which incentive and nonqualified stock options and stock purchase rights to purchase the Company’s common stock may be granted to officers, employees, directors, consultants and service providers.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connection with the closing of the Business Combination, the Company adopted the 2021 Incentive Award Plan (the “2021 Plan”) under which the Company may grant cash and equity incentive awards to eligible service providers in order to attract, motivate and retain the talent. In connection with the effectiveness of the 2021 Plan, no further awards will be granted under the 2014 Plan. Employees, consultants and directors of the Company, and employees and consultants of its subsidiaries, are eligible to receive awards under the 2021 Plan.</w:t>
      </w:r>
    </w:p>
    <w:p>
      <w:pPr>
        <w:spacing w:after="0" w:line="185" w:lineRule="exact"/>
        <w:rPr>
          <w:sz w:val="20"/>
          <w:szCs w:val="20"/>
          <w:color w:val="auto"/>
        </w:rPr>
      </w:pPr>
    </w:p>
    <w:p>
      <w:pPr>
        <w:jc w:val="both"/>
        <w:ind w:firstLine="54"/>
        <w:spacing w:after="0" w:line="266" w:lineRule="auto"/>
        <w:rPr>
          <w:sz w:val="20"/>
          <w:szCs w:val="20"/>
          <w:color w:val="auto"/>
        </w:rPr>
      </w:pPr>
      <w:r>
        <w:rPr>
          <w:rFonts w:ascii="Arial" w:cs="Arial" w:eastAsia="Arial" w:hAnsi="Arial"/>
          <w:sz w:val="18"/>
          <w:szCs w:val="18"/>
          <w:color w:val="auto"/>
        </w:rPr>
        <w:t>The 2021 Plan is administered by the Company’s board of directors, which may delegate its duties and responsibilities to one or more committees of the Company’s directors and/or officers (referred to collectively as the “plan administrator”), subject to the limitations imposed under the 2021 Plan, Section 16 of the Securities Exchange Act of 1934, as amended, stock exchange rules and other applicable laws. The plan administrator has the authority to take all actions and make all determinations under the 2021 Plan, to interpret the 2021 Plan and award agreements and to adopt, amend and repeal rules for the administration of the 2021 Plan as it deems advisable. The plan administrator also has the authority to determine which eligible service providers receive awards, grant awards and set the terms and conditions of all awards under the 2021 Plan, including any vesting and vesting acceleration provisions, subject to the conditions and limitations in the 2021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71" w:lineRule="auto"/>
        <w:rPr>
          <w:sz w:val="20"/>
          <w:szCs w:val="20"/>
          <w:color w:val="auto"/>
        </w:rPr>
      </w:pPr>
      <w:r>
        <w:rPr>
          <w:rFonts w:ascii="Arial" w:cs="Arial" w:eastAsia="Arial" w:hAnsi="Arial"/>
          <w:sz w:val="18"/>
          <w:szCs w:val="18"/>
          <w:color w:val="auto"/>
        </w:rPr>
        <w:t>An aggregate of 15,875,574 shares of Talkspace common stock are available for issuance under the 2021 Plan and the maximum number of shares of Talkspace common stock that may be issued pursuant to the exercise of incentive stock options granted under the 2021 Plan is 100,000,000. The aggregate share limit under the 2021 Plan will be subject to an annual increase on the first day of each calendar year beginning January 1, 2022 and ending on and including January 1, 2031 by a number of shares equal to the lesser of (i) a number equal to 5% of the aggregate number of shares of Talkspace common stock outstanding on the final day of the immediately preceding calendar year and (ii) such smaller number of shares of Talkspace common stock as is determined by the Talkspace board of directors.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connection with the closing of the Business Combination, the Company also adopted the 2021 Employee Stock Purchase Plan (the “2021 ESPP”) under which employees of Talkspace and its participating subsidiaries are provided with the opportunity to purchase Talkspace common stock at a discount through accumulated payroll deductions during successive offering periods.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2021 ESPP is administered by the compensation committee of the Company’s board of directors (referred to collectively as the “plan administrator”). The plan administrator has the authority to take all actions and make all determinations under the 2021 ESPP, to interpret the 2021 ESPP and to adopt, amend and repeal rules for the administration of the 2021 ESPP as it deems advisable.</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An aggregate of 3,045,115 shares of Talkspace common stock are available for issuance under the 2021 ESPP. In addition, the number of shares of common stock available for issuance under the ESPP will be annually increased on January 1 of each calendar year beginning in 2022 and ending in 2031, by an amount equal to the lesser of (i) 1% of the aggregate number of shares of Talkspace common stock outstanding on the final day of the immediately preceding calendar year and (ii) such smaller number of shares of Talkspace common stock as determined by the Talkspace board of directors. The maximum number of shares of Talkspace common stock that may be granted under the 2021 ESPP is 50,000,000.</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 summary of the Company’s stock option activity under the 2014 Plan and 2021 Plan to employees, directors and service providers is as follows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w w:val="96"/>
              </w:rPr>
              <w:t>Nine months ended September 30, 2021 (1)</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5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center"/>
              <w:ind w:left="258"/>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center"/>
              <w:ind w:left="278"/>
              <w:spacing w:after="0"/>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000" w:type="dxa"/>
            <w:vAlign w:val="bottom"/>
          </w:tcPr>
          <w:p>
            <w:pPr>
              <w:jc w:val="center"/>
              <w:ind w:left="278"/>
              <w:spacing w:after="0"/>
              <w:rPr>
                <w:sz w:val="20"/>
                <w:szCs w:val="20"/>
                <w:color w:val="auto"/>
              </w:rPr>
            </w:pPr>
            <w:r>
              <w:rPr>
                <w:rFonts w:ascii="Arial" w:cs="Arial" w:eastAsia="Arial" w:hAnsi="Arial"/>
                <w:sz w:val="14"/>
                <w:szCs w:val="14"/>
                <w:b w:val="1"/>
                <w:bCs w:val="1"/>
                <w:color w:val="auto"/>
                <w:w w:val="85"/>
              </w:rPr>
              <w:t>exercise</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297"/>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92"/>
        </w:trPr>
        <w:tc>
          <w:tcPr>
            <w:tcW w:w="5000" w:type="dxa"/>
            <w:vAlign w:val="bottom"/>
          </w:tcPr>
          <w:p>
            <w:pPr>
              <w:spacing w:after="0"/>
              <w:rPr>
                <w:sz w:val="16"/>
                <w:szCs w:val="16"/>
                <w:color w:val="auto"/>
              </w:rPr>
            </w:pPr>
          </w:p>
        </w:tc>
        <w:tc>
          <w:tcPr>
            <w:tcW w:w="13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6"/>
                <w:szCs w:val="16"/>
                <w:color w:val="auto"/>
              </w:rPr>
            </w:pPr>
          </w:p>
        </w:tc>
        <w:tc>
          <w:tcPr>
            <w:tcW w:w="1000" w:type="dxa"/>
            <w:vAlign w:val="bottom"/>
            <w:tcBorders>
              <w:bottom w:val="single" w:sz="8" w:color="auto"/>
            </w:tcBorders>
          </w:tcPr>
          <w:p>
            <w:pPr>
              <w:jc w:val="center"/>
              <w:ind w:left="278"/>
              <w:spacing w:after="0"/>
              <w:rPr>
                <w:sz w:val="20"/>
                <w:szCs w:val="20"/>
                <w:color w:val="auto"/>
              </w:rPr>
            </w:pPr>
            <w:r>
              <w:rPr>
                <w:rFonts w:ascii="Arial" w:cs="Arial" w:eastAsia="Arial" w:hAnsi="Arial"/>
                <w:sz w:val="14"/>
                <w:szCs w:val="14"/>
                <w:b w:val="1"/>
                <w:bCs w:val="1"/>
                <w:color w:val="auto"/>
                <w:w w:val="95"/>
              </w:rPr>
              <w:t>price</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7"/>
              </w:rPr>
              <w:t>intrinsic value</w:t>
            </w:r>
          </w:p>
        </w:tc>
        <w:tc>
          <w:tcPr>
            <w:tcW w:w="100" w:type="dxa"/>
            <w:vAlign w:val="bottom"/>
          </w:tcPr>
          <w:p>
            <w:pPr>
              <w:spacing w:after="0"/>
              <w:rPr>
                <w:sz w:val="16"/>
                <w:szCs w:val="16"/>
                <w:color w:val="auto"/>
              </w:rPr>
            </w:pPr>
          </w:p>
        </w:tc>
      </w:tr>
      <w:tr>
        <w:trPr>
          <w:trHeight w:val="256"/>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the beginning of the period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20,525,332</w:t>
            </w: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0.71</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153,934</w:t>
            </w:r>
          </w:p>
        </w:tc>
        <w:tc>
          <w:tcPr>
            <w:tcW w:w="100" w:type="dxa"/>
            <w:vAlign w:val="bottom"/>
            <w:shd w:val="clear" w:color="auto" w:fill="CFF0FC"/>
          </w:tcPr>
          <w:p>
            <w:pPr>
              <w:spacing w:after="0"/>
              <w:rPr>
                <w:sz w:val="22"/>
                <w:szCs w:val="22"/>
                <w:color w:val="auto"/>
              </w:rPr>
            </w:pP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7,317,853</w:t>
            </w:r>
          </w:p>
        </w:tc>
        <w:tc>
          <w:tcPr>
            <w:tcW w:w="260" w:type="dxa"/>
            <w:vAlign w:val="bottom"/>
          </w:tcPr>
          <w:p>
            <w:pPr>
              <w:spacing w:after="0"/>
              <w:rPr>
                <w:sz w:val="21"/>
                <w:szCs w:val="21"/>
                <w:color w:val="auto"/>
              </w:rPr>
            </w:pP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6.18</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(3,340,369 )</w:t>
            </w:r>
          </w:p>
        </w:tc>
        <w:tc>
          <w:tcPr>
            <w:tcW w:w="1000" w:type="dxa"/>
            <w:vAlign w:val="bottom"/>
            <w:shd w:val="clear" w:color="auto" w:fill="CFF0FC"/>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0.60</w:t>
            </w: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(319,906 )</w:t>
            </w: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1.53</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the end of the period</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24,182,910</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2.37</w:t>
            </w: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Exercisable at the end of the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13,075,066</w:t>
            </w:r>
          </w:p>
        </w:tc>
        <w:tc>
          <w:tcPr>
            <w:tcW w:w="260" w:type="dxa"/>
            <w:vAlign w:val="bottom"/>
          </w:tcPr>
          <w:p>
            <w:pPr>
              <w:spacing w:after="0"/>
              <w:rPr>
                <w:sz w:val="21"/>
                <w:szCs w:val="21"/>
                <w:color w:val="auto"/>
              </w:rPr>
            </w:pP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0.65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39,599</w:t>
            </w:r>
          </w:p>
        </w:tc>
        <w:tc>
          <w:tcPr>
            <w:tcW w:w="100" w:type="dxa"/>
            <w:vAlign w:val="bottom"/>
          </w:tcPr>
          <w:p>
            <w:pPr>
              <w:spacing w:after="0"/>
              <w:rPr>
                <w:sz w:val="21"/>
                <w:szCs w:val="21"/>
                <w:color w:val="auto"/>
              </w:rPr>
            </w:pPr>
          </w:p>
        </w:tc>
      </w:tr>
      <w:tr>
        <w:trPr>
          <w:trHeight w:val="20"/>
        </w:trPr>
        <w:tc>
          <w:tcPr>
            <w:tcW w:w="50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-193675</wp:posOffset>
            </wp:positionV>
            <wp:extent cx="16256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-193675</wp:posOffset>
            </wp:positionV>
            <wp:extent cx="15430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-193675</wp:posOffset>
            </wp:positionV>
            <wp:extent cx="15430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0" w:lineRule="exact"/>
        <w:rPr>
          <w:sz w:val="20"/>
          <w:szCs w:val="20"/>
          <w:color w:val="auto"/>
        </w:rPr>
      </w:pPr>
    </w:p>
    <w:p>
      <w:pPr>
        <w:ind w:right="20" w:firstLine="8"/>
        <w:spacing w:after="0" w:line="293"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Number of options and the weighted average exercise price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weighted average grant date fair value of stock options granted to employees during the periods ended September 30, 2021 and 2020 was $3.91 and $1.72 per share, respectively.</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During the nine months ended September 30, 2021, the Company issued 650,000 warrants to certain consultants in connection with the Closing of the Business Combination.</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sets forth the total stock-based compensation expense included in the respective components of operating expenses in the condensed consolidated statements of operations and comprehensive income (loss)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196"/>
        </w:trPr>
        <w:tc>
          <w:tcPr>
            <w:tcW w:w="52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net</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260" w:type="dxa"/>
            <w:vAlign w:val="bottom"/>
            <w:gridSpan w:val="2"/>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22"/>
                <w:szCs w:val="22"/>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Clinical Operations</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r>
      <w:tr>
        <w:trPr>
          <w:trHeight w:val="26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4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1,081</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7"/>
              </w:rPr>
              <w:t>(35 )</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22"/>
                <w:szCs w:val="22"/>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2,023</w:t>
            </w:r>
          </w:p>
        </w:tc>
        <w:tc>
          <w:tcPr>
            <w:tcW w:w="2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283</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12,909</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r>
      <w:tr>
        <w:trPr>
          <w:trHeight w:val="290"/>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3,875</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336</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20,584</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wp:posOffset>
            </wp:positionV>
            <wp:extent cx="1714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171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1543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1543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1543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1543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of September 30, 2021, there was $35.0 million of total unrecognized compensation cost related to non-vested options that are expected to be recognized over a period of up to 4 years.</w:t>
      </w:r>
    </w:p>
    <w:p>
      <w:pPr>
        <w:spacing w:after="0" w:line="22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As a result of the Business Combination, the Company recognized $13.6 million in stock compensation expense related to the modification of vested stock options. Additionally, the unrecognized compensation cost includes $4.1 million of expense related to the modification of unvested stock options in connection with the Business Combination. This cost will be recognized over the vesting period for the respective stock options.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INCOME (LOSS) PER SHARE</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periods presented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00" w:type="dxa"/>
            <w:vAlign w:val="bottom"/>
            <w:gridSpan w:val="6"/>
          </w:tcPr>
          <w:p>
            <w:pPr>
              <w:jc w:val="right"/>
              <w:ind w:right="1260"/>
              <w:spacing w:after="0"/>
              <w:rPr>
                <w:sz w:val="20"/>
                <w:szCs w:val="20"/>
                <w:color w:val="auto"/>
              </w:rPr>
            </w:pPr>
            <w:r>
              <w:rPr>
                <w:rFonts w:ascii="Arial" w:cs="Arial" w:eastAsia="Arial" w:hAnsi="Arial"/>
                <w:sz w:val="14"/>
                <w:szCs w:val="14"/>
                <w:b w:val="1"/>
                <w:bCs w:val="1"/>
                <w:color w:val="auto"/>
              </w:rPr>
              <w:t>Three months ended September 30,</w:t>
            </w:r>
          </w:p>
        </w:tc>
        <w:tc>
          <w:tcPr>
            <w:tcW w:w="31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1,505</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260"/>
              <w:spacing w:after="0"/>
              <w:rPr>
                <w:sz w:val="20"/>
                <w:szCs w:val="20"/>
                <w:color w:val="auto"/>
              </w:rPr>
            </w:pPr>
            <w:r>
              <w:rPr>
                <w:rFonts w:ascii="Arial" w:cs="Arial" w:eastAsia="Arial" w:hAnsi="Arial"/>
                <w:sz w:val="18"/>
                <w:szCs w:val="18"/>
                <w:color w:val="auto"/>
              </w:rPr>
              <w:t>(2,692 )  $</w:t>
            </w:r>
          </w:p>
        </w:tc>
        <w:tc>
          <w:tcPr>
            <w:tcW w:w="1820" w:type="dxa"/>
            <w:vAlign w:val="bottom"/>
            <w:gridSpan w:val="3"/>
          </w:tcPr>
          <w:p>
            <w:pPr>
              <w:jc w:val="right"/>
              <w:ind w:right="260"/>
              <w:spacing w:after="0"/>
              <w:rPr>
                <w:sz w:val="20"/>
                <w:szCs w:val="20"/>
                <w:color w:val="auto"/>
              </w:rPr>
            </w:pPr>
            <w:r>
              <w:rPr>
                <w:rFonts w:ascii="Arial" w:cs="Arial" w:eastAsia="Arial" w:hAnsi="Arial"/>
                <w:sz w:val="18"/>
                <w:szCs w:val="18"/>
                <w:color w:val="auto"/>
              </w:rPr>
              <w:t>(41,674 )   $</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(11,238 )</w:t>
            </w: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 (1):</w:t>
            </w: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60" w:type="dxa"/>
            <w:vAlign w:val="bottom"/>
          </w:tcPr>
          <w:p>
            <w:pPr>
              <w:ind w:left="20"/>
              <w:spacing w:after="0"/>
              <w:rPr>
                <w:sz w:val="20"/>
                <w:szCs w:val="20"/>
                <w:color w:val="auto"/>
              </w:rPr>
            </w:pPr>
            <w:r>
              <w:rPr>
                <w:rFonts w:ascii="Arial" w:cs="Arial" w:eastAsia="Arial" w:hAnsi="Arial"/>
                <w:sz w:val="18"/>
                <w:szCs w:val="18"/>
                <w:color w:val="auto"/>
                <w:w w:val="93"/>
              </w:rPr>
              <w:t>Weighted-average shares used in basic computations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152,267,870</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13,375,193</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64,638,182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13,348,522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dilutive securities</w:t>
            </w: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12,911,142</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82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0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shares used in diluted</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165,179,012</w:t>
            </w:r>
          </w:p>
        </w:tc>
        <w:tc>
          <w:tcPr>
            <w:tcW w:w="26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13,375,193</w:t>
            </w:r>
          </w:p>
        </w:tc>
        <w:tc>
          <w:tcPr>
            <w:tcW w:w="26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64,638,182</w:t>
            </w:r>
          </w:p>
        </w:tc>
        <w:tc>
          <w:tcPr>
            <w:tcW w:w="28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13,348,522</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3" w:lineRule="exact"/>
              <w:rPr>
                <w:sz w:val="20"/>
                <w:szCs w:val="20"/>
                <w:color w:val="auto"/>
              </w:rPr>
            </w:pPr>
            <w:r>
              <w:rPr>
                <w:rFonts w:ascii="Arial" w:cs="Arial" w:eastAsia="Arial" w:hAnsi="Arial"/>
                <w:sz w:val="18"/>
                <w:szCs w:val="18"/>
                <w:color w:val="auto"/>
              </w:rPr>
              <w:t>computations</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-313690</wp:posOffset>
            </wp:positionV>
            <wp:extent cx="17145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-313690</wp:posOffset>
            </wp:positionV>
            <wp:extent cx="16256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-313690</wp:posOffset>
            </wp:positionV>
            <wp:extent cx="17145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0" w:lineRule="exact"/>
        <w:rPr>
          <w:sz w:val="20"/>
          <w:szCs w:val="20"/>
          <w:color w:val="auto"/>
        </w:rPr>
      </w:pPr>
    </w:p>
    <w:p>
      <w:pPr>
        <w:ind w:right="120" w:firstLine="8"/>
        <w:spacing w:after="0" w:line="293"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Prior period results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the three months ended September 30, 2021, the following were excluded from the calculation of diluted income per share since each would have had an anti-dilutive effect: 7,396,187 stock options, 12,780,000 private placement warrants and 21,350,000 public warrants to purchase the Company’s common stock. For the nine months ended September 30, 2021, the following were excluded from the calculation of diluted loss per share since each would have had an anti-dilutive effect given the Company’s net loss: 24,182,910 stock options, 12,780,000 private placement warrants and 21,350,000 public warrants to purchase the Company’s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TAXES ON INCOME</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a result of the Company’s history of net operating losses (“NOL”), the Company has provided for a full valuation allowance against its deferred tax assets for assets that are not more-likely-than-not to be realized.</w:t>
      </w:r>
    </w:p>
    <w:p>
      <w:pPr>
        <w:spacing w:after="0" w:line="170"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13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On November 15, 2021, the Company announced that Oren and Roni Frank, co-founders of the Company, will depart from their respective roles as Chief Executive Officer and Head of Clinical Services and will step down as members of the Board of Directors, effective immediately. The Chairman of the Board of Directors was appointed as Interim Chief Executive 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Unless the context otherwise requires, all references in this section to the “Company,” “we,” “us” or “our” refer to the business of Talkspace and its subsidiaries.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the financial statements and the related notes contained in this Quarterly Report and the financial statements and related notes for the year ended December 31, 2020 included in the Company’s final prospectus filed with the Securities and Exchange Commission (“SEC”) pursuant to Rule 424(b)(4) under the Securities Act of 1933, as amended, on July 13, 2021 (the “Prospectus”). This discussion contains forward-looking statements that reflect our plans, estimates, and beliefs that involve risks and uncertainties. As a result of many factors, such as those set forth under the “Risk Factors” and “Forward-Looking Statements” sections and elsewhere in this Quarterly Report, our actual results may differ materially from those anticipated in these forward-looking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business-to-consumer (“B2C”) channel, comprised of individual consumers who subscribe directly to our platform, and our business-to-business (“B2B”) channel, comprised of large enterprise clients such as Google and Expedia and large health plans and employee assistance programs (“health plan clients”) such as Aetna, Cigna, Premera, Humana and Optum (collectively, our “clients”), who offer their employees and insured members access to our platform while their employer is under an active contract with Talkspace, or at in-network reimbursement rates, where applicable.</w:t>
      </w:r>
    </w:p>
    <w:p>
      <w:pPr>
        <w:spacing w:after="0" w:line="16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For the three months ended September 30, 2021, we provided therapy to approximately 119,700 members on our platform, as compared to approximately 93,000 for the three months ended September 30, 2020. For the nine months ended September 30, 2021, we provided therapy to approximately 234,200 members on our platform, as compared to approximately 143,000 members for the nine months ended September 30, 2020. As of September 30, 2021, we had over 60,000 active members receiving care through our B2C and B2B channels, including approximately 28,000 B2C active members, and approximately 75 million B2B eligible lives.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While a growth in active members typically highlights strong engagement with our members, not all active members are associated with revenue in that particular period. We consider B2B lives “eligible” if such persons are eligible to receive treatment on the Talkspace platform, in the case of our enterprise 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members than we actually serve. For the three months ended September 30, 2021, our clinicians completed 71,300 B2B sessions related to members covered under our health plan clients, as compared to 36,400 completed B2B sessions for the three months ended September 30, 2020. For the nine months ended September 30, 2021, our clinicians completed 192,100 B2B sessions related to members covered under our health plan clients, as compared to 61,100 completed B2B sessions for the nine months ended September 30, 2020.</w:t>
      </w:r>
    </w:p>
    <w:p>
      <w:pPr>
        <w:spacing w:after="0" w:line="3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both"/>
        <w:spacing w:after="0" w:line="309" w:lineRule="auto"/>
        <w:rPr>
          <w:sz w:val="20"/>
          <w:szCs w:val="20"/>
          <w:color w:val="auto"/>
        </w:rPr>
      </w:pPr>
      <w:r>
        <w:rPr>
          <w:rFonts w:ascii="Arial" w:cs="Arial" w:eastAsia="Arial" w:hAnsi="Arial"/>
          <w:sz w:val="16"/>
          <w:szCs w:val="16"/>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Like the traditional face-to-face models, Talkspace providers are able to treat a wide range of mental health conditions, such as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“Second Merger” and, together with the First Merger, the “Business Combination”). In connection with the Business Combination, HEC filed the Certificate of Incorporation and changed its name to “Talkspace, Inc.”</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Business Combination was accounted for as a reverse recapitalization in accordance with accounting principles generally accepted in the United States (“GAAP”). Under this method of accounting, HEC who was the legal acquirer, is treated as the “acquired” company for financial reporting purposes. Accordingly, the Business Combination was treated as the equivalent of Old Talkspace issuing stock for the net assets of HEC, accompanied by a recapitalization. The net assets of HEC are stated at historical cost, with no goodwill or other intangible assets recorded.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consolidated assets, liabilities and results of operations prior to the Business Combination are those of Old Talkspace. The shares and corresponding capital amounts and losses per share, prior to the Business Combination, have been retroactively restated based on shares reflecting the exchange ratio established in the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 Financial Statements – Note 3 – Business Combination” of this Quarterly Report for further details.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3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While the global crisis resulting from the spread of COVID-19 has not had a negative impact on our business and results of operations so far, the COVID-19 pandemic has caused general business disruption worldwide. The full extent to which the COVID-19 pandemic will directly or indirectly impact our business, results of operations and financial condition will depend on future developments that are highly uncertain and cannot be accurately predicted, and we continue to closely monitor how the COVID-19 pandemic is impacting our business. Thus far, we believe that the COVID-19 pandemic has been a contributing factor to the acceleration of growth of our business. However, we cannot determine the extent to which our results of operations and overall financial performance have been affected by the COVID-19 pandemic. While our financial condition and results of operations were not negatively impacted by the COVID-19 pandemic, the impact of the pandemic on our future growth, results of operations, cash flow and financial condition is unknown, and we are unable to accurately predict such future impact. There can be no assurance that the circumstances that have accelerated the growth of our business stemming from the effects of the COVID-19 pandemic will continue over time whether during or after the COVID-19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for further discussion of the impacts of the COVID-19 pandemic on our business.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Operating Segments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operate our business in a single segment, which is how our chief operating decision maker (who is our chief executive officer) reviews financial performance and allocates resources.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3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22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22117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8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Number of B2C active members at period end (in thousands)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FF0FC"/>
          </w:tcPr>
          <w:p>
            <w:pPr>
              <w:spacing w:after="0"/>
              <w:rPr>
                <w:sz w:val="22"/>
                <w:szCs w:val="22"/>
                <w:color w:val="auto"/>
              </w:rPr>
            </w:pPr>
          </w:p>
        </w:tc>
      </w:tr>
      <w:tr>
        <w:trPr>
          <w:trHeight w:val="25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Number of B2B eligible lives at period end (in millions)</w:t>
            </w:r>
          </w:p>
        </w:tc>
        <w:tc>
          <w:tcPr>
            <w:tcW w:w="540" w:type="dxa"/>
            <w:vAlign w:val="bottom"/>
          </w:tcPr>
          <w:p>
            <w:pPr>
              <w:jc w:val="right"/>
              <w:spacing w:after="0"/>
              <w:rPr>
                <w:sz w:val="20"/>
                <w:szCs w:val="20"/>
                <w:color w:val="auto"/>
              </w:rPr>
            </w:pPr>
            <w:r>
              <w:rPr>
                <w:rFonts w:ascii="Arial" w:cs="Arial" w:eastAsia="Arial" w:hAnsi="Arial"/>
                <w:sz w:val="18"/>
                <w:szCs w:val="18"/>
                <w:color w:val="auto"/>
              </w:rPr>
              <w:t>75.3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21"/>
                <w:szCs w:val="21"/>
                <w:color w:val="auto"/>
              </w:rPr>
            </w:pPr>
          </w:p>
        </w:tc>
      </w:tr>
      <w:tr>
        <w:trPr>
          <w:trHeight w:val="263"/>
        </w:trPr>
        <w:tc>
          <w:tcPr>
            <w:tcW w:w="8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Number of completed B2B sessions (in thousands)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FF0FC"/>
          </w:tcPr>
          <w:p>
            <w:pPr>
              <w:spacing w:after="0"/>
              <w:rPr>
                <w:sz w:val="22"/>
                <w:szCs w:val="22"/>
                <w:color w:val="auto"/>
              </w:rPr>
            </w:pPr>
          </w:p>
        </w:tc>
      </w:tr>
      <w:tr>
        <w:trPr>
          <w:trHeight w:val="25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Number of health plan clients at period end</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r>
      <w:tr>
        <w:trPr>
          <w:trHeight w:val="263"/>
        </w:trPr>
        <w:tc>
          <w:tcPr>
            <w:tcW w:w="8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Number of enterprise clients at period end</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22"/>
                <w:szCs w:val="22"/>
                <w:color w:val="auto"/>
              </w:rPr>
            </w:pPr>
          </w:p>
        </w:tc>
      </w:tr>
      <w:tr>
        <w:trPr>
          <w:trHeight w:val="25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Total number of active members at period end (in thousands)</w:t>
            </w:r>
          </w:p>
        </w:tc>
        <w:tc>
          <w:tcPr>
            <w:tcW w:w="540" w:type="dxa"/>
            <w:vAlign w:val="bottom"/>
          </w:tcPr>
          <w:p>
            <w:pPr>
              <w:jc w:val="right"/>
              <w:spacing w:after="0"/>
              <w:rPr>
                <w:sz w:val="20"/>
                <w:szCs w:val="20"/>
                <w:color w:val="auto"/>
              </w:rPr>
            </w:pPr>
            <w:r>
              <w:rPr>
                <w:rFonts w:ascii="Arial" w:cs="Arial" w:eastAsia="Arial" w:hAnsi="Arial"/>
                <w:sz w:val="18"/>
                <w:szCs w:val="18"/>
                <w:color w:val="auto"/>
              </w:rPr>
              <w:t>60.3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21"/>
                <w:szCs w:val="21"/>
                <w:color w:val="auto"/>
              </w:rPr>
            </w:pPr>
          </w:p>
        </w:tc>
      </w:tr>
      <w:tr>
        <w:trPr>
          <w:trHeight w:val="263"/>
        </w:trPr>
        <w:tc>
          <w:tcPr>
            <w:tcW w:w="8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number of members treated on Talkspace platform during period (in thousands)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FF0FC"/>
          </w:tcPr>
          <w:p>
            <w:pPr>
              <w:spacing w:after="0"/>
              <w:rPr>
                <w:sz w:val="22"/>
                <w:szCs w:val="22"/>
                <w:color w:val="auto"/>
              </w:rPr>
            </w:pPr>
          </w:p>
        </w:tc>
      </w:tr>
    </w:tbl>
    <w:p>
      <w:pPr>
        <w:spacing w:after="0" w:line="26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i w:val="1"/>
          <w:iCs w:val="1"/>
          <w:color w:val="auto"/>
        </w:rPr>
        <w:t xml:space="preserve">Active Members: </w:t>
      </w:r>
      <w:r>
        <w:rPr>
          <w:rFonts w:ascii="Arial" w:cs="Arial" w:eastAsia="Arial" w:hAnsi="Arial"/>
          <w:sz w:val="16"/>
          <w:szCs w:val="16"/>
          <w:color w:val="auto"/>
        </w:rPr>
        <w:t>We consider members “active” (i) in the case of our B2C members, commencing on the date such member initiates contact with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While a growth in active members typically highlights strong engagement with our members, not all active members are associated with revenue in that particular period.</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B2B Eligible Lives: </w:t>
      </w:r>
      <w:r>
        <w:rPr>
          <w:rFonts w:ascii="Arial" w:cs="Arial" w:eastAsia="Arial" w:hAnsi="Arial"/>
          <w:sz w:val="18"/>
          <w:szCs w:val="18"/>
          <w:color w:val="auto"/>
        </w:rPr>
        <w:t>We consider B2B lives “eligible” if such persons are eligible to receive treatment on the Talkspace platform, in the case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members than we actually serve.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this non-GAAP financial measure to net loss, the most directly comparable financial measure stated in accordance with GAAP. Investors are encouraged to review our GAAP financial measure and the reconciliation of our non-GAAP financial measure to its most directly comparable GAAP financial measure, and not to rely on any single financial measure to evaluate our business.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8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We calculate adjusted EBITDA as net income (loss) adjusted to exclude (i) interest and other expenses (income), net, (ii) tax benefit and expense, (iii) depreciation and amortization (iv) stock-based compensation expense and (v) business combination and other financing expenses.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presents a reconciliation of adjusted EBITDA from the most comparable GAAP measure, net income (loss), for the three and nine months ended September 30, 2021 and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(2,692 )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(41,674 )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(11,238 )</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Financial (income) expense, net (1)</w:t>
            </w:r>
          </w:p>
        </w:tc>
        <w:tc>
          <w:tcPr>
            <w:tcW w:w="2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(26,743 )</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(23,700 )</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r>
      <w:tr>
        <w:trPr>
          <w:trHeight w:val="26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on income</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20,584</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r>
      <w:tr>
        <w:trPr>
          <w:trHeight w:val="27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(20,849 )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(2,049 )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(43,303 )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(9,848 )</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1631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631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1460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1460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1460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1460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5" w:lineRule="exact"/>
        <w:rPr>
          <w:sz w:val="20"/>
          <w:szCs w:val="20"/>
          <w:color w:val="auto"/>
        </w:rPr>
      </w:pPr>
    </w:p>
    <w:p>
      <w:pPr>
        <w:jc w:val="both"/>
        <w:ind w:firstLine="8"/>
        <w:spacing w:after="0" w:line="278" w:lineRule="auto"/>
        <w:tabs>
          <w:tab w:leader="none" w:pos="2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the three months ended September 30, 2021, financial income, net primarily consisted of $26.9 million in gains resulting from the revaluation of warrant liabilities. For the nine months ended September 30, 2021, financial income, net primarily consisted of $28.3 million in gains resulting from the revaluation of warrant liabilities, partially offset by $4.2 million in warrant issuance costs in connection with the Closing of the Business Combination.</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Adjusted EBITDA should not be considered as an alternative to income (loss) before income taxes, net income (loss), earnings (loss) per share, or any other performance measures derived in accordance with U.S. GAAP. When evaluating our performance, you should consider adjusted EBITDA alongside other financial performance measures, including our net income (loss) and other GAAP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generate revenues from the sale of monthly, quarterly, bi-annual and annual membership subscriptions to our therapy platform as well as supplementary a la carte offerings, payments from members and their respective insurance companies and annually contracted platform access fees paid to us by our enterprise clients for the delivery of therapy services to their members or employees. We recognize B2C member subscription revenues ratably over the subscription period, beginning when therapy services commence. B2C members may cancel at any time and will receive a pro-rata refund for the subscription price.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recognize contracted revenue from our enterprise clients from the commencement of their contracted term through the annual period based on a per-member-per month model. We recognize revenues from services provided to insured members at a point in time, as virtual therapy session is rendered. Revenue is recognized in an amount that reflects the consideration that is expected in exchange for the service. Our contracts with B2B clients generally provide for 90 days advance notice prior to termination.</w:t>
      </w:r>
    </w:p>
    <w:p>
      <w:pPr>
        <w:spacing w:after="0" w:line="185" w:lineRule="exact"/>
        <w:rPr>
          <w:sz w:val="20"/>
          <w:szCs w:val="20"/>
          <w:color w:val="auto"/>
        </w:rPr>
      </w:pPr>
    </w:p>
    <w:p>
      <w:pPr>
        <w:ind w:left="5540" w:right="1960" w:hanging="5525"/>
        <w:spacing w:after="0" w:line="293" w:lineRule="auto"/>
        <w:rPr>
          <w:sz w:val="20"/>
          <w:szCs w:val="20"/>
          <w:color w:val="auto"/>
        </w:rPr>
      </w:pPr>
      <w:r>
        <w:rPr>
          <w:rFonts w:ascii="Arial" w:cs="Arial" w:eastAsia="Arial" w:hAnsi="Arial"/>
          <w:sz w:val="18"/>
          <w:szCs w:val="18"/>
          <w:color w:val="auto"/>
        </w:rPr>
        <w:t>Revenue growth is generated from increasing our membership subscriptions, contracting with enterprise clients and health plans.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8"/>
          <w:szCs w:val="18"/>
          <w:color w:val="auto"/>
        </w:rPr>
        <w:t>We have demonstrated continued revenue growth since 2019 as a direct result of the increased penetration of the direct-to-consumer market, and the Company’s 2018 entry into the commercial insurance and enterprise sales markets. The Company’s revenues grew 22.6% from $21.5 million for the three months ended September 30, 2020 to $26.4 million for the three months ended September 30, 2021, and 67.3% from $50.5 million for the nine months ended September 30, 2020 to $84.5 million for the nine months ended September 30, 2021.</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Cost of revenues is comprised of therapist payments and hosting costs. Cost of revenues is largely driven by the size of our provider network that is required to service the growth of our customer base, in addition to the growth of our health plan and enterprise clients.</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broad authority to approve the payment of incentive bonuses to providers with certain licenses during periods of higher demand for providers with such licenses. For our employee providers, they receive a fixed-salary without incentive bonuses.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While we expect increased investments to support accelerated growth and the required investment to scale our provider network, we also expect increased efficiencies and economies of scale. Our quarterly cost of revenues as a percentage of revenues is expected to fluctuate from period to period depending on the interplay of these aforementioned factors.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consist of research and development, clinical operations, sales and marketing, and general and administrative expenses.</w:t>
      </w:r>
    </w:p>
    <w:p>
      <w:pPr>
        <w:spacing w:after="0" w:line="3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software-related costs, and cost savings related to the application of research grant proceeds.</w:t>
      </w:r>
    </w:p>
    <w:p>
      <w:pPr>
        <w:spacing w:after="0" w:line="185"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We expect research and development expenses will increase on an absolute dollar basis as we continue to grow our platform and product offerings; however, the anticipated corresponding future revenue growth is expected to result in lower research and development expenses as a percentage of revenue.</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Operations Expenses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Clinical operations expenses are associated with the management of our provider network of therapists. Such costs are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We expect clinical operations expenses will increase on an absolute dollar basis as we continue to grow our provider network and product offerings.</w:t>
      </w:r>
    </w:p>
    <w:p>
      <w:pPr>
        <w:spacing w:after="0" w:line="3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 Expenses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Sales expenses consist primarily of employee-related expenses, including salaries, benefits, commissions, travel and stock-based compensation costs for our employees engaged in sales and account management. We expect our sales expenses to increase as we continue to invest in the expansion of our health plan and enterprise business. We expect to hire additional sales personnel and related account management personnel to properly service our increasing client base, to develop additional growth opportunities within existing clients and to develop new market opportunities.</w:t>
      </w: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spacing w:after="0" w:line="272" w:lineRule="auto"/>
        <w:rPr>
          <w:sz w:val="20"/>
          <w:szCs w:val="20"/>
          <w:color w:val="auto"/>
        </w:rPr>
      </w:pPr>
      <w:r>
        <w:rPr>
          <w:rFonts w:ascii="Arial" w:cs="Arial" w:eastAsia="Arial" w:hAnsi="Arial"/>
          <w:sz w:val="18"/>
          <w:szCs w:val="18"/>
          <w:color w:val="auto"/>
        </w:rPr>
        <w:t>Marketing expenses consist primarily of advertising and marketing expenses for consumer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19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Consumer marketing expenses are primarily driven by investments to grow and retain our consumer base and may fluctuate as a percentage of our total revenue from period to period due to the timing and extent of our advertising and marketing expenses.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General and administrative expenses consist primarily of personnel costs, including salaries, benefits, bonuses and stock-based compensation expense for our executive, finance, accounting, legal and human resources functions, as well as professional fees, occupancy costs, and other general overhead costs. We expect to incur additional general and administrative expenses in compliance, legal, investor relations, director’s and officer’s insurance, and professional services related to our compliance and reporting obligations as a public company. We also anticipate that as we continue to grow as a company our general and administrative expenses will increase on an absolute dollar basis. However, we expect our general and administrative expenses to decrease as a percentage of our total revenue over the next several years.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income (expense), net</w:t>
      </w:r>
    </w:p>
    <w:p>
      <w:pPr>
        <w:spacing w:after="0" w:line="131"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Financial income (expense), net includes the impact from changes in the fair value of our warrant liabilities, issuance costs related to our warrant liabilities, interest earned on cash equivalents deposited in our bank accounts and other financial expenses in connection with bank charges.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taxes on income consists primarily of foreign income taxes related to income generated by our subsidiary organized under the laws of Israel. As we expand the scale of our international business activities, any changes in the U.S. and foreign taxation of such activities may increase our overall provision for income taxes in the future.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2021 compared to three and nine months ended September 30,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nine months ended September 30,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2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Variance</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Variance</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2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9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8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r>
      <w:tr>
        <w:trPr>
          <w:trHeight w:val="196"/>
        </w:trPr>
        <w:tc>
          <w:tcPr>
            <w:tcW w:w="352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 except percentages and per share data)</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 in thousands)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26,359</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21,505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84,499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33,997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w:t>
            </w:r>
          </w:p>
        </w:tc>
        <w:tc>
          <w:tcPr>
            <w:tcW w:w="80" w:type="dxa"/>
            <w:vAlign w:val="bottom"/>
            <w:shd w:val="clear" w:color="auto" w:fill="CFF0FC"/>
          </w:tcPr>
          <w:p>
            <w:pPr>
              <w:spacing w:after="0"/>
              <w:rPr>
                <w:sz w:val="18"/>
                <w:szCs w:val="18"/>
                <w:color w:val="auto"/>
              </w:rPr>
            </w:pPr>
          </w:p>
        </w:tc>
      </w:tr>
      <w:tr>
        <w:trPr>
          <w:trHeight w:val="197"/>
        </w:trPr>
        <w:tc>
          <w:tcPr>
            <w:tcW w:w="2360" w:type="dxa"/>
            <w:vAlign w:val="bottom"/>
          </w:tcPr>
          <w:p>
            <w:pPr>
              <w:ind w:left="20"/>
              <w:spacing w:after="0"/>
              <w:rPr>
                <w:sz w:val="20"/>
                <w:szCs w:val="20"/>
                <w:color w:val="auto"/>
              </w:rPr>
            </w:pPr>
            <w:r>
              <w:rPr>
                <w:rFonts w:ascii="Arial" w:cs="Arial" w:eastAsia="Arial" w:hAnsi="Arial"/>
                <w:sz w:val="14"/>
                <w:szCs w:val="14"/>
                <w:color w:val="auto"/>
              </w:rPr>
              <w:t>Cost of revenues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12,187</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6,414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5,773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33,698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17,394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16,304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93.7</w:t>
            </w:r>
          </w:p>
        </w:tc>
        <w:tc>
          <w:tcPr>
            <w:tcW w:w="80" w:type="dxa"/>
            <w:vAlign w:val="bottom"/>
          </w:tcPr>
          <w:p>
            <w:pPr>
              <w:spacing w:after="0"/>
              <w:rPr>
                <w:sz w:val="17"/>
                <w:szCs w:val="17"/>
                <w:color w:val="auto"/>
              </w:rPr>
            </w:pPr>
          </w:p>
        </w:tc>
      </w:tr>
      <w:tr>
        <w:trPr>
          <w:trHeight w:val="208"/>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profit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14,172</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15,091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(919 )</w:t>
            </w: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(6.1 )</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50,801</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33,108</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17,693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80" w:type="dxa"/>
            <w:vAlign w:val="bottom"/>
            <w:shd w:val="clear" w:color="auto" w:fill="CFF0FC"/>
          </w:tcPr>
          <w:p>
            <w:pPr>
              <w:spacing w:after="0"/>
              <w:rPr>
                <w:sz w:val="18"/>
                <w:szCs w:val="18"/>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 net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4,278</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12,023</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64.1</w:t>
            </w:r>
          </w:p>
        </w:tc>
        <w:tc>
          <w:tcPr>
            <w:tcW w:w="80" w:type="dxa"/>
            <w:vAlign w:val="bottom"/>
            <w:shd w:val="clear" w:color="auto" w:fill="CFF0FC"/>
          </w:tcPr>
          <w:p>
            <w:pPr>
              <w:spacing w:after="0"/>
              <w:rPr>
                <w:sz w:val="18"/>
                <w:szCs w:val="18"/>
                <w:color w:val="auto"/>
              </w:rPr>
            </w:pPr>
          </w:p>
        </w:tc>
      </w:tr>
      <w:tr>
        <w:trPr>
          <w:trHeight w:val="196"/>
        </w:trPr>
        <w:tc>
          <w:tcPr>
            <w:tcW w:w="2360" w:type="dxa"/>
            <w:vAlign w:val="bottom"/>
          </w:tcPr>
          <w:p>
            <w:pPr>
              <w:ind w:left="200"/>
              <w:spacing w:after="0"/>
              <w:rPr>
                <w:sz w:val="20"/>
                <w:szCs w:val="20"/>
                <w:color w:val="auto"/>
              </w:rPr>
            </w:pPr>
            <w:r>
              <w:rPr>
                <w:rFonts w:ascii="Arial" w:cs="Arial" w:eastAsia="Arial" w:hAnsi="Arial"/>
                <w:sz w:val="14"/>
                <w:szCs w:val="14"/>
                <w:color w:val="auto"/>
              </w:rPr>
              <w:t>Clinical operations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1,896</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899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110.9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5,886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2,535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3,351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132.2</w:t>
            </w:r>
          </w:p>
        </w:tc>
        <w:tc>
          <w:tcPr>
            <w:tcW w:w="80" w:type="dxa"/>
            <w:vAlign w:val="bottom"/>
          </w:tcPr>
          <w:p>
            <w:pPr>
              <w:spacing w:after="0"/>
              <w:rPr>
                <w:sz w:val="17"/>
                <w:szCs w:val="17"/>
                <w:color w:val="auto"/>
              </w:rPr>
            </w:pPr>
          </w:p>
        </w:tc>
      </w:tr>
      <w:tr>
        <w:trPr>
          <w:trHeight w:val="209"/>
        </w:trPr>
        <w:tc>
          <w:tcPr>
            <w:tcW w:w="2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Sales and marketing</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26,431</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12,660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13,771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75,125</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30,020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45,105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150.2</w:t>
            </w:r>
          </w:p>
        </w:tc>
        <w:tc>
          <w:tcPr>
            <w:tcW w:w="80" w:type="dxa"/>
            <w:vAlign w:val="bottom"/>
            <w:shd w:val="clear" w:color="auto" w:fill="CFF0FC"/>
          </w:tcPr>
          <w:p>
            <w:pPr>
              <w:spacing w:after="0"/>
              <w:rPr>
                <w:sz w:val="18"/>
                <w:szCs w:val="18"/>
                <w:color w:val="auto"/>
              </w:rPr>
            </w:pPr>
          </w:p>
        </w:tc>
      </w:tr>
      <w:tr>
        <w:trPr>
          <w:trHeight w:val="196"/>
        </w:trPr>
        <w:tc>
          <w:tcPr>
            <w:tcW w:w="23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6,794</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1,737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5,057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23,112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4,198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18,914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450.5</w:t>
            </w:r>
          </w:p>
        </w:tc>
        <w:tc>
          <w:tcPr>
            <w:tcW w:w="80" w:type="dxa"/>
            <w:vAlign w:val="bottom"/>
          </w:tcPr>
          <w:p>
            <w:pPr>
              <w:spacing w:after="0"/>
              <w:rPr>
                <w:sz w:val="17"/>
                <w:szCs w:val="17"/>
                <w:color w:val="auto"/>
              </w:rPr>
            </w:pPr>
          </w:p>
        </w:tc>
      </w:tr>
      <w:tr>
        <w:trPr>
          <w:trHeight w:val="209"/>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39,399</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17,495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21,904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116,146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44,080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72,066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163.5</w:t>
            </w:r>
          </w:p>
        </w:tc>
        <w:tc>
          <w:tcPr>
            <w:tcW w:w="80" w:type="dxa"/>
            <w:vAlign w:val="bottom"/>
            <w:shd w:val="clear" w:color="auto" w:fill="CFF0FC"/>
          </w:tcPr>
          <w:p>
            <w:pPr>
              <w:spacing w:after="0"/>
              <w:rPr>
                <w:sz w:val="18"/>
                <w:szCs w:val="18"/>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(25,227 )</w:t>
            </w:r>
          </w:p>
        </w:tc>
        <w:tc>
          <w:tcPr>
            <w:tcW w:w="5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(2,404 )</w:t>
            </w:r>
          </w:p>
        </w:tc>
        <w:tc>
          <w:tcPr>
            <w:tcW w:w="2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(22,823 )</w:t>
            </w:r>
          </w:p>
        </w:tc>
        <w:tc>
          <w:tcPr>
            <w:tcW w:w="2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(949.4 )</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(65,345 )</w:t>
            </w:r>
          </w:p>
        </w:tc>
        <w:tc>
          <w:tcPr>
            <w:tcW w:w="3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(10,972 )</w:t>
            </w:r>
          </w:p>
        </w:tc>
        <w:tc>
          <w:tcPr>
            <w:tcW w:w="4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(54,373 )</w:t>
            </w:r>
          </w:p>
        </w:tc>
        <w:tc>
          <w:tcPr>
            <w:tcW w:w="2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(495.6 )</w:t>
            </w:r>
          </w:p>
        </w:tc>
      </w:tr>
      <w:tr>
        <w:trPr>
          <w:trHeight w:val="209"/>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Financial income (expense), net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26,743</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(285 )</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23,700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(254 )</w:t>
            </w: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23,954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color w:val="auto"/>
                <w:w w:val="99"/>
              </w:rPr>
              <w:t>Income (loss) before taxes on income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1,516</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(2,689 )</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4,205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156.4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(41,645 )</w:t>
            </w:r>
          </w:p>
        </w:tc>
        <w:tc>
          <w:tcPr>
            <w:tcW w:w="3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(11,226 )</w:t>
            </w:r>
          </w:p>
        </w:tc>
        <w:tc>
          <w:tcPr>
            <w:tcW w:w="4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(30,419 )</w:t>
            </w:r>
          </w:p>
        </w:tc>
        <w:tc>
          <w:tcPr>
            <w:tcW w:w="2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(271.0 )</w:t>
            </w:r>
          </w:p>
        </w:tc>
      </w:tr>
      <w:tr>
        <w:trPr>
          <w:trHeight w:val="209"/>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Taxes on income</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141.7</w:t>
            </w:r>
          </w:p>
        </w:tc>
        <w:tc>
          <w:tcPr>
            <w:tcW w:w="80" w:type="dxa"/>
            <w:vAlign w:val="bottom"/>
            <w:shd w:val="clear" w:color="auto" w:fill="CFF0FC"/>
          </w:tcPr>
          <w:p>
            <w:pPr>
              <w:spacing w:after="0"/>
              <w:rPr>
                <w:sz w:val="18"/>
                <w:szCs w:val="18"/>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1,505</w:t>
            </w:r>
          </w:p>
        </w:tc>
        <w:tc>
          <w:tcPr>
            <w:tcW w:w="24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(2,692 )</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4,197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155.9</w:t>
            </w:r>
          </w:p>
        </w:tc>
        <w:tc>
          <w:tcPr>
            <w:tcW w:w="2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(41,674 )</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(11,238 )</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(30,436 )</w:t>
            </w:r>
          </w:p>
        </w:tc>
        <w:tc>
          <w:tcPr>
            <w:tcW w:w="2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(270.8 )</w:t>
            </w:r>
          </w:p>
        </w:tc>
      </w:tr>
      <w:tr>
        <w:trPr>
          <w:trHeight w:val="209"/>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 per share (1):</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(0.20 )</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0.21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104.9</w:t>
            </w:r>
          </w:p>
        </w:tc>
        <w:tc>
          <w:tcPr>
            <w:tcW w:w="2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(0.64 )</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(0.84 )</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7"/>
                <w:szCs w:val="17"/>
                <w:color w:val="auto"/>
              </w:rPr>
            </w:pPr>
          </w:p>
        </w:tc>
      </w:tr>
      <w:tr>
        <w:trPr>
          <w:trHeight w:val="209"/>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(0.20 )</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(0.64 )</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(0.84 )</w:t>
            </w: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FF0FC"/>
          </w:tcPr>
          <w:p>
            <w:pPr>
              <w:spacing w:after="0"/>
              <w:rPr>
                <w:sz w:val="18"/>
                <w:szCs w:val="18"/>
                <w:color w:val="auto"/>
              </w:rPr>
            </w:pPr>
          </w:p>
        </w:tc>
      </w:tr>
      <w:tr>
        <w:trPr>
          <w:trHeight w:val="196"/>
        </w:trPr>
        <w:tc>
          <w:tcPr>
            <w:tcW w:w="3520" w:type="dxa"/>
            <w:vAlign w:val="bottom"/>
            <w:gridSpan w:val="4"/>
          </w:tcPr>
          <w:p>
            <w:pPr>
              <w:ind w:left="20"/>
              <w:spacing w:after="0"/>
              <w:rPr>
                <w:sz w:val="20"/>
                <w:szCs w:val="20"/>
                <w:color w:val="auto"/>
              </w:rPr>
            </w:pPr>
            <w:r>
              <w:rPr>
                <w:rFonts w:ascii="Arial" w:cs="Arial" w:eastAsia="Arial" w:hAnsi="Arial"/>
                <w:sz w:val="14"/>
                <w:szCs w:val="14"/>
                <w:color w:val="auto"/>
              </w:rPr>
              <w:t>Weighted average number of common shares (1):</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152,268</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13,375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64,638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13,349</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165,179</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8"/>
              </w:rPr>
              <w:t>13,375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64,638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13,349</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 not meaningful</w:t>
      </w:r>
    </w:p>
    <w:p>
      <w:pPr>
        <w:spacing w:after="0" w:line="100" w:lineRule="exact"/>
        <w:rPr>
          <w:sz w:val="20"/>
          <w:szCs w:val="20"/>
          <w:color w:val="auto"/>
        </w:rPr>
      </w:pPr>
    </w:p>
    <w:p>
      <w:pPr>
        <w:ind w:right="220" w:firstLine="8"/>
        <w:spacing w:after="0" w:line="278" w:lineRule="auto"/>
        <w:tabs>
          <w:tab w:leader="none" w:pos="229"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Prior period results have been adjusted to reflect the exchange of Old Talkspace’s common stock for Talkspace’s common stock at an exchange ratio of approximately 1.134140 in June 2021 as a result of the Business Combination. See “Part I, Item 1. Financial Statements – Note 3 – Business Combination” of this Quarterly Report for further details.</w:t>
      </w: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Revenues increased by $4.9 million, or 22.6%, to $26.4 million for the three months ended September 30, 2021 from $21.5 million for the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September 30, 2020. The increase was principally driven by the addition of new enterprise clients, an increase in year-over-year revenue from existing health plan clients and increased B2C member subscriptions, partially offset by higher allowance for credit losses on receivables from our existing health plan clients. Enterprise client contracts increased by 58 clients, or 71.6%, to 139 clients as of September 30, 2021 from 81 clients as of September 30, 2020. This increase in the number of enterprise clients increased revenue by $3.1 million, or 207.7%, to $4.5 million for the three months ended September 30, 2021 from $1.4 million for the three months ended September 30, 2020. Revenue from our health plan clients increased by $0.1 million, or 2.3%, to $3.2 million for the three months ended September 30, 2021 from $3.1 million for the three months ended September 30, 2020. During the three months ended September 30, 2021, the Company recorded an increase in the allowance for credit losses of $3.4 million related to receivables from its health plan clients, with approximately 84% of this amount related to aged balances over 90 days outstanding. B2C member subscriptions revenue increased by $1.7 million, or 10.1%, to $18.6 million for the three months ended September 30, 2021 from $16.9 million for the three months ended September 30, 2020.</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Revenues increased by $34.0 million, or 67.3%, to $84.5 million for the nine months ended September 30, 2021 from $50.5 million for the nine months ended September 30, 2020. The increase was principally driven by increased B2C member subscriptions, an increase in year-over-year revenue from existing health plan clients and the addition of new enterprise clients, partially offset by higher allowance for credit losses on receivables from our existing health plan clients. B2C member subscriptions revenue increased by $16.1 million, or 38.1%, to $58.3 million for the nine months ended September 30, 2021 from $42.2 million for the nine months ended September 30, 2020. Revenue from our health plan clients increased by $9.7 million, or 200.3%, to $14.6 million for the nine months ended September 30, 2021 from $4.9 million for the nine months ended September 30, 2020. During the nine months ended September 30, 2021, the Company recorded an increase in the allowance for credit losses of $3.6 million related to receivables from its health plan clients, with approximately 27% of this amount related to aged balances prior to 2021. The increase in the number of enterprise clients increased revenue by $8.2 million, or 238.2%, to $11.6 million for the nine months ended September 30, 2021 from $3.4 million for the nine months ended September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right="20"/>
        <w:spacing w:after="0" w:line="293" w:lineRule="auto"/>
        <w:rPr>
          <w:sz w:val="20"/>
          <w:szCs w:val="20"/>
          <w:color w:val="auto"/>
        </w:rPr>
      </w:pPr>
      <w:r>
        <w:rPr>
          <w:rFonts w:ascii="Arial" w:cs="Arial" w:eastAsia="Arial" w:hAnsi="Arial"/>
          <w:sz w:val="18"/>
          <w:szCs w:val="18"/>
          <w:color w:val="auto"/>
        </w:rPr>
        <w:t>We believe that the appeal of our technology platform, the quality of our providers and the cost of our services will continue to represent the primary drivers of revenue growth from B2C members and B2B clients.</w:t>
      </w:r>
    </w:p>
    <w:p>
      <w:pPr>
        <w:spacing w:after="0" w:line="166"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 xml:space="preserve">Costs of revenues. </w:t>
      </w:r>
      <w:r>
        <w:rPr>
          <w:rFonts w:ascii="Arial" w:cs="Arial" w:eastAsia="Arial" w:hAnsi="Arial"/>
          <w:sz w:val="17"/>
          <w:szCs w:val="17"/>
          <w:color w:val="auto"/>
        </w:rPr>
        <w:t>Cost of revenues increased by $5.8 million, or 90.0%, to $12.2 million for the three months ended September 30, 2021 from $6.4</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for the three months ended September 30, 2020, primarily due to costs associated with an increase of providers on our platform. This increase of providers was required to service the increased demand for our therapy services in both our B2C and B2B businesses.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Cost of revenues increased by $16.3 million, or 93.7%, to $33.7 million for the nine months ended September 30, 2021 from $17.4 million for the nine months ended September 30, 2020, primarily due to costs associated with an increase of providers on our platform. This increase of providers was required to service the increased demand for our therapy services in both our B2C and B2B businesses.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Total employee provider headcount was 261 as of September 30, 2021.</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Gross profit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Gross profit decreased by $0.9 million, or 6.1%, to $14.2 million for the three months ended September 30, 2021 from $15.1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three months ended September 30, 2020. This decrease was primarily driven by higher cost of revenues due to an increase of providers on our platform to support our increased demand, partially offset by the 22.6% increase in a revenues. Gross margin (calculated as gross profit as a percentage of revenues) was 53.8% for the three months ended September 30, 2021, compared to 70.2% during the three months ended September 30, 2020. The decrease in gross margin was due primarily to a revenue shift to our B2B business, higher allowance for credit losses recorded related to our health plan clients and growth in our employee provider headcount during the three months ended September 30, 2021.</w:t>
      </w:r>
    </w:p>
    <w:p>
      <w:pPr>
        <w:spacing w:after="0" w:line="17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Gross profit increased by $17.7 million, or 53.4%, to $50.8 million for the nine months ended September 30, 2021 from $33.1 million for the nine months ended September 30, 2020. This increase was primarily due to the 67.3% increase in revenues, partially offset by higher cost of revenues due to an increase of providers on our platform to support our increased demand. Gross margin was 60.1% for the nine months ended September 30, 2021, compared to 65.6% during the nine months ended September 30, 2020. The decrease in gross margin was due primarily to a revenue shift to our B2B business, higher allowance for credit losses and growth in our employee provider headcount during the nine months ended September 30, 2021.</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expenses increased by $2.1 million, or 94.5%, to $4.3 million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2021 from $2.2 million for the three months ended September 30, 2020. This was primarily due to an increase of $1.7 million in employee-related costs, inclusive of non-cash stock compensation expense.</w:t>
      </w:r>
    </w:p>
    <w:p>
      <w:pPr>
        <w:spacing w:after="0" w:line="18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Research and development expenses increased by $4.7 million, or 64.1%, to $12.0 million for the nine months ended September 30, 2021 from $7.3 million for the nine months ended September 30, 2020. This was primarily due to an increase of $4.7 million in employee-related costs, inclusive of non-cash stock compensation expense, partially offset by $0.5 million in cost savings related to the application of research grant proceeds.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Total research and development employee headcount increased to 61 employees as of September 30, 2021, as compared to 37 employees as of September 30, 2020.</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Clinical operations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operations expenses increased by $1.0 million, or 110.9%, to $1.9 million for the three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2021 from $0.9 million for the three months ended September 30, 2020. This was primarily due to an increase of $0.5 million in employee-related costs, inclusive of non-cash stock compensation expense, and $0.2 million in provider recruiting costs.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Clinical operations expenses increased by $3.4 million, or 132.2%, to $5.9 million for the nine months ended September 30, 2021 from $2.5 million for the nine months ended September 30, 2020. This was primarily due to an increase of $1.7 million in employee-related costs, inclusive of non-cash stock compensation expense, and $1.4 million in provider recruiting costs.</w:t>
      </w:r>
    </w:p>
    <w:p>
      <w:pPr>
        <w:spacing w:after="0" w:line="183" w:lineRule="exact"/>
        <w:rPr>
          <w:sz w:val="20"/>
          <w:szCs w:val="20"/>
          <w:color w:val="auto"/>
        </w:rPr>
      </w:pPr>
    </w:p>
    <w:p>
      <w:pPr>
        <w:jc w:val="center"/>
        <w:ind w:right="60"/>
        <w:spacing w:after="0" w:line="293" w:lineRule="auto"/>
        <w:rPr>
          <w:sz w:val="20"/>
          <w:szCs w:val="20"/>
          <w:color w:val="auto"/>
        </w:rPr>
      </w:pPr>
      <w:r>
        <w:rPr>
          <w:rFonts w:ascii="Arial" w:cs="Arial" w:eastAsia="Arial" w:hAnsi="Arial"/>
          <w:sz w:val="18"/>
          <w:szCs w:val="18"/>
          <w:color w:val="auto"/>
        </w:rPr>
        <w:t>Total clinical operation employee headcount increased to 27 employees as of September 30, 2021, as compared to 16 employees as of September 30, 2020.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jc w:val="both"/>
        <w:spacing w:after="0" w:line="276" w:lineRule="auto"/>
        <w:rPr>
          <w:sz w:val="20"/>
          <w:szCs w:val="20"/>
          <w:color w:val="auto"/>
        </w:rPr>
      </w:pPr>
      <w:r>
        <w:rPr>
          <w:rFonts w:ascii="Arial" w:cs="Arial" w:eastAsia="Arial" w:hAnsi="Arial"/>
          <w:sz w:val="18"/>
          <w:szCs w:val="18"/>
          <w:b w:val="1"/>
          <w:bCs w:val="1"/>
          <w:color w:val="auto"/>
        </w:rPr>
        <w:t>Sales and marketing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marketing expenses increased by $13.8 million, or 108.8%, to $26.4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from $12.7 million for the three months ended September 30, 2020. This increase in sales and marketing expenses primarily consisted of a $9.9 million increase in direct marketing and promotional costs and a $3.0 million increase in employee-related costs including commissions and non-cash stock compensation expense.</w:t>
      </w:r>
    </w:p>
    <w:p>
      <w:pPr>
        <w:spacing w:after="0" w:line="18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Sales and marketing expenses increased by $45.1 million, or 150.2%, to $75.1 million for the nine months ended September 30, 2021 from $30.0 million for the nine months ended September 30, 2020. This increase in sales and marketing expenses primarily consisted of a $32.4 million increase in direct marketing and promotional costs and a $10.0 million increase in employee-related costs including commissions and non-cash stock compensation expense.</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Total sales and marketing employee headcount increased to 79 employees as of September 30, 2021, as compared to 49 employees as of September 30, 2020.</w:t>
      </w:r>
    </w:p>
    <w:p>
      <w:pPr>
        <w:spacing w:after="0" w:line="16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General and administrative expenses increased by $5.1 million, or 291.1%, to $6.8 million for the three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ended September 30, 2021 from $1.7 million for the three months ended September 30, 2020. This increase was driven primarily by $3.0 million in employee-related costs, inclusive of non-cash stock compensation expense, and an $1.9 million increase in consulting and professional fees.</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General and administrative expenses increased by $18.9 million, or 450.5%, to $23.1 million for the nine months ended September 30, 2021 from $4.2 million for the nine months ended September 30, 2020. This increase was driven primarily by a $12.2 million increase in non-cash stock compensation costs related primarily to the Closing of the Business Combination. Excluding the non-cash stock compensation expense, general and administrative expenses increased by $6.7 million. This increase was driven primarily by a $3.7 million increase in consulting and professional fees and a $2.3 million increase in employee-related cash costs.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expect to incur additional general and administrative costs in compliance, legal, investor relations, insurance, and professional services related to our compliance and reporting obligations as a public company. We also anticipate that as we continue to grow as a company our general and administrative costs will increase on an absolute dollar basis. However, we expect our general and administrative expenses to decrease as a percentage of our total revenue over the next several years.</w:t>
      </w:r>
    </w:p>
    <w:p>
      <w:pPr>
        <w:spacing w:after="0" w:line="18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Total general and administrative employee headcount increased to 30 employees as of September 30, 2021, as compared to 15 employees as of September 30, 2020.</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Financial income (expense), net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income net was $26.7 million for the three months ended September 30, 2021, compared to financial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net of $0.3 million for the three months ended September 30, 2020. The change in financial income (expense), net was primarily driven by gains resulting from the revaluation of warrant liabilities during the three months ended September 30, 2021.</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Financial income, net was $23.7 million for the nine months ended September 30, 2021, compared to financial expense, net of $0.3 million for the nine months ended September 30, 2020. The change in financial income (expense), net was primarily driven by gains resulting from the revaluation of warrant liabilities during the nine months ended September 30, 2021, partially offset by $4.2 million in warrant issuance costs related to the Closing of the Business Combination.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Prior to the completion of the Business Combination, we have historically financed our operations and working capital through periodic issuances of convertible preferred stock. As a result of the Business Combination, we received $249.4 million in proceeds after the payment of transaction costs.</w:t>
      </w:r>
    </w:p>
    <w:p>
      <w:pPr>
        <w:spacing w:after="0" w:line="147"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As of September 30, 2021, we had $222.9 million of cash and cash equivalents, which were held for a variety of growth initiatives and investments as well as working capital purposes. We had no debt as of September 30, 2021 or December 31, 2020 and expect to generate operating losses in future years.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primary cash needs are to fund working capital requirements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spacing w:after="0" w:line="306" w:lineRule="auto"/>
        <w:rPr>
          <w:sz w:val="20"/>
          <w:szCs w:val="20"/>
          <w:color w:val="auto"/>
        </w:rPr>
      </w:pPr>
      <w:r>
        <w:rPr>
          <w:rFonts w:ascii="Arial" w:cs="Arial" w:eastAsia="Arial" w:hAnsi="Arial"/>
          <w:sz w:val="16"/>
          <w:szCs w:val="16"/>
          <w:color w:val="auto"/>
        </w:rPr>
        <w:t>We currently anticipate to be able to fund our cash needs for at least the next twelve months using the proceeds received in connection with the closing of the Business Combination.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&amp; Lines of Credit</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March 15, 2021, we entered into a credit and security agreement (the “Credit Agreement) by and among, the Company and Talkspace Network LLC, as borrowers (each and collectively, jointly and severally, “Borrower”) and JPMorgan Chase Bank, N.A. and the other loan parties party thereto to provide Borrower with a term loan of up to $15.0 million, which was available to be drawn in a period of twelve months. The term loan was required to be repaid within thirty-six months, beginning twelve months from the effective date of the Credit Agreement. In addition, under the Credit Agreement Borrower was provided with a credit line of up to $5.0 million, available for a period of two years from the effective date of the Credit Agreement.</w:t>
      </w:r>
    </w:p>
    <w:p>
      <w:pPr>
        <w:spacing w:after="0" w:line="1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accordance with the Credit Agreement, the Company issued a warrant (the “Warrant”) to JPMorgan Chase Bank, N.A. to purchase 114,454 shares at an exercise price of $0.01 per share in the case that, prior to June 30, 2021, the Company has neither (i) closed the Mergers nor (ii) received net proceeds of at least twenty million dollars ($20.0 million) in connection with the issuance of additional equity interests. The Warrant provided that, if the Company either were to close the Mergers or receive such net proceeds from an equity issuance prior to June 30, 2021, the Warrant would be exercisable for zero shares and would automatically terminate. Otherwise, the Warrant would be exercisable until March 15, 2031 unless earlier terminated by the lender. As a result of the closing of the Business Combination, the Warrant was cancelled during the three months ended June 30, 2021.</w:t>
      </w:r>
    </w:p>
    <w:p>
      <w:pPr>
        <w:spacing w:after="0" w:line="16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May 2021, the Company borrowed $6.0 million under the Credit Agreement to provide for additional liquidity. This amount was repaid in June 2021. In June 2021, the Company terminated the Credit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Investing and Financing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summary consolidated cash flow information for the periods presented: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17145</wp:posOffset>
            </wp:positionV>
            <wp:extent cx="30257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6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 in thousands)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460" w:type="dxa"/>
            <w:vAlign w:val="bottom"/>
            <w:shd w:val="clear" w:color="auto" w:fill="CFF0FC"/>
          </w:tcPr>
          <w:p>
            <w:pPr>
              <w:jc w:val="right"/>
              <w:ind w:right="125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(41,109 )</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(6,663 )</w:t>
            </w:r>
          </w:p>
        </w:tc>
      </w:tr>
      <w:tr>
        <w:trPr>
          <w:trHeight w:val="250"/>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46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(622 )</w:t>
            </w:r>
          </w:p>
        </w:tc>
        <w:tc>
          <w:tcPr>
            <w:tcW w:w="6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r>
      <w:tr>
        <w:trPr>
          <w:trHeight w:val="263"/>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460" w:type="dxa"/>
            <w:vAlign w:val="bottom"/>
            <w:shd w:val="clear" w:color="auto" w:fill="CFF0FC"/>
          </w:tcPr>
          <w:p>
            <w:pPr>
              <w:jc w:val="right"/>
              <w:ind w:right="125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251,348</w:t>
            </w:r>
          </w:p>
        </w:tc>
        <w:tc>
          <w:tcPr>
            <w:tcW w:w="34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22"/>
                <w:szCs w:val="2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Net cash used in operating activities was $41.1 million and $6.7 million for the nine months ended September 30, 2021 and 2020, respectively. The increase in net cash used in operating activities was driven primarily by the negative impact from a higher net loss during the nine months ended September 30, 2021 compared to the nine months ended September 30, 2020. The higher net loss for the nine months ended September 30, 2021 was driven by higher investments in direct marketing and promotional costs to support future growth, partially offset by the additional gross profit generated from increased revenue.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Net cash used in investing activities was $0.6 million for the nine months ended September 30, 2021, compared to $0.4 million in net cash provided by investing activities for the nine months ended September 30, 2020. The change was driven primarily by increased purchases of computer equipment to support increased headcount during the nine months ended September 30, 2021 compared to the nine months ended September 30, 2020, partially offset by proceeds from restricted long-term bank deposits received during the nine months ended September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Net cash provided by financing activities was $251.3 million and $0.1 million for the nine months ended September 30, 2021 and 2020, respectively. The increase was driven primarily by $249.4 million in proceeds, net of the payment of transaction costs, as a result of the closing of 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of September 30, 2021, we did not have any long-term debt, capital lease obligations, operating lease obligations or long-term liabilities. In May 2021, the Company borrowed $6.0 million under the Credit Agreement to provide for additional liquidity. This amount was repaid in June 2021. In June 2021, the Company terminated the Credit Agreement.</w:t>
      </w:r>
    </w:p>
    <w:p>
      <w:pPr>
        <w:spacing w:after="0" w:line="183"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Our commercial contract arrangements generally include certain provisions for indemnifying clients against liabilities if there is a breach of a client’s data or if our service infringes a third party’s intellectual property rights. To date, we have not incurred any material costs as a result of such indemnifications.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Information regarding recent accounting developments and their impact on our results can be found in “Part I, Item 1. Financial Statements – Note 2 – Significant Accounting Policies” of this Quarterly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JOBS Act Transition Period</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is an emerging growth company, as defined in the Jumpstart Our Business Startups Act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 condensed consolidated financial statements may not be comparable to companies that comply with the new or revised accounting pronouncements as of public company effective dates.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spacing w:after="0" w:line="270" w:lineRule="auto"/>
        <w:rPr>
          <w:sz w:val="20"/>
          <w:szCs w:val="20"/>
          <w:color w:val="auto"/>
        </w:rPr>
      </w:pPr>
      <w:r>
        <w:rPr>
          <w:rFonts w:ascii="Arial" w:cs="Arial" w:eastAsia="Arial" w:hAnsi="Arial"/>
          <w:sz w:val="18"/>
          <w:szCs w:val="18"/>
          <w:color w:val="auto"/>
        </w:rPr>
        <w:t>On the last business day of the Company’s second quarter in fiscal 2021, the aggregate market value of the Company’s ordinary shares held by its non-affiliate shareholders exceeded $700 million. As a result, as of December 31, 2021, the Company will be considered a large accelerated filer as defined in Rule 12b-2 of the Securities Exchange Act of 1934 and the Company will cease to be an emerging growth company. Accordingly, the Company will no longer be exempt from the auditor attestation requirements under Section 404(b) of the Sarbanes-Oxley Act of 2002, as amended, and the Company’s independent registered public accounting firm will evaluate and report on the effectiveness of internal control over financial reporting. Further, following the loss of emerging growth company status, the Company will be required to comply with any new or revised accounting pronouncements as of public company effective 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had cash and cash equivalents totaling $222.9 million and $13.2 million as of September 30, 2021 and December 31, 2020, respectively. Cash and cash equivalents are held for a variety of growth and investments as well as working capital purposes.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do not believe that a hypothetical increase or decrease of 100 basis points in interest rates would have a material effect on our business, financial condition or results of operations. However, our cash equivalents are subject to market risk due to changes in interest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To date, a substantial majority of our revenue from customer arrangements has been denominated in U.S. dollars. We have limited operations outside the United States. As of September 30, 2021, we had one foreign subsidiary with a functional currency of the New Israeli Shekel. However, activity in the New Israeli Shekel is not considered significant. Accordingly, we believe we do not have a material exposure to foreign currency risk. In the future, we may choose to focus on international expansion, which may increase our exposure to foreign currency exchange risk.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Disclosure Controls and Procedures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the disclosure controls and procedures must reflect the fact that there are resource constraints and that management is required to apply judgment in evaluating the benefits of possible controls and procedures relative to their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as of September 30, 2021 due to the material weaknesses in our internal control over financial reporting described below.</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a reasonable possibility exists that a material misstatement of our annual or interim financial statements could not be prevented or detected on a timely basis. We identified material weaknesses in our controls related to the following (a) our controls on accounting for complex financial instruments such as warrants, did not operate effectively to appropriately apply the provisions of ASC 815-40, resulting in the failure to prevent a material error in our accounting for warrants and the resulting restatement of our previously issued financial statements; (b) not fully designing, implementing and monitoring general information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8"/>
          <w:szCs w:val="18"/>
          <w:color w:val="auto"/>
        </w:rPr>
        <w:t>technology controls in the areas of user access and program change-management for systems supporting all of the Company’s internal control processes; and (c) the aggregation of open control deficiencies across the Company’s financial reporting processes because the controls were not fully designed and operating effectively.</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(the “SEC Statement”) regarding the accounting and reporting considerations for warrants issued by special purpose acquisition companies entitled “Staff Statement on Accounting and Reporting Considerations for Warrants Issued by Special Purpose Acquisition Companies (“SPACs”). Specifically, the SEC Statement focused on certain settlement terms and provisions related to certain tender offers following a business combination, which terms are similar to those contained in the Warrant Agreement governing our warrants and the HEC Forward Purchase Agreement. Following the issuance of the SEC Statement, on May 4, 2021, HEC concluded that it was appropriate to restate its previously issued audited financial statements as of December 31, 2020 and for the period from February 6, 2020 (inception) through December 31, 2020, as well as its financial data as of June 11, 2020, and as part of such process, HEC identified a material weakness in its internal control over financial reporting. As the accounting acquirer in the Business Combination, we inherited this material weakness and the warrants.</w:t>
      </w:r>
    </w:p>
    <w:p>
      <w:pPr>
        <w:spacing w:after="0" w:line="17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light of these material weaknesses, we performed additional analysis as deemed necessary to ensure that our financial statements were prepared in accordance with U.S. generally accepted accounting principles. Accordingly, management believes that the financial statements included in this Quarterly Report present fairly in all material respects our financial position, results of operations and cash flows for the periods presented.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Activities</w:t>
      </w:r>
    </w:p>
    <w:p>
      <w:pPr>
        <w:spacing w:after="0" w:line="13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currently are implementing several actions, as described below, to remediate the material weaknesses described in this Item 4. Management is committed to ensuring that our internal controls over financial reporting are designed and operating effectively.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Complex accounting requirements (such as warrants)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intend to address this material weakness by enhancing our processes to identify and appropriately apply applicable accounting requirements to better evaluate our research and understanding of the nuances of the complex accounting standards that apply to our financial statements. We intend to provide enhanced access to accounting literature, research materials and documents and increased communication among our personnel and third-party professionals with whom we consult regarding complex accounting applications. We have also retained the services of a valuation expert to assist in valuation analysis of our warrants on a quarterly basis.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 General Controls (“ITGCs”)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continue to make progress in advancing foundational elements of our ITGCs as it relates to financial reporting. We are leveraging these foundational elements in the design of our future state processes and controls within our new enterprise resource planning (“ERP”) system, which is expected to go live during the first half of 2022. Our remediation plan includes, but is not limited to:</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Implementing new, relevant IT systems related to our revenue processes and financial reporting;</w:t>
      </w:r>
    </w:p>
    <w:p>
      <w:pPr>
        <w:spacing w:after="0" w:line="131" w:lineRule="exact"/>
        <w:rPr>
          <w:sz w:val="20"/>
          <w:szCs w:val="20"/>
          <w:color w:val="auto"/>
        </w:rPr>
      </w:pPr>
    </w:p>
    <w:p>
      <w:pPr>
        <w:ind w:left="960" w:right="180"/>
        <w:spacing w:after="0" w:line="324" w:lineRule="auto"/>
        <w:rPr>
          <w:sz w:val="20"/>
          <w:szCs w:val="20"/>
          <w:color w:val="auto"/>
        </w:rPr>
      </w:pPr>
      <w:r>
        <w:rPr>
          <w:rFonts w:ascii="Arial" w:cs="Arial" w:eastAsia="Arial" w:hAnsi="Arial"/>
          <w:sz w:val="17"/>
          <w:szCs w:val="17"/>
          <w:color w:val="auto"/>
        </w:rPr>
        <w:t>Implementing improved IT change management policies and procedures, control activities, and tools impacting financial reporting to ensure changes affecting financial IT applications are identified, authorized, tested, and implemented appropriately;</w:t>
      </w:r>
    </w:p>
    <w:p>
      <w:pPr>
        <w:spacing w:after="0" w:line="39"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Implementing improved processes for requesting, authorizing, and reviewing user access to key systems which impact our financial reporting, including identifying access to roles where manual business process controls may be required;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Implementing appropriate segregation of duties in relevant systems that impact internal control over financial reporting;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Increasing resources dedicated to monitoring ITGCs related to financial reporting to ensure compliance with policies and procedures; and</w:t>
      </w:r>
    </w:p>
    <w:p>
      <w:pPr>
        <w:spacing w:after="0" w:line="154" w:lineRule="exact"/>
        <w:rPr>
          <w:sz w:val="20"/>
          <w:szCs w:val="20"/>
          <w:color w:val="auto"/>
        </w:rPr>
      </w:pPr>
    </w:p>
    <w:p>
      <w:pPr>
        <w:ind w:left="960" w:right="180"/>
        <w:spacing w:after="0" w:line="266" w:lineRule="auto"/>
        <w:rPr>
          <w:sz w:val="20"/>
          <w:szCs w:val="20"/>
          <w:color w:val="auto"/>
        </w:rPr>
      </w:pPr>
      <w:r>
        <w:rPr>
          <w:rFonts w:ascii="Arial" w:cs="Arial" w:eastAsia="Arial" w:hAnsi="Arial"/>
          <w:sz w:val="18"/>
          <w:szCs w:val="18"/>
          <w:color w:val="auto"/>
        </w:rPr>
        <w:t>Implementing additional training to ensure a clear understanding of risk assessment and monitoring activities related to automated processes and IT systems and ITGCs related to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Financial Reporting</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continue to make progress on our automated and manual business process controls, including reports generated from these IT systems, that are dependent upon the completeness and accuracy of information from the affected ITGC material weakness. We are leveraging these improvements in the design of our future state processes and controls within our new ERP system. Our remediation plan includes, but is not limited to:</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Frequent communications between our Audit Committee and management regarding our financial reporting and internal control environment;</w:t>
      </w:r>
    </w:p>
    <w:p>
      <w:pPr>
        <w:spacing w:after="0" w:line="154"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The planned expansion of the finance, accounting, reporting and information technology teams through the addition of experienced and qualified resources;</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The planned improvement of the process and controls in the determination of the appropriate accounting and classification of our financial instruments and key agreements;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Delivery of additional internal controls training, as well as policy and control standardization where possible;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Re-designed internal controls processes as part of our Sarbanes-Oxley program to drive accountability and efficiency;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Instituted monthly review of financial statements to evaluate results, observe adherence to policies and agree on necessary actions; and</w:t>
      </w:r>
    </w:p>
    <w:p>
      <w:pPr>
        <w:spacing w:after="0" w:line="14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Engaged outside resources to assist with the design and implementation of a risk-based internal controls plan, enhance process documentation, provide company-wide training, and help with management's self-assessment and testing of internal controls.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When fully implemented and operational, we believe the controls we have designed or plan to design will remediate the control deficiencies that have led to the material weaknesses we have identified and strengthen our internal controls over financial reporting.</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material weaknesses will not be considered remediated until the applicable controls operate for a sufficient period of time and management has concluded, through testing, that these controls are operating effectively.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Other than as described above, there were no changes in our internal control over financial reporting (as such term is defined in Rules 13a-15(f) and 15d-15(f) of the Exchange Act) during the quarter ended September 30, 2021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349" w:lineRule="auto"/>
        <w:rPr>
          <w:sz w:val="20"/>
          <w:szCs w:val="20"/>
          <w:color w:val="auto"/>
        </w:rPr>
      </w:pPr>
      <w:r>
        <w:rPr>
          <w:rFonts w:ascii="Arial" w:cs="Arial" w:eastAsia="Arial" w:hAnsi="Arial"/>
          <w:sz w:val="16"/>
          <w:szCs w:val="16"/>
          <w:color w:val="auto"/>
        </w:rPr>
        <w:t>From time to time, we are party to various legal proceedings, claims and litigation that arise in the normal course of business. In the opinion of management, the ultimate outcome of these matters will not have a material adverse effect on our financial position, results of operations or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In the course of conducting our business operations, we are exposed to a variety of risks. These risks are generally inherent to the healthcare industry or otherwise generally impact virtual behavioral health companies like us.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9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the business of Talkspace, Inc. and its subsidiaries following the consummation of the Business Combination.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Early Stage of Growth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we expect to continue, and we may never achieve or sustain profitability.</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have incurred significant losses in each period since our inception. We incurred net losses of $22.3 million and $29.1 million for the years ended December 31, 2020 and 2019, respectively, and $41.7 million and $11.2 million for the nine months ended September 30, 2021 and 2020, respectively. As of September 30, 2021, we had an accumulated deficit of $150.5 million. These losses and accumulated deficit reflect the substantial investments we made to acquire new clients and members and to develop our technology platform. To date, we have derived a substantial majority of our revenue from clients and members who pay for access to our virtual behavioral health platform, and our longer-term results of operations and continued growth will depend on our ability to successfully develop and market new virtual behavioral health products and services that our clients and members want and are willing to purchase. We intend to continue scaling our business to increase our client, member and provider bases, broaden the scope of services we offer, invest in research and development and expand the applications of our technology through which clients and members can access our services. Accordingly, we anticipate that cost of revenue and operating expenses will increase substantially in the foreseeable future. These efforts may prove more expensive than we currently anticipate, and we may not succeed in increasing our revenue sufficiently to offset these higher expenses. In addition, our results of operations would also suffer if our innovations are not responsive to the needs of our clients and members, appropriately timed with market opportunity, effectively brought to market or do not achieve market acceptance. We cannot assure you that we will achieve profitability in the future or that, if we do become profitable, we will be able to sustain or increase profitability. Our prior losses, combined with our expected future losses, have had and will continue to have an adverse effect on our stockholders’ equity and working capital. As a result of these factors, we may need to raise additional capital through debt or equity financings in order to fund our operations, and such capital may not be available on reasonable terms, if at all.</w:t>
      </w:r>
    </w:p>
    <w:p>
      <w:pPr>
        <w:spacing w:after="0" w:line="28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business and the markets we operate in are new and rapidly evolving, which makes it difficult to evaluate our future prospects and the risks and challenges we may encounter.</w:t>
      </w:r>
    </w:p>
    <w:p>
      <w:pPr>
        <w:spacing w:after="0" w:line="6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Our business and the markets we operate in are new and rapidly evolving which make it difficult to evaluate and assess the success of our business to date, our future prospects and the risks and challenges that we may encounter. These risks and challenges include our ability to:</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attract new clients and members to our platform and position our platform as a convenient and accepted way to access therapy and psychiatry;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retain our clients and members and encourage them to continue to utilize our platform and services;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attract new and existing clients and members to rapidly adopt new offerings on our platform;</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increase the number of clients and members that use our subscription offerings or the number of subscription programs that we manage;</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retain our clients and members that subscribe to our subscription offerings;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ind w:left="700"/>
        <w:spacing w:after="0"/>
        <w:rPr>
          <w:sz w:val="20"/>
          <w:szCs w:val="20"/>
          <w:color w:val="auto"/>
        </w:rPr>
      </w:pPr>
      <w:r>
        <w:rPr>
          <w:rFonts w:ascii="Arial" w:cs="Arial" w:eastAsia="Arial" w:hAnsi="Arial"/>
          <w:sz w:val="18"/>
          <w:szCs w:val="18"/>
          <w:color w:val="auto"/>
        </w:rPr>
        <w:t>gain market acceptance of our services and products with clients and members and maintain and expand such relationships;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attract and retain providers for inclusion in our platform;</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comply with existing and new laws and regulations applicable to our business and in our industry;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anticipate and respond to macroeconomic changes, and industry pricing benchmarks and changes in the markets in which we operate;</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react to challenges from existing and new competitors;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maintain and enhance the value of our reputation and brand;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effectively manage our growth and business operations;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forecast our revenue and budget for, and manage, our expenses and capital expenditures;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hire, integrate and retain talented people at all levels of our organization;</w:t>
      </w:r>
    </w:p>
    <w:p>
      <w:pPr>
        <w:spacing w:after="0" w:line="13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maintain and improve the infrastructure underlying our platform, including our apps and websites and with respect to data protection, intellectual property and cybersecurity; and</w:t>
      </w:r>
    </w:p>
    <w:p>
      <w:pPr>
        <w:spacing w:after="0" w:line="62" w:lineRule="exact"/>
        <w:rPr>
          <w:sz w:val="20"/>
          <w:szCs w:val="20"/>
          <w:color w:val="auto"/>
        </w:rPr>
      </w:pPr>
    </w:p>
    <w:p>
      <w:pPr>
        <w:ind w:left="700"/>
        <w:spacing w:after="0" w:line="324" w:lineRule="auto"/>
        <w:rPr>
          <w:sz w:val="20"/>
          <w:szCs w:val="20"/>
          <w:color w:val="auto"/>
        </w:rPr>
      </w:pPr>
      <w:r>
        <w:rPr>
          <w:rFonts w:ascii="Arial" w:cs="Arial" w:eastAsia="Arial" w:hAnsi="Arial"/>
          <w:sz w:val="17"/>
          <w:szCs w:val="17"/>
          <w:color w:val="auto"/>
        </w:rPr>
        <w:t>successfully update our platform, including expanding our platform and offerings into different healthcare products and services, develop and update our software, apps, features, offerings and services to benefit our clients and members and enhance their experience.</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we fail to understand fully or adequately address the challenges that we are currently encountering or that we may encounter in the future, including those challenges described here and elsewhere in this “Risk Factors” section, our business, financial condition and results of operations could be adversely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may not grow at the rates we historically have achieved or at all, even if our key metrics may indicate growth, which could have a material adverse effect on the market price of our common stock.</w:t>
      </w:r>
    </w:p>
    <w:p>
      <w:pPr>
        <w:spacing w:after="0" w:line="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have experienced significant growth in the last several years, and therefore our recent revenue growth rate and financial performance should not be considered indicative of our future performance. For the year ended December 31, 2019 and 2020, our revenue was $38.2 million and $76.2 million, respectively, representing a 99.6% growth rate, and for the nine months ended September 30, 2021 and 2020, our revenue was $84.5 million and $50.5 million, respectively, representing an 67.3% growth rate. In addition, as a result of the COVID-19 pandemic, we have experienced a significant increase in revenue. The circumstances that have accelerated the growth of our business stemming from the effects of the COVID-19 pandemic may not continue in the future, and future revenues may not grow at these same rates or may decline. For example, during the quarter ended September 30, 2021, revenues from our B2C business declined compared to the previous quarter.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future growth will depend, in part, on our ability to grow our revenue from existing clients and members, to acquire potential future clients and members, to expand our client, member and provider bases, to develop new products and services and to expand internationally. We can provide no assurances that we will be successful in executing on these growth strategies or that, even if our key metrics would indicate future growth, we will continue to grow our revenue or to generate net income. Our ability to execute on our existing sales pipeline, create additional sales pipelines, and expand our client and member bases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clients and members may be slower to adopt our services than we currently anticipate, which could adversely affect our results of operations and growth prospects.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expect to experience significant growth in the scope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reputation and financial results. Additionally, rapid growth in our business may place a strain on our human and capital resources.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virtual behavioral health market is immature and volatile, and if it does not develop, if it develops more slowly than we expect, if we encounter negative publicity or if our services are not competitive, the growth of our business will be harmed.</w:t>
      </w:r>
    </w:p>
    <w:p>
      <w:pPr>
        <w:spacing w:after="0" w:line="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virtual behavioral health market is relatively new and unproven, and it is uncertain whether it will achieve and sustain high levels of demand, consumer acceptance and market adoption. Our success will depend to a substantial extent on the willingness of our clients and members to use, and to increase the frequency and extent of their utilization of, our services and products, as well as on our ability to demonstrate the value of virtual behavioral healthcare to employers, health plans, government agencies and other purchasers of healthcare for beneficiaries. Our market may depend on our clients and members’ ability to obtain reimbursement from third-party payors, such as health plans and government agencies, as well as our ability to expand our B2B business and contract for direct reimbursement of our services from employers and health plan clients. Third-party payors in the United States may decline or reduce reimbursement for telehealth and teletherapy services, especially those provided through text messaging or other means via technology, and compliance with administrative procedures or requirements of third-party payors may result in delays in processing approvals by those payors for members to obtain coverage for our services. Failure by our members to obtain or maintain coverage or our inability to secure adequate reimbursement for our services could have an adverse effect on our business, results of operations, and financial conditions. We derive a portion of our revenues from third-party payors, and we expect that this amount will continue to increase, so any reductions in reimbursement by third-party payors could have a material and adverse impact on our projected growth. In addition, negative publicity concerning our services or the virtual behavioral health market as a whole could limit market acceptance of our services. If our clients and members do not perceive the benefits of our services and drive member engagement, or if our services are not competitive, then our market may not develop at all, or it may develop more slowly than we expect. Similarly, individual and healthcare industry concerns or negative publicity regarding patient confidentiality and privacy in the context of virtual behavioral healthcare could limit market acceptance of our services. If any of these events occurs, it could have a material adverse effect on our business, financial condition or results of operations.</w:t>
      </w:r>
    </w:p>
    <w:p>
      <w:pPr>
        <w:spacing w:after="0" w:line="27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The outbreak of the novel coronavirus (COVID-19) and its impact on business and economic conditions could adversely affect our business, results of operations and financial condition, and the extent and duration of those effects will be uncertain.</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March 2020, the World Health Organization declared COVID-19 a global pandemic. This contagious outbreak, which has continued to spread, and the related adverse public health developments, including orders to shelter-in-place, travel restrictions and mandated business closures, have adversely affected workforces, organizations, consumers, economies and financial markets globally, leading to an economic downturn and increased market volatility. It has also disrupted the normal operations of many businesses, including ours.</w:t>
      </w:r>
    </w:p>
    <w:p>
      <w:pPr>
        <w:spacing w:after="0" w:line="18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As a result of the COVID-19 pandemic, our personnel are working remotely, and it is possible that this could have a negative impact on the execution of our business plans and operations.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consumer privacy, IT security and fraud concerns as well as increase our exposure to potential wage and hour issues.</w:t>
      </w:r>
    </w:p>
    <w:p>
      <w:pPr>
        <w:spacing w:after="0" w:line="15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cannot predict with any certainty whether and to what degree the impact caused by the COVID-19 pandemic and reactions thereto will continue and expect to face difficulty accurately predicting our internal financial forecasts. The outbreak also presents challenges as our workforce is working remotely in helping new and existing clients, members and other consumers, many of whom are also generally working remotely.</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It is not possible for us to accurately predict the duration or magnitude of the results of the COVID-19 and its effects on our business, results of operations or financial condition at this time, but such effects may be material. The COVID-19 pandemic may also have the effect of heightening many of the other risks identified elsewhere in this section.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in our industry presents us with significant risks and challenges.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virtual behavioral health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client and member populations.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jc w:val="both"/>
        <w:spacing w:after="0" w:line="275" w:lineRule="auto"/>
        <w:rPr>
          <w:sz w:val="20"/>
          <w:szCs w:val="20"/>
          <w:color w:val="auto"/>
        </w:rPr>
      </w:pPr>
      <w:r>
        <w:rPr>
          <w:rFonts w:ascii="Arial" w:cs="Arial" w:eastAsia="Arial" w:hAnsi="Arial"/>
          <w:sz w:val="18"/>
          <w:szCs w:val="18"/>
          <w:color w:val="auto"/>
        </w:rPr>
        <w:t>There is no guarantee that we will possess the resources, either financial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software-based products and services becoming uncompetitive or obsolete.</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While the virtual behavioral health market is in an early stage of development, it is competitive and we expect it to attract increased competition, which could make it difficult for us to succeed. We currently face competition from a range of companies, including specialized software and solution providers that offer similar solutions and that are continuing to develop additional products and becoming more sophisticated and effective. These competitors include American Well Corporation, Teladoc, Included Health, MDLive, BetterHelp, Lyra Health and Headspace. In addition, large, well-financed health systems and health plans have in some cases developed their own telehealth and teletherapy tools and may provide these solutions to their consumer at discounted prices. Competition may also increase from large technology companies, such as Apple, Amazon, Facebook, Google, Verizon, or Microsoft, who may wish to develop their own virtual behavioral health solutions, as well as from large retailers like Amazon or Walmart. The surge in interest in virtual behavioral healthcare, including as a result of the COVID-19 pandemic, and in particular the relaxation of HIPAA privacy and security requirements, has also attracted new competition from providers who utilize consumer-grade video conferencing platforms such as Zoom and Twilio. Competition from large software companies or other specialized solution providers, health systems and health plans, communication tools and other parties could result in continued pricing pressures, which is likely to lead to price declines in certain product segments, which could negatively impact our sales, profitability and market share.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consumer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consumer base, more widely adopted proprietary technologies, greater marketing expertise, greater financial resources and larger sales forces than we have, which could put us at a competitive disadvantage.</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competitors could also be better positioned to serve certain segments of the virtual behavioral health market, which could create additional price pressure. In addition, 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clients and members may accept competitive solutions in lieu of purchasing our solution. If we are unable to successfully compete in the virtual behavioral health market, our business, financial condition and results of operations could be materially adversely affected.</w:t>
      </w:r>
    </w:p>
    <w:p>
      <w:pPr>
        <w:spacing w:after="0" w:line="29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currently generate most of our revenues from members who purchase subscription access to our platform. These subscriptions generally have stated initial terms of one-to-six months. We also generate revenues from our enterprise clients, which contracts generally have stated initial terms of one year, unless earlier terminated subject to notice and other requirements. Most of our clients and members have no obligation to renew their subscriptions for our services after the initial term expires. In addition, our clients may negotiate terms less advantageous to us upon renewal, which may reduce our revenue from these clients. Additionally, as we grow our client and member bases, we will need to maintain and grow our network of providers. Certain of our providers are permitted to provide services on other platforms, and therefore, our success will be dependent on our ability to retain and recruit highly trained and licensed therapists, psychiatrists and other providers to our platform. Additionally, our future results of operations depend, in part, on our ability to expand our services and offerings, including broadening our continuum of care. If our clients and members fail to renew their contracts, renew their contracts upon less favorable terms or at lower fee levels or fail to purchase new products and services from us, our revenue may decline or our future revenue growth may be constrained.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Additional factors that could affect our ability to sell products and services include, but are not limited to:</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price, performance and functionality of our solution;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availability, price, performance and functionality of competing solutions;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develop and sell complementary products and services;</w:t>
      </w:r>
    </w:p>
    <w:p>
      <w:pPr>
        <w:spacing w:after="0" w:line="131" w:lineRule="exact"/>
        <w:rPr>
          <w:sz w:val="20"/>
          <w:szCs w:val="20"/>
          <w:color w:val="auto"/>
        </w:rPr>
      </w:pPr>
    </w:p>
    <w:p>
      <w:pPr>
        <w:ind w:left="700" w:right="4120"/>
        <w:spacing w:after="0" w:line="418" w:lineRule="auto"/>
        <w:rPr>
          <w:sz w:val="20"/>
          <w:szCs w:val="20"/>
          <w:color w:val="auto"/>
        </w:rPr>
      </w:pPr>
      <w:r>
        <w:rPr>
          <w:rFonts w:ascii="Arial" w:cs="Arial" w:eastAsia="Arial" w:hAnsi="Arial"/>
          <w:sz w:val="18"/>
          <w:szCs w:val="18"/>
          <w:color w:val="auto"/>
        </w:rPr>
        <w:t>stability, performance and security of our hosting infrastructure and hosting services; and changes in healthcare laws, regulations or trends.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Any of these consequences could lower retention and have a material adverse effect on our business, financial condition and results of operations.</w:t>
      </w:r>
    </w:p>
    <w:p>
      <w:pPr>
        <w:spacing w:after="0" w:line="35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future growth and profitability of our business will depend in large part upon the effectiveness and efficiency of our marketing efforts, and our ability to develop brand awareness cost-effectively.</w:t>
      </w:r>
    </w:p>
    <w:p>
      <w:pPr>
        <w:spacing w:after="0" w:line="6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Our business success depends on our ability to attract and retain clients and members, which significantly depends on our marketing practices. Our future growth and profitability will depend in large part upon the effectiveness and efficiency of our marketing efforts, including our ability to:</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create greater awareness of our brand;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identify the most effective and efficient levels of spending in each market, media and specific media vehicle;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determine the appropriate creative messages and media mix for advertising, marketing and promotional expenditures;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effectively manage marketing costs (including creative and media) to maintain acceptable consumer acquisition costs;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select the most effective markets, media and specific media vehicles in which to advertise;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convert consumer inquiries into clients and members.</w:t>
      </w:r>
    </w:p>
    <w:p>
      <w:pPr>
        <w:spacing w:after="0" w:line="23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believe that developing and maintaining widespread awareness of our brand in a cost-effective manner is critical to achieving widespread adoption of our solution and attracting new clients and members. Our brand promotion activities may not generate consumer awareness or increase revenue, and even if they do, any increase in revenue may not offset the expenses we incur in building our brand. If we fail to successfully promote and maintain our brand, or incur substantial expenses in doing so, we may fail to attract or retain clients and members necessary to realize a sufficient return on our brand-building efforts or to achieve the widespread brand awareness that is critical for broad adoption of our brands.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achieving broad market education and changing consumer purchasing habits.</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success and future growth largely depend on our ability to increase consumer awareness of our platform and offerings, and on the willingness of current and potential clients and members to utilize our platform to access information and behavioral health services. We believe the vast majority of consumers make purchasing decisions for behavioral health services on the basis of traditional factors, such as insurance coverage. This traditional decision-making process does not always account for restrictive and complex insurance plans, high deductibles, expensive co-pays and other factors, such as discounts or savings available at alternative therapists or practices. To effectively market our platform, we must educate consumers about the various purchase options and the benefits of using Talkspace for behavioral healthcare, including when such services may not be covered by their health insurance benefits. We focus our marketing and education efforts on potential clients, members and other consumers, but also aim to educate and inform healthcare providers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lack of experience with our company and platform, and concerns that we are relatively new to the industry;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perceived health, safety or quality risks associated with the use of a new platform and applications for therapy and psychiatry;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traditional or existing relationships with therapists, psychiatrists or other providers;</w:t>
      </w:r>
    </w:p>
    <w:p>
      <w:pPr>
        <w:spacing w:after="0" w:line="131" w:lineRule="exact"/>
        <w:rPr>
          <w:sz w:val="20"/>
          <w:szCs w:val="20"/>
          <w:color w:val="auto"/>
        </w:rPr>
      </w:pPr>
    </w:p>
    <w:p>
      <w:pPr>
        <w:ind w:left="5540" w:right="2120" w:hanging="4827"/>
        <w:spacing w:after="0" w:line="293" w:lineRule="auto"/>
        <w:rPr>
          <w:sz w:val="20"/>
          <w:szCs w:val="20"/>
          <w:color w:val="auto"/>
        </w:rPr>
      </w:pPr>
      <w:r>
        <w:rPr>
          <w:rFonts w:ascii="Arial" w:cs="Arial" w:eastAsia="Arial" w:hAnsi="Arial"/>
          <w:sz w:val="18"/>
          <w:szCs w:val="18"/>
          <w:color w:val="auto"/>
        </w:rPr>
        <w:t>concerns about the privacy and security of the data that consumers and providers share with or through our platform;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left="700" w:right="1580"/>
        <w:spacing w:after="0" w:line="418" w:lineRule="auto"/>
        <w:rPr>
          <w:sz w:val="20"/>
          <w:szCs w:val="20"/>
          <w:color w:val="auto"/>
        </w:rPr>
      </w:pPr>
      <w:r>
        <w:rPr>
          <w:rFonts w:ascii="Arial" w:cs="Arial" w:eastAsia="Arial" w:hAnsi="Arial"/>
          <w:sz w:val="18"/>
          <w:szCs w:val="18"/>
          <w:color w:val="auto"/>
        </w:rPr>
        <w:t>competition and negative selling efforts from competitors, including competing platforms and price matching programs; and perception regarding the time and complexity of using our platform.</w:t>
      </w:r>
    </w:p>
    <w:p>
      <w:pPr>
        <w:spacing w:after="0" w:line="6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 that we provide services to.</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order to grow our business, we anticipate that we will continue to depend on our existing and future relationships with third parties, such as third-party payors, including health plans and government agencies, as well as our ability to expand our B2B business with employers and health plan clients that we provide services to. Identifying potential clients,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clients by our competitors could result in a decrease in the number of our current and potential clients and members, as our clients may no longer facilitate the adoption of our applications by potential members. If we are unsuccessful in establishing or maintaining our relationships with third parties that we provide services to, our ability to compete in the marketplace or to grow our revenue could be impaired and our results of operations may suffer. Even if we are successful, we cannot assure you that these relationships will result in increased client use of our services or increased revenue.</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virtual behavioral healthcare strategies depend on our ability to maintain and expand our network of therapists, psychiatrists and other providers.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do so, our future growth would be limited and our business, financial condition and results of operations would be harmed.</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is dependent upon our continued ability to maintain a network of highly trained and qualified therapists, psychiatrists and other providers. If we are unable to recruit and retain licensed therapists, psychiatrists and other providers, it would have a material adverse effect on our business and ability to grow and would adversely affect our results of operations. In any particular market, providers could demand higher payments or take other actions that could result in higher medical costs, less attractive service for our clients or members or difficulty meeting regulatory or accreditation requirements. The ability to develop and maintain satisfactory relationships with providers also may be negatively impacted by other factors not associated with us, such as changes in Medicare and/or Medicaid reimbursement levels, state therapist or psychiatrist licensing laws and standard of care requirements, and other pressures on healthcare providers and consolidation activity among hospitals, physician groups and healthcare providers. Our failure to maintain or to secure new cost-effective provider contracts may result in a loss of or inability to grow our client and member bases, higher costs, less attractive services for our clients and members and/or difficulty in meeting regulatory or accreditation requirements, any of which could have a material adverse effect on our business, financial condition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affecting spending by the healthcare industry could adversely affect our business.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U.S. healthcare industry has changed significantly in recent years, and we expect that significant changes will continue to occur. General reductions in expenditures by healthcare industry participants could result from, among other things:</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government regulations or private initiatives that affect the manner in which healthcare providers interact with patients, payors or other healthcare industry participants, including changes in pricing or means of delivery of healthcare products and services;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consolidation of healthcare industry participants;</w:t>
      </w:r>
    </w:p>
    <w:p>
      <w:pPr>
        <w:spacing w:after="0" w:line="13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federal amendments to, lack of enforcement or development of applicable regulations for, or repeal of The Patient Protection and Affordable Care Act, as amended by the Health Care and Education Reconciliation Act (the “Affordable Care Act” or the “ACA”);</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reductions in government funding for healthcare;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adverse changes in business or economic conditions affecting healthcare payors or providers or other healthcare industry participants.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jc w:val="both"/>
        <w:spacing w:after="0" w:line="272" w:lineRule="auto"/>
        <w:rPr>
          <w:sz w:val="20"/>
          <w:szCs w:val="20"/>
          <w:color w:val="auto"/>
        </w:rPr>
      </w:pPr>
      <w:r>
        <w:rPr>
          <w:rFonts w:ascii="Arial" w:cs="Arial" w:eastAsia="Arial" w:hAnsi="Arial"/>
          <w:sz w:val="18"/>
          <w:szCs w:val="18"/>
          <w:color w:val="auto"/>
        </w:rPr>
        <w:t>Any of these changes in healthcare spending could adversely affect our revenue. Even if general expenditures by industry participants remain the same or increase, developments in the healthcare industry may result in reduced spending in some or all of the specific market segments that we serve now or in the future.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total addressable market (“TAM”) is based on internal estimates and third-party estimates regarding the size of each of the U.S. and international behavioral health markets and is subject to significant uncertainty and is based on assumptions that may not prove to be accurate. These estimates, as well as the estimates and forecasts we have previously disclosed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media coverage could adversely affect our business.</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receive a substantial amount of media coverage in the United States. Unfavorable publicity regarding, among others, the healthcare industry, litigation or regulatory activity, the actions of the entities included or otherwise involved in our platform, virtual behavioral health services included on our platform or by other industry participants, our data privacy or data security practices, our platform or our revenue could materially adversely affect our reputation. For example, prior to the COVID-19 pandemic and the resulting shift towards the acceptance of telehealth solutions, therapists advocacy groups have lobbied the American Psychological Association to reexamine its stance on telemental health, including challenging our contracts with healthcare providers and the efficacy of telemental health, including the use of text messaging. Therapy services are subject to state law requirements, and some states may prohibit the use of text messaging or other forms of technological modalities in delivering telemental health services. With advice of regulatory counsel, we aim to structure our contracts with healthcare providers and deliver telemental health services in compliance with applicable state laws. However, in response to the COVID-19 pandemic and the limitations it created in delivering behavioral health services through in-person interactions, state and federal regulatory authorities loosened or removed a number of regulatory requirements in order to increase the availability of telehealth and teletherapy services, and both providers and patients have increasingly accepted telemental health as an alternative means of delivering and receiving behavioral health services. In addition, from time to time, news media outlets have provided negative coverage regarding our platform and privacy practices and any such negative media coverage, regardless of the accuracy of such reporting, may have an adverse impact on our business and reputation, as well as have an adverse effect on our ability to attract and retain clients, members, other consumers, or employees, and result in decreased revenue, which would materially adversely affect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social media may adversely impact our reputation, subject us to fines or other penalties or be an ineffective source to market our offerings.</w:t>
      </w:r>
    </w:p>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use social media as part of our omnichannel approach to marketing and outreach to clients, members and other consumers. Changes to these social networking services’ terms of use or terms of service that limit promotional communications, restrictions that would limit our ability or our clients’ ability to send communications through their services, disruptions or downtime experienced by these social networking services or reductions in the use of or engagement with social networking services by current and potential clients and members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clients, members or others. Any such inappropriate use of social media could also cause reputational damage and adversely affect our business.</w:t>
      </w:r>
    </w:p>
    <w:p>
      <w:pPr>
        <w:spacing w:after="0" w:line="17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Our clients and members may engage with us online through our social media pages, including, for example, our presence on Facebook, Instagram and Twitter, by providing feedback and public commentary about all aspects of our business.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spacing w:after="0" w:line="279" w:lineRule="auto"/>
        <w:rPr>
          <w:sz w:val="20"/>
          <w:szCs w:val="20"/>
          <w:color w:val="auto"/>
        </w:rPr>
      </w:pPr>
      <w:r>
        <w:rPr>
          <w:rFonts w:ascii="Arial" w:cs="Arial" w:eastAsia="Arial" w:hAnsi="Arial"/>
          <w:sz w:val="18"/>
          <w:szCs w:val="18"/>
          <w:color w:val="auto"/>
        </w:rPr>
        <w:t>concerning us or our platform and offerings,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2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With respect to our plans for expansion of international operations, we may face political, legal and compliance, operational, regulatory, economic and other risks that we do not face or that are more significant than in our domestic operations.</w:t>
      </w:r>
    </w:p>
    <w:p>
      <w:pPr>
        <w:spacing w:after="0" w:line="6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With respect to our plans for expansion of international operations, we may face political, legal and compliance, operational, regulatory, economic and other risks that we do not face or that are more significant than in our domestic operations. These risks may vary widely by country and include varying regional and geopolitical business conditions and demands, government intervention and censorship, discriminatory regulation, nationalization or expropriation of assets and pricing constraints. Our future international services and products may need to meet country-specific client and member preferences as well as country-specific legal requirements, including those related to healthcare regulatory laws governing telemedicine and teletherapy services, licensing, privacy, data storage, location, protection and security. The interpretation of these laws is evolving and varies significantly from country to county and are enforced by governmental, judicial and regulatory authorities with broad discretion. We cannot be certain that our interpretation of such laws and regulations will be correct in how we plan to structure our international operations, and our arrangements with locally-licensed therapists, psychiatrists or other providers, as well as our international services agreements and client arrangements.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plans to expand our international operations will require us to overcome logistical and other challenges based on differing languages, cultures, legal and regulatory schemes and time zones. Our international operations may encounter labor laws, customs and employee relationships that can be difficult, less flexible than in our domestic operations and expensive to modify or terminate. In some countries we are required to, or choose to, operate with local business partners, which will require us to manage our partner relationships and may reduce our operational flexibility and ability to quickly respond to business challenges.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planned international operations may be subject to particular risks in addition to those faced by our domestic operations, including:</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need to localize and adapt our solution for specific countries, including translation into foreign languages and associated expenses;</w:t>
      </w:r>
    </w:p>
    <w:p>
      <w:pPr>
        <w:spacing w:after="0" w:line="142"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potential loss of proprietary information due to misappropriation or laws that may be less protective of our intellectual property rights than U.S. laws or that may not be adequately enforced;</w:t>
      </w:r>
    </w:p>
    <w:p>
      <w:pPr>
        <w:spacing w:after="0" w:line="62" w:lineRule="exact"/>
        <w:rPr>
          <w:sz w:val="20"/>
          <w:szCs w:val="20"/>
          <w:color w:val="auto"/>
        </w:rPr>
      </w:pPr>
    </w:p>
    <w:p>
      <w:pPr>
        <w:jc w:val="both"/>
        <w:ind w:left="700"/>
        <w:spacing w:after="0" w:line="279" w:lineRule="auto"/>
        <w:rPr>
          <w:sz w:val="20"/>
          <w:szCs w:val="20"/>
          <w:color w:val="auto"/>
        </w:rPr>
      </w:pPr>
      <w:r>
        <w:rPr>
          <w:rFonts w:ascii="Arial" w:cs="Arial" w:eastAsia="Arial" w:hAnsi="Arial"/>
          <w:sz w:val="18"/>
          <w:szCs w:val="18"/>
          <w:color w:val="auto"/>
        </w:rPr>
        <w:t>requirements of foreign laws and other governmental controls, including cross-border compliance challenges related to the complexity of multiple, conflicting and changing governmental laws and regulations, including employment, healthcare, tax, privacy and data protection laws and regulations;</w:t>
      </w:r>
    </w:p>
    <w:p>
      <w:pPr>
        <w:spacing w:after="0" w:line="75"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requirements of foreign laws and other governmental controls applicable to our ability to conduct telehealth and teletherapy services internationally, specifically laws governing remote care and the practice of medicine in such locations;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data privacy laws that require that client data be stored and processed in a designated territory;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new and different sources of competition and laws and business practices favoring local competitors;</w:t>
      </w:r>
    </w:p>
    <w:p>
      <w:pPr>
        <w:spacing w:after="0" w:line="131" w:lineRule="exact"/>
        <w:rPr>
          <w:sz w:val="20"/>
          <w:szCs w:val="20"/>
          <w:color w:val="auto"/>
        </w:rPr>
      </w:pPr>
    </w:p>
    <w:p>
      <w:pPr>
        <w:jc w:val="both"/>
        <w:ind w:left="700" w:right="20"/>
        <w:spacing w:after="0" w:line="324" w:lineRule="auto"/>
        <w:rPr>
          <w:sz w:val="20"/>
          <w:szCs w:val="20"/>
          <w:color w:val="auto"/>
        </w:rPr>
      </w:pPr>
      <w:r>
        <w:rPr>
          <w:rFonts w:ascii="Arial" w:cs="Arial" w:eastAsia="Arial" w:hAnsi="Arial"/>
          <w:sz w:val="17"/>
          <w:szCs w:val="17"/>
          <w:color w:val="auto"/>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to export controls and economic sanctions laws and regulations;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central bank and other restrictions on our ability to repatriate cash from international subsidiaries;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adverse tax consequences;</w:t>
      </w:r>
    </w:p>
    <w:p>
      <w:pPr>
        <w:spacing w:after="0" w:line="131" w:lineRule="exact"/>
        <w:rPr>
          <w:sz w:val="20"/>
          <w:szCs w:val="20"/>
          <w:color w:val="auto"/>
        </w:rPr>
      </w:pPr>
    </w:p>
    <w:p>
      <w:pPr>
        <w:jc w:val="both"/>
        <w:ind w:left="700" w:right="20"/>
        <w:spacing w:after="0" w:line="293" w:lineRule="auto"/>
        <w:rPr>
          <w:sz w:val="20"/>
          <w:szCs w:val="20"/>
          <w:color w:val="auto"/>
        </w:rPr>
      </w:pPr>
      <w:r>
        <w:rPr>
          <w:rFonts w:ascii="Arial" w:cs="Arial" w:eastAsia="Arial" w:hAnsi="Arial"/>
          <w:sz w:val="18"/>
          <w:szCs w:val="18"/>
          <w:color w:val="auto"/>
        </w:rPr>
        <w:t>fluctuations in currency exchange rates, economic instability and inflationary conditions, which could make our solution more expensive or increase our costs of doing business in certain countries;</w:t>
      </w:r>
    </w:p>
    <w:p>
      <w:pPr>
        <w:spacing w:after="0" w:line="62" w:lineRule="exact"/>
        <w:rPr>
          <w:sz w:val="20"/>
          <w:szCs w:val="20"/>
          <w:color w:val="auto"/>
        </w:rPr>
      </w:pPr>
    </w:p>
    <w:p>
      <w:pPr>
        <w:jc w:val="both"/>
        <w:ind w:left="700"/>
        <w:spacing w:after="0" w:line="266" w:lineRule="auto"/>
        <w:rPr>
          <w:sz w:val="20"/>
          <w:szCs w:val="20"/>
          <w:color w:val="auto"/>
        </w:rPr>
      </w:pPr>
      <w:r>
        <w:rPr>
          <w:rFonts w:ascii="Arial" w:cs="Arial" w:eastAsia="Arial" w:hAnsi="Arial"/>
          <w:sz w:val="18"/>
          <w:szCs w:val="18"/>
          <w:color w:val="auto"/>
        </w:rPr>
        <w:t>limitations on future growth or inability to maintain current levels of revenues from international sales if we do not invest sufficiently in our international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left="700"/>
        <w:spacing w:after="0"/>
        <w:rPr>
          <w:sz w:val="20"/>
          <w:szCs w:val="20"/>
          <w:color w:val="auto"/>
        </w:rPr>
      </w:pPr>
      <w:r>
        <w:rPr>
          <w:rFonts w:ascii="Arial" w:cs="Arial" w:eastAsia="Arial" w:hAnsi="Arial"/>
          <w:sz w:val="18"/>
          <w:szCs w:val="18"/>
          <w:color w:val="auto"/>
        </w:rPr>
        <w:t>different pricing environments, longer sales cycles and longer accounts receivable payment cycles and collections issues;</w:t>
      </w:r>
    </w:p>
    <w:p>
      <w:pPr>
        <w:spacing w:after="0" w:line="13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difficulties in staffing, managing and operating our international operations, including difficulties related to administering our stock plans in some foreign countries and increased financial accounting and reporting requirements and complexities;</w:t>
      </w:r>
    </w:p>
    <w:p>
      <w:pPr>
        <w:spacing w:after="0" w:line="62" w:lineRule="exact"/>
        <w:rPr>
          <w:sz w:val="20"/>
          <w:szCs w:val="20"/>
          <w:color w:val="auto"/>
        </w:rPr>
      </w:pPr>
    </w:p>
    <w:p>
      <w:pPr>
        <w:ind w:left="700" w:right="2580"/>
        <w:spacing w:after="0" w:line="500" w:lineRule="auto"/>
        <w:rPr>
          <w:sz w:val="20"/>
          <w:szCs w:val="20"/>
          <w:color w:val="auto"/>
        </w:rPr>
      </w:pPr>
      <w:r>
        <w:rPr>
          <w:rFonts w:ascii="Arial" w:cs="Arial" w:eastAsia="Arial" w:hAnsi="Arial"/>
          <w:sz w:val="16"/>
          <w:szCs w:val="16"/>
          <w:color w:val="auto"/>
        </w:rPr>
        <w:t>difficulties in coordinating the activities of our geographically dispersed and culturally diverse operations; and political unrest, war, terrorism or regional natural disasters, particularly in areas in which we have facilities.</w:t>
      </w:r>
    </w:p>
    <w:p>
      <w:pPr>
        <w:spacing w:after="0" w:line="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overall success regarding our planned expansion in international markets will depend, in part, on our ability to anticipate and effectively manage these risks and there can be no assurance that we will be able to do so without incurring unexpected costs. If we are not able to manage the risks related to expansion of our international operations, we may not achieve the expected benefits of this expansion and our business, financial condition and results of operations may be harmed.</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overall business entails the risk of medical liability claims. Although Talkspace Provider Network, PA ("TPN") and our affiliated professionals carry insurance covering medical malpractice claims in amounts that we believe are appropriate in light of the risks attendant to the services rendered, successful medical liability claims could result in substantial damage awards that exceed the limits of TPN’s and those affiliated professionals’ insurance coverage. TPN carries or will carry professional liability insurance for itself and each of its healthcare professionals (our providers). Additionally, all of our network providers that contract or will contract with TPN separately carry or will carry professional liability insurance for itself and its healthcare professionals. Professional liability insurance is expensive and insurance premiums may increase significantly in the future, particularly as we expand our services through TPN and our affiliated professionals. As a result, adequate professional liability insurance may not be available to TPN and our affiliated professionals in the future at acceptable costs or at all, which may negatively impact TPN and our affiliated professionals to provide services to our members, and thereby adversely affect our overall business and operations.</w:t>
      </w:r>
    </w:p>
    <w:p>
      <w:pPr>
        <w:spacing w:after="0" w:line="17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Any claims made against TPN or our affiliated professionals that are not fully covered by insurance could be costly to defend against, result in substantial damage awards, and divert the attention of our management and our affiliated professional entities from our operations, which could have a material adverse effect on our business, financial condition and results of operations. In addition, any claims may adversely affect our business or reputation.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A decline in the prevalence of employer-sponsored healthcare or the emergence of new technologies may adversely impact our business-to-business segment or require us to expend significant resources in order to remain competitive.</w:t>
      </w:r>
    </w:p>
    <w:p>
      <w:pPr>
        <w:spacing w:after="0" w:line="6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U.S. healthcare industry is massive, with a number of large market participants with conflicting agendas, and it is subject to significant government regulation and is currently undergoing significant change. Changes in our industry, for example, such as the emergence of new technologies as more competitors enter our market, could adversely impact our business-to business segment where companies provide Talkspace to their employees as a benefit.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Some experts have predicted that future healthcare reform will encourage employer-sponsored health insurance to become significantly less prevalent as employees migrate to obtaining their own insurance over the state-sponsored insurance marketplaces. Were this to occur, there is no guarantee that we would be able to compensate for the loss in revenue from employers by increasing sales of our solution to health insurance companies or to individuals or government agencies. In such a case, our results of operations would be adversely impacted.</w:t>
      </w:r>
    </w:p>
    <w:p>
      <w:pPr>
        <w:spacing w:after="0" w:line="18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If healthcare benefits trends shift or entirely new technologies are developed that replace existing solutions, our existing or future solutions could be adversely impacted and our business could be adversely affected. In addition, we may experience difficulties with industry standards, design or marketing that could delay or prevent our development, introduction or implementation of new applications and enhancements.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platforms such as the Apple App Store and Google Play App Store, to distribute our platform and offerings.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apps are accessed and operate through third-party platforms or marketplaces, including the Apple App Store and Google Play App Store, which also serve as significant online distribution platforms for our apps. As a result, the expansion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7"/>
          <w:szCs w:val="17"/>
          <w:color w:val="auto"/>
        </w:rPr>
        <w:t>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Thus,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apps on their platforms. In addition,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virtual behavioral health services.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17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256" w:lineRule="exact"/>
        <w:rPr>
          <w:sz w:val="20"/>
          <w:szCs w:val="20"/>
          <w:color w:val="auto"/>
        </w:rPr>
      </w:pPr>
    </w:p>
    <w:p>
      <w:pPr>
        <w:jc w:val="both"/>
        <w:spacing w:after="0" w:line="359" w:lineRule="auto"/>
        <w:rPr>
          <w:sz w:val="20"/>
          <w:szCs w:val="20"/>
          <w:color w:val="auto"/>
        </w:rPr>
      </w:pPr>
      <w:r>
        <w:rPr>
          <w:rFonts w:ascii="Arial" w:cs="Arial" w:eastAsia="Arial" w:hAnsi="Arial"/>
          <w:sz w:val="15"/>
          <w:szCs w:val="15"/>
          <w:b w:val="1"/>
          <w:bCs w:val="1"/>
          <w:i w:val="1"/>
          <w:iCs w:val="1"/>
          <w:color w:val="auto"/>
        </w:rPr>
        <w:t>We rely on data center providers, Internet infrastructure, bandwidth providers, third-party computer hardware and software, other third parties and our own systems for providing services to our clients and members, and any failure or interruption in the services provided by these third parties or our own systems could expose us to litigation and negatively impact our relationships with clients and members, adversely affecting our brand and our business.</w:t>
      </w:r>
    </w:p>
    <w:p>
      <w:pPr>
        <w:spacing w:after="0" w:line="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serve all of our clients and members from third party interconnection and data centers, such as Amazon Web Services. While we control and have access to our servers, we do not control the operation of these facilities. The cloud vendors and the owners of our data center facilities have no obligation to renew their agreements with us on commercially reasonable terms, or at all. If we are unable to renew these agreements on commercially reasonable terms, or if one of our cloud vendors or data center operators is acquired, we may be required to transfer our servers and other infrastructure to a new vendor or a new data center facility, and we may incur significant costs and possible service interruption in connection with doing so. Problems faced by our cloud vendors or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members. Our third-party data center operators could decide to close their facilities without adequate notice. In addition, any financial difficulties, such as bankruptcy faced by our cloud vendors or third-party data centers operators or any of the service providers with whom we or they contract may have negative effects on our business, the nature and extent of which are difficult to predict.</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Additionally, if our cloud or data center vendors are unable to keep up with our growing needs for capacity, this could have an adverse effect on our business. For example, a rapid expansion of our business could affect the service levels at our cloud vendors or data centers or cause such data centers and systems to fail. Any changes in third-party service levels at our data centers or any disruptions or other performance problems with our solution could adversely affect our reputation and may damage our clients and members’ stored files or result in lengthy interruptions in our services. Interruptions in our services may reduce our revenue, cause us to issue refunds to clients and members for prepaid and unused subscriptions, as well as loss of revenue related to service level credits and uptime, subject us to potential liability or adversely affect client retention.</w:t>
      </w:r>
    </w:p>
    <w:p>
      <w:pPr>
        <w:spacing w:after="0" w:line="17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including during the period immediately following the beginning of the COVID-19 pandemic, and expect that we may experience in the future, interruptions and delays in services and availability from time to time. In the event of a catastrophic event with respect to one or more of our systems, we may experience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jc w:val="both"/>
        <w:spacing w:after="0" w:line="293" w:lineRule="auto"/>
        <w:rPr>
          <w:sz w:val="20"/>
          <w:szCs w:val="20"/>
          <w:color w:val="auto"/>
        </w:rPr>
      </w:pPr>
      <w:r>
        <w:rPr>
          <w:rFonts w:ascii="Arial" w:cs="Arial" w:eastAsia="Arial" w:hAnsi="Arial"/>
          <w:sz w:val="18"/>
          <w:szCs w:val="18"/>
          <w:color w:val="auto"/>
        </w:rPr>
        <w:t>an extended period of system unavailability, which could negatively impact our relationship with clients and members. To operate without interruption, both we and our service providers must guard against:</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damage from fire, power loss, natural disasters and other force majeure events outside our control;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communications failures;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software and hardware errors, failures and crashes;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potential interruptions.</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 the right to use any of this hardware or software could result in delays in the provisioning of our services until equivalent technology is either developed by us, or, if available from third parties, is identified, obtained and integrated.</w:t>
      </w:r>
    </w:p>
    <w:p>
      <w:pPr>
        <w:spacing w:after="0" w:line="17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exercise limited control over third-party vendors, which increases our vulnerability to problems with technology and information services they provide. Interruptions in our network access and services may in connection with third-party technology and information services reduce our revenue, cause us to issue refunds to clients and members, subject us to potential liability or adversely affect client retention. Although we maintain a security and privacy damages insurance policy, the coverage under our policies may not be adequate to compensate us for all losses that may occur related to the services provided by our third-party vendors. In addition, we may not be able to continue to obtain adequate insurance coverage at an acceptable cost, if at all.</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ability to rely on these services of third-party vendors could be impaired as a result of the failure of such providers to comply with applicable laws, regulations and contractual covenants, or as a result of events affecting such providers, such as power loss, telecommunication failures, software or hardware errors, computer viruses, cyber incidents and similar disruptive problems, fire, flood and natural disasters. Any such failure or event could adversely affect our relationships with our clients and members and damage our reputation. This could materially and adversely impact our business, financial condition and operating results.</w:t>
      </w:r>
    </w:p>
    <w:p>
      <w:pPr>
        <w:spacing w:after="0" w:line="299" w:lineRule="exact"/>
        <w:rPr>
          <w:sz w:val="20"/>
          <w:szCs w:val="20"/>
          <w:color w:val="auto"/>
        </w:rPr>
      </w:pPr>
    </w:p>
    <w:p>
      <w:pPr>
        <w:jc w:val="both"/>
        <w:ind w:right="20"/>
        <w:spacing w:after="0" w:line="394" w:lineRule="auto"/>
        <w:rPr>
          <w:sz w:val="20"/>
          <w:szCs w:val="20"/>
          <w:color w:val="auto"/>
        </w:rPr>
      </w:pPr>
      <w:r>
        <w:rPr>
          <w:rFonts w:ascii="Arial" w:cs="Arial" w:eastAsia="Arial" w:hAnsi="Arial"/>
          <w:sz w:val="15"/>
          <w:szCs w:val="15"/>
          <w:b w:val="1"/>
          <w:bCs w:val="1"/>
          <w:i w:val="1"/>
          <w:iCs w:val="1"/>
          <w:color w:val="auto"/>
        </w:rPr>
        <w:t>If our or our vendors’ security measures fail or are breached and unauthorized access to a client’s data or information systems is obtained, our services may be perceived as insecure, we may incur significant liabilities, our reputation may be harmed, and we could lose sales, clients and members.</w:t>
      </w:r>
    </w:p>
    <w:p>
      <w:pPr>
        <w:spacing w:after="0" w:line="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services involve the storage and transmission of clients’ and our clients and members’ proprietary information, sensitive or confidential data, including valuable intellectual property and personal information of employees, clients, members and others, as well as the protected health information (“PHI”), of our clients and members. We are subject to laws and regulations relating to the collection, use, retention, security and transfer of this information.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cyber-attacks by computer hackers such as denial-of-service and phishing attacks,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persons accessing sensitive client or member data (including PHI), a loss of or damage to our data, an inability to access data sources, or process data or provide our services to our clients and members. Such failures or breaches of our or our third-party vendors’ security measures, or our or our third-party vendors’ inability to effectively resolve such failures or breaches in a timely manner, could severely damage our reputation, adversely affect client, patient, member or investor confidence in us, and reduce the demand for our services from existing and potential clients and members. In addition, we could face litigation, damages for contract breach, monetary penalties, or regulatory actions for violation of applicable laws or regulations and incur significant costs for remedial measures to prevent future occurrences and mitigate past violations. Although we maintain insurance covering certain security and privacy damages and claim expenses, we may not carry insurance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jc w:val="both"/>
        <w:spacing w:after="0" w:line="293" w:lineRule="auto"/>
        <w:rPr>
          <w:sz w:val="20"/>
          <w:szCs w:val="20"/>
          <w:color w:val="auto"/>
        </w:rPr>
      </w:pPr>
      <w:r>
        <w:rPr>
          <w:rFonts w:ascii="Arial" w:cs="Arial" w:eastAsia="Arial" w:hAnsi="Arial"/>
          <w:sz w:val="18"/>
          <w:szCs w:val="18"/>
          <w:color w:val="auto"/>
        </w:rPr>
        <w:t>or maintain coverage sufficient to compensate for all liability and in any event, insurance coverage would not address the reputational damage that could result from a security incident.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Data privacy is also subject to frequently changing laws, rules and regulations in the various jurisdictions in which we operate. Such initiatives around the country could increase the cost of developing, implementing or securing our servers and require us to allocate more resources to improved technologies, adding to our IT and compliance costs. Our Board of Directors is briefed periodically on cybersecurity and risk management issues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Should an attacker gain access to our network, including by way of example, using compromised credentials of an authorized user, we are at risk that the attacker might successfully leverage that access to compromise additional systems and data. Certain measures that we currently have in place in order to increase the security of our systems, such as data encryption (including data at rest encryption), heightened monitoring and logging, scanning for source code errors or deployment of multi-factor authentication, take significant time and resources to deploy broadly, and such measures may not be deployed in a timely manner or be effective against an attack. 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Our information systems must be continually updated, patched and upgraded to protect against known vulnerabilities. The volume of new vulnerabilities has increased markedly, as has the criticality of patches and other remedial measures. In addition to remediating newly identified vulnerabilities, previously identified vulnerabilities must also be continuously addressed. Accordingly, we are at risk that cyber-attackers exploit these known vulnerabilities before they have been addressed. Any failure related to these activities and any breach of our information systems could result in significant liability and/or have a material adverse effect on our business, reputation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experience losses or liability not covered by insurance.</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Our business exposes us to risks that are inherent in the provision of virtual behavioral healthcare and access to remote, virtual healthcare and therapy. If clients, members or other individuals assert liability claims against us, any ensuing litigation, regardless of outcome, could result in a substantial cost to us, divert management’s attention from operations, and decrease market acceptance of our solution. We attempt to limit our liability to clients and members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 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adverse tax, legal and other consequences if the employment status of providers on our platform is challenged.</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There is often uncertainty in the application of worker classification laws, especially in the medical field where individuals are required to hold professional licenses, and, consequently, there is risk that providers could be deemed to be misclassified under applicable law. We and TPN structure our relationships with the majority of our respective providers in a manner that we believe results in an independent contractor relationship, not an employee relationship. The tests governing whether a service provider is an independent contractor, or an employee are typically highly fact sensitive and vary by governing law.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our and TPN’s providers are properly characterized as independent contractors, tax or other regulatory authorities may in the future challenge our characterization of these relationships.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Medicare, workers’ compensation and unemployment; claims of discrimination, harassment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jc w:val="both"/>
        <w:spacing w:after="0" w:line="269" w:lineRule="auto"/>
        <w:rPr>
          <w:sz w:val="20"/>
          <w:szCs w:val="20"/>
          <w:color w:val="auto"/>
        </w:rPr>
      </w:pPr>
      <w:r>
        <w:rPr>
          <w:rFonts w:ascii="Arial" w:cs="Arial" w:eastAsia="Arial" w:hAnsi="Arial"/>
          <w:sz w:val="18"/>
          <w:szCs w:val="18"/>
          <w:color w:val="auto"/>
        </w:rPr>
        <w:t>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or other liability, and any adverse determination, including potentially the requirement for us to indemnify a user, could also harm our brand, which could materially and adversely affect our business, prospects, financial condition and results of operations. While these risks are mitigated, in part, by our contractual rights of indemnification against third-party claims, such indemnification agreements could be determined to be unenforceable or costly to enforce and indemnification under such agreements may otherwise prove inadequate. As a result, any determination that our and/or TPN’s providers are employees could have a material adverse effect on our business, financial condition and results of operations.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may become subject, from time to time, to legal proceedings, payer audits, investigations, and claims that arise in the ordinary course of business such as claims brought by our clients in connection with commercial disputes or employment claims made by our current or former associates. Litigation and audits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30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7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14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are also subject to evolving EU and UK privacy laws on cookies and e-marketing. In the European Union and the United Kingdom, regulators are increasingly focusing on compliance with requirements in the online behavioral advertising ecosystem, and current national laws that implement the ePrivacy Directive are highly likely to be replaced by an EU regulation known as the ePrivacy Regulation which will significantly increase fines for non-compliance. In the European Union and the United Kingdom, informed consent is required for the placement of a cookie or similar technologies on a user’s device and for direct electronic marketing. The General Data Protection Regulation (“GDPR”) also imposes conditions on obtaining valid consent, such as a prohibition on pre-checked consents and a requirement to ensure separate consents are sought for each type of cookie or similar technology.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jc w:val="both"/>
        <w:spacing w:after="0" w:line="275" w:lineRule="auto"/>
        <w:rPr>
          <w:sz w:val="20"/>
          <w:szCs w:val="20"/>
          <w:color w:val="auto"/>
        </w:rPr>
      </w:pPr>
      <w:r>
        <w:rPr>
          <w:rFonts w:ascii="Arial" w:cs="Arial" w:eastAsia="Arial" w:hAnsi="Arial"/>
          <w:sz w:val="18"/>
          <w:szCs w:val="18"/>
          <w:color w:val="auto"/>
        </w:rPr>
        <w:t>enable cookies to be set, and Apple has announced that its new mobile operating system will require consumers to opt in to the use of Apple’s resettable device identifier for advertising purposes.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18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laws could adversely affect our operating results and financial condition.</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United States enacted tax reform legislation in 2017 (the “Tax Cuts and Jobs Act of 2017”) that, among other things, reduces the U.S. federal corporate income tax rate to 21%, imposes significant limitations on the deductibility of interest and executive compensation, allows for the expensing of capital expenditures, limits the deduction for net operating losses (“NOLs”) to 80% of current year taxable income in respect of losses arising in taxable years beginning after 2017, and modifies or repeals many business deductions and credits. The reduction in the U.S. federal corporate income tax rate is expected to be beneficial to us in future years in which we have net income subject to U.S. tax. The reduction in the U.S. federal corporate income tax rate also resulted in a remeasurement of our deferred tax assets and liabilities. There was no net impact on our deferred tax assets as we maintain a full valuation allowance. On March 27, 2020, the Coronavirus Aid, Relief, and Economic Security Act (the “CARES Act”) was enacted in response to the COVID-19 pandemic. The CARES Act contains certain tax provisions, including provisions that retroactively and/or temporarily suspend or relax in certain respects the application of certain provisions, such as the limitations on the deduction of NOLs and interest, in the Tax Cuts and Jobs Act of 2017.</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are a number of uncertainties and ambiguities as to the interpretation and application of many of the provisions in the Tax Cuts and Jobs Act of 2017 and the CARES Act. In the absence of guidance on these issues, we will use what we believe are reasonable interpretations and assumptions in interpreting and applying the Tax Cuts and Jobs Act of 2017 and the CARES Act, which may change as we receive additional clarification and implementation guidance. It is also possible that the Internal Revenue Service could issue subsequent guidance or take positions on audit that differ from the interpretations and assumptions that we previously made, which could have a material adverse effect on our cash tax liabilities, results of operations and financial condition.</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or similar taxes for virtual behavioral health services which could adversely affect our results of operations.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State taxing authorities may assert that we had economic nexus with their state and were required to collect sales and use or similar taxes with respect to past or future services that we have provided or will provide, which could result in tax assessments and penalties and interest. The assertion of such taxes against us for past services, or any requirement that we collect sales taxes on its provision of future services, could have a material adverse effect on our business, cash tax liabilities, results of operations,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attributes may be subject to certain limitations.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December 31, 2020, we had $97 million of U.S. federal and $105 million of state net operating loss. Certain of our U.S. federal and state net operating loss carryforwards may be carried forward indefinitely, while other of these loss carryforwards are subject to expiration (beginning in 2032). It is possible that we will not generate taxable income in time to use these net operating loss carryforwards before their expiration (or that we will not generate taxable income at all). Under the Tax Cuts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spacing w:after="0" w:line="286" w:lineRule="auto"/>
        <w:rPr>
          <w:sz w:val="20"/>
          <w:szCs w:val="20"/>
          <w:color w:val="auto"/>
        </w:rPr>
      </w:pPr>
      <w:r>
        <w:rPr>
          <w:rFonts w:ascii="Arial" w:cs="Arial" w:eastAsia="Arial" w:hAnsi="Arial"/>
          <w:sz w:val="17"/>
          <w:szCs w:val="17"/>
          <w:color w:val="auto"/>
        </w:rPr>
        <w:t>and Jobs Act of 2017, U.S. federal net operating losses incurred in 2018 and in future years may be carried forward indefinitely, but the deductibility of such net operating losses is limited. It is uncertain if and to what extent various states will conform to these in federal tax laws. In addition, the federal and state net operating loss carryforwards and certain tax credits may be subject to significant limitations under Section 382 and Section 383 of the Internal Revenue Code, respectively, and similar provisions of state law, including limitations that may result from the consummation of the Transactions.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undertaken an analysis of whether the Transactions resulted in an “ownership change” for purposes of Section 382 and Section 383 of the Internal Revenue Code or whether there are any existing limitations on use with respect to our net operating losses and other tax attributes.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quarterly results of operations, including our revenue, net loss and cash flows, has varied and may vary significantly in the future, and period-to-period comparisons of our results of operations may not be meaningful. Accordingly, our quarterly results should not be relied upon as an indication of future performance. Our quarterly financial results may fluctuate as a result of a variety of factors, many of which are outside of our control, including, without limitation, the following:</w:t>
      </w:r>
    </w:p>
    <w:p>
      <w:pPr>
        <w:spacing w:after="0" w:line="77" w:lineRule="exact"/>
        <w:rPr>
          <w:sz w:val="20"/>
          <w:szCs w:val="20"/>
          <w:color w:val="auto"/>
        </w:rPr>
      </w:pPr>
    </w:p>
    <w:p>
      <w:pPr>
        <w:ind w:left="700" w:right="4400"/>
        <w:spacing w:after="0" w:line="440" w:lineRule="auto"/>
        <w:rPr>
          <w:sz w:val="20"/>
          <w:szCs w:val="20"/>
          <w:color w:val="auto"/>
        </w:rPr>
      </w:pPr>
      <w:r>
        <w:rPr>
          <w:rFonts w:ascii="Arial" w:cs="Arial" w:eastAsia="Arial" w:hAnsi="Arial"/>
          <w:sz w:val="16"/>
          <w:szCs w:val="16"/>
          <w:color w:val="auto"/>
        </w:rPr>
        <w:t>our ability to maintain and grow the number of clients and members on our platform; the demand for and types of services that are offered on our platform by providers;</w:t>
      </w:r>
    </w:p>
    <w:p>
      <w:pPr>
        <w:ind w:left="700"/>
        <w:spacing w:after="0" w:line="293" w:lineRule="auto"/>
        <w:rPr>
          <w:sz w:val="20"/>
          <w:szCs w:val="20"/>
          <w:color w:val="auto"/>
        </w:rPr>
      </w:pPr>
      <w:r>
        <w:rPr>
          <w:rFonts w:ascii="Arial" w:cs="Arial" w:eastAsia="Arial" w:hAnsi="Arial"/>
          <w:sz w:val="18"/>
          <w:szCs w:val="18"/>
          <w:color w:val="auto"/>
        </w:rPr>
        <w:t>the timing of recognition of revenue, including possible delays in the recognition of revenue due to sometimes unpredictable implementation timelines;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amount and timing of operating expenses related to the maintenance and expansion of our business, operations and infrastructure;</w:t>
      </w:r>
    </w:p>
    <w:p>
      <w:pPr>
        <w:spacing w:after="0" w:line="14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our ability to effectively manage the size and composition of our network of healthcare providers relative to the level of demand for services from our members and our clients’ members and patients;</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62" w:lineRule="exact"/>
        <w:rPr>
          <w:sz w:val="20"/>
          <w:szCs w:val="20"/>
          <w:color w:val="auto"/>
        </w:rPr>
      </w:pPr>
    </w:p>
    <w:p>
      <w:pPr>
        <w:ind w:left="700" w:right="4360"/>
        <w:spacing w:after="0" w:line="391" w:lineRule="auto"/>
        <w:rPr>
          <w:sz w:val="20"/>
          <w:szCs w:val="20"/>
          <w:color w:val="auto"/>
        </w:rPr>
      </w:pPr>
      <w:r>
        <w:rPr>
          <w:rFonts w:ascii="Arial" w:cs="Arial" w:eastAsia="Arial" w:hAnsi="Arial"/>
          <w:sz w:val="18"/>
          <w:szCs w:val="18"/>
          <w:color w:val="auto"/>
        </w:rPr>
        <w:t>client and member retention and the timing and terms of client and member renewals; changes to our pricing model;</w:t>
      </w:r>
    </w:p>
    <w:p>
      <w:pPr>
        <w:spacing w:after="0" w:line="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mix of products and services sold during a period;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impact of outages of our platform and associated reputational harm;</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security or data privacy breaches and associated remediation costs;</w:t>
      </w:r>
    </w:p>
    <w:p>
      <w:pPr>
        <w:spacing w:after="0" w:line="131"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6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changes in the fair values of our financial instruments (including, but not limited to, certain warrants assumed in connection with the Business Combination);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COVID-19 pandemic.</w:t>
      </w:r>
    </w:p>
    <w:p>
      <w:pPr>
        <w:spacing w:after="0" w:line="23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Most of our revenue in any given quarter is derived from contracts entered into with our clients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 Our subscription model also makes it difficult for us to rapidly increase our total revenue through additional sales in any period, as revenue from new clients must be recognized over the applicable term of the contract. Accordingly, the effect of changes in the industry impacting our business or changes we experience in our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jc w:val="both"/>
        <w:spacing w:after="0" w:line="293" w:lineRule="auto"/>
        <w:rPr>
          <w:sz w:val="20"/>
          <w:szCs w:val="20"/>
          <w:color w:val="auto"/>
        </w:rPr>
      </w:pPr>
      <w:r>
        <w:rPr>
          <w:rFonts w:ascii="Arial" w:cs="Arial" w:eastAsia="Arial" w:hAnsi="Arial"/>
          <w:sz w:val="18"/>
          <w:szCs w:val="18"/>
          <w:color w:val="auto"/>
        </w:rPr>
        <w:t>new sales may not be reflected in our short-term results of operations. Any fluctuation in our quarterly results may not accurately reflect the underlying performance of our business and could cause a decline in the trading price of our securities.</w:t>
      </w:r>
    </w:p>
    <w:p>
      <w:pPr>
        <w:spacing w:after="0" w:line="27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depend on our senior management team, and the loss of one or more of our executive officers or key employees or an inability to attract and retain highly skilled, very large and diverse employees could adversely affect our business.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depends largely upon the continued services of our key members of senior management. These members of senior management are at-will employees and therefore they may terminate employment with us at any time with no advance notice. We also rely on our leadership team in the areas of research and development, marketing, services and general and administrative functions. From time to time, there may be changes in our management team resulting from the hiring or departure of executives, which could disrupt our business. For instance, we recently announced the departure of Oren Frank, our Chief Executive Officer and Roni Frank, our Head of Clinical Services and the appointment of Douglas Braunstein as our interim Chief Executive Officer. We have begun the process of searching for a permanent replacement to serve as Chief Executive Officer. The replacement of one or more of our executive officers or other key employees will likely involve significant time and costs and may significantly delay or prevent the achievement of our business objectives. Our business would also be adversely affected if we fail to adequately plan for succession of our executives and senior management; or if we fail to effectively recruit, integrate, retain and develop key talent and/or align our talent with our business needs, in light of the current rapidly changing environment. While we have employment arrangements with a limited number of key executives, these do not guarantee that the services of these or suitable successor executives will continue to be available to us.</w:t>
      </w:r>
    </w:p>
    <w:p>
      <w:pPr>
        <w:spacing w:after="0" w:line="17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Our success is dependent on our ability to align our talent with our business needs, engage our employees and inspire our employees to be open to change, to innovate and to maintain member- and client-focus when delivering our services. To continue to execute our growth strategy, we also must attract and retain highly skilled personnel. Competition is intense for qualified professionals. 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 In addition, many of the companies with which we compete for experienced personnel have greater resources than we have. In addition, as we expand internationally, we face the challenge of recruiting, integrating, educating, managing, retaining and developing a more culturally diverse workforce.</w:t>
      </w:r>
    </w:p>
    <w:p>
      <w:pPr>
        <w:spacing w:after="0" w:line="16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In addition, in making employment decisions, particularly in high-technology industries, job candidates often consider the value of the stock options or other equity instruments they are to receive in connection with their employment. Volatility in the price of our stock may, therefore, adversely affect our ability to attract or retain highly skilled personnel. Further, the requirement to expense stock options and other equity instruments may discourage us from granting the size or type of stock option or equity awards that job candidates require to join our company. Failure to attract new personnel or failure to retain and motivate our current personnel, could have a material adverse effect on our business, financial condition and results of operations.</w:t>
      </w:r>
    </w:p>
    <w:p>
      <w:pPr>
        <w:spacing w:after="0" w:line="26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5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intend to seek to acquire or invest in businesses, software-based products and services or technologies that we believe could complement or expand our solution, enhance our technical capabilities or otherwise offer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 Additionally, the pursuit of potential acquisitions may divert the attention of management and cause us to incur various expenses in identifying, investigating and pursuing suitable acquisitions, whether or not they are consummated.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spacing w:after="0" w:line="75" w:lineRule="exact"/>
        <w:rPr>
          <w:sz w:val="20"/>
          <w:szCs w:val="20"/>
          <w:color w:val="auto"/>
        </w:rPr>
      </w:pPr>
    </w:p>
    <w:p>
      <w:pPr>
        <w:ind w:left="700" w:right="3600"/>
        <w:spacing w:after="0" w:line="329" w:lineRule="auto"/>
        <w:rPr>
          <w:sz w:val="20"/>
          <w:szCs w:val="20"/>
          <w:color w:val="auto"/>
        </w:rPr>
      </w:pPr>
      <w:r>
        <w:rPr>
          <w:rFonts w:ascii="Arial" w:cs="Arial" w:eastAsia="Arial" w:hAnsi="Arial"/>
          <w:sz w:val="18"/>
          <w:szCs w:val="18"/>
          <w:color w:val="auto"/>
        </w:rPr>
        <w:t>an inability to integrate or benefit from acquired technologies or services in a profitable manner; unanticipated costs or liabilities associated with the acquisition;</w:t>
      </w: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left="700"/>
        <w:spacing w:after="0"/>
        <w:rPr>
          <w:sz w:val="20"/>
          <w:szCs w:val="20"/>
          <w:color w:val="auto"/>
        </w:rPr>
      </w:pPr>
      <w:r>
        <w:rPr>
          <w:rFonts w:ascii="Arial" w:cs="Arial" w:eastAsia="Arial" w:hAnsi="Arial"/>
          <w:sz w:val="18"/>
          <w:szCs w:val="18"/>
          <w:color w:val="auto"/>
        </w:rPr>
        <w:t>difficulty integrating the accounting systems, operations and personnel of the acquired business;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31"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difficulty converting the clients of the acquired business onto our platform and contract terms, including disparities in the revenue, licensing, support or professional services model of the acquired company;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potential loss of key employees;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use of resources that are needed in other parts of our business;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use of substantial portions of our available cash to consummate the acquisition.</w:t>
      </w:r>
    </w:p>
    <w:p>
      <w:pPr>
        <w:spacing w:after="0" w:line="23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164"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Acquisitions could also result in dilutive issuances of equity securities or the incurrence of debt, which could adversely affect our results of operations. In addition, if an acquired business fails to meet our expectations, our business, financial condition and results of operations may suffer.</w:t>
      </w:r>
    </w:p>
    <w:p>
      <w:pPr>
        <w:spacing w:after="0" w:line="25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Economic uncertainties or downturns in the general economy or the industries in which our clients operate could disproportionately affect the demand for our solution and negatively impact our results of operations.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General worldwide economic conditions have experienced significant downturns during the last ten years, and market volatility and uncertainty remain widespread, making it potentially very difficult for our clients and us to accurately forecast and plan future business activities. During challenging economic times, our clients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clients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62"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Our ability to conduct telehealth and teletherapy services in a particular jurisdiction is directly dependent upon the applicable laws governing remote care, the practice of medicine and healthcare delivery in general in such location, which are subject to changing political, regulatory and other influences. With respect to telehealth and teletherapy services, in the past, state medical boards have established new rules or interpreted existing rules in a manner that has limited or restricted our ability to conduct our business as it was conducted in other states. Some of these actions have resulted in the suspension or modification of our telehealth and teletherapy operations in 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the law in every jurisdiction in which we operate, on an ongoing basis, and we cannot provide assurance that our activities and arrangements, if challenged, will be found to be in compliance with the law. Although the COVID-19 pandemic has led to the relaxation of certain Medicare, Medicaid and state licensure restrictions on the delivery of telehealth and teletherapy services, it is uncertain how long the relaxed policies will remain in effect, and, there can be no guarantee that once the COVID-19 pandemic is over that such restrictions will not be reinstated or changed in a way that adversely affects our business.</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Additionally, it is possible that the laws and rules governing the practice of medicine and the practice of pharmacy, including remote care, in one or more jurisdictions may change in a manner deleterious to our business. For instance, a few states have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jc w:val="both"/>
        <w:spacing w:after="0" w:line="271" w:lineRule="auto"/>
        <w:rPr>
          <w:sz w:val="20"/>
          <w:szCs w:val="20"/>
          <w:color w:val="auto"/>
        </w:rPr>
      </w:pPr>
      <w:r>
        <w:rPr>
          <w:rFonts w:ascii="Arial" w:cs="Arial" w:eastAsia="Arial" w:hAnsi="Arial"/>
          <w:sz w:val="18"/>
          <w:szCs w:val="18"/>
          <w:color w:val="auto"/>
        </w:rPr>
        <w:t>imposed different, and, in some cases, additional, standards regarding the provision of services via telehealth and teletherapy. Some states impose strict standards on using telehealth and teletherapy to prescribe certain classes of controlled substances that 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our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Evolving government regulations may result in increased costs or adversely affect our results of operations.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We have identified what we believe are the areas of government regulation that, if changed, would be costly to us. These include rules governing the practice of medicine by physicians;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17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clients, members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products or services from being offered to members and clients, or their members and patients, which could have a material adverse effect on our business, financial condition and results of operations.</w:t>
      </w:r>
    </w:p>
    <w:p>
      <w:pPr>
        <w:spacing w:after="0" w:line="299" w:lineRule="exact"/>
        <w:rPr>
          <w:sz w:val="20"/>
          <w:szCs w:val="20"/>
          <w:color w:val="auto"/>
        </w:rPr>
      </w:pPr>
    </w:p>
    <w:p>
      <w:pPr>
        <w:jc w:val="both"/>
        <w:spacing w:after="0" w:line="359" w:lineRule="auto"/>
        <w:rPr>
          <w:sz w:val="20"/>
          <w:szCs w:val="20"/>
          <w:color w:val="auto"/>
        </w:rPr>
      </w:pPr>
      <w:r>
        <w:rPr>
          <w:rFonts w:ascii="Arial" w:cs="Arial" w:eastAsia="Arial" w:hAnsi="Arial"/>
          <w:sz w:val="15"/>
          <w:szCs w:val="15"/>
          <w:b w:val="1"/>
          <w:bCs w:val="1"/>
          <w:i w:val="1"/>
          <w:iCs w:val="1"/>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2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are in the process of transitioning to a structure where we will enter into various agreements with a Texas professional association entity, TPN, which in turn will contract with our affiliated professional entities and physicians, therapists, and other licensed professionals for clinical and professional services provided to our members. Once this structure is implemented, there is a risk that U.S. state authorities in some jurisdictions may find that these contractual relationships with professional entities, physicians and other healthcare providers providing telehealth and teletherapy violate laws prohibiting the corporate practice of medicine and professional fee splitting. These laws generally prohibit the practice of medicine by lay persons or entities and prohibit us from employing physicians and certain licensed professionals, directing the clinical practice of physicians and certain licensed professionals, holding an ownership interest in an entity that employs physicians and certain licensed professionals or from engaging in certain financial arrangements, such as splitting professional fees with physicians and certain licensed professionals. The laws are intended to prevent unlicensed persons or entities from interfering with or inappropriately influencing a healthcare provider’s professional judgment. The extent to which each state considers particular actions or contractual relationships to constitute improper influence of professional judgment varies across the states and is subject to change and to evolving interpretations by state boards of medicine and professional counselors and therapists, and state attorneys general, among others. As such, we must monitor our compliance with applicable laws in every jurisdiction in which we operate on an ongoing basis and we cannot guarantee that subsequent interpretation of the corporate practice of medicine or fee splitting laws will not circumscribe our business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jc w:val="both"/>
        <w:spacing w:after="0" w:line="309" w:lineRule="auto"/>
        <w:rPr>
          <w:sz w:val="20"/>
          <w:szCs w:val="20"/>
          <w:color w:val="auto"/>
        </w:rPr>
      </w:pPr>
      <w:r>
        <w:rPr>
          <w:rFonts w:ascii="Arial" w:cs="Arial" w:eastAsia="Arial" w:hAnsi="Arial"/>
          <w:sz w:val="16"/>
          <w:szCs w:val="16"/>
          <w:color w:val="auto"/>
        </w:rPr>
        <w:t>TPN will contract with therapists and other licensed professionals or enter into agreements with our affiliated professional entities, physicians, therapists and other licensed professionals for the clinical and professional services provided to our members. We do not own TPN or the professional entities with which it will contract. TPN is owned by an independent Texas-licensed physician, and the other professional entities will be owned by physicians qualified to own such professional entities in the respective states. Once fully implemented, we expect that these relationships will continue, however, we cannot guarantee that they will. A material change in our relationship with TPN or among TPN and the contracted professional entities, whether resulting from a dispute among the entities, a change in government regulation, or the loss of these affiliations, could impair our ability to provide services to members as we intend under the transitioned structure and could have a material adverse effect on our business, financial condition, and results of operations.</w:t>
      </w:r>
    </w:p>
    <w:p>
      <w:pPr>
        <w:spacing w:after="0" w:line="16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State corporate practice of medicine doctrines also often impose penalties on physicians themselves for aiding the corporate practice of medicine, which could discourage physicians from participating in our network of providers. Due to the prevalence of the corporate practice of medicine doctrine, including in states where we conduct our business, we are in the process of finalizing certain agreements with TPN, which is a 100% physician-owned independent entity. One such agreement is a management services agreement with TPN, pursuant to which TPN reserves exclusive control and responsibility for all aspects of the practice of medicine and the delivery of medical services and we provide non-clinical management and administrative services in exchange for a fee. The other professional entities, physicians, therapists and other licensed professionals who will provide clinical and professional services to our members through contracts with TPN will also retain exclusive control and responsibility for all aspects of medical services provided to our members. Although we seek to substantially comply with applicable state prohibitions on the corporate practice of medicine and fee splitting, state officials who administer these laws or other third parties may successfully challenge our organization and contractual arrangements with our providers once implemented.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providers to comply with these statutes, could eliminate clients located in certain states from the market for our services. Furthermore, the arrangements we are in the process of finalizing or will enter into to comply with state corporate practice of medicine doctrines and fee splitting laws could subject us to additional scrutiny by federal and state regulatory bodies regarding federal and state fraud and abuse laws. Any scrutiny, investigation, adverse determination or litigation with regard to our arrangements with TPN and our affiliated professional entities could have a material adverse effect on our business,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impact on us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The Affordable Care Act in 2010 made major changes in how healthcare is delivered and reimbursed, and it increased access to health insurance benefits to the uninsured and underinsured population of the United States.</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as well as recent efforts by the Trump administration to repeal or replace certain aspects of the ACA. For example, the Tax Cuts and Jobs Act of 2017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Since the enactment of the Tax Cuts and Jobs Act of 2017, there have been additional amendments to certain provisions of the ACA. We expect with the anticipated changes to the U.S. presidency and Congress, there will likely be additional changes to the ACA and/or repeal or replacement of certain changes implemented by the Trump administration. It is uncertain the extent to which any such changes may impact our business or financial condition. President Joe Biden and Congress may consider other legislation to change elements of the ACA. In December 2019, a federal appeals court held that the individual mandate portion of the ACA was unconstitutional and left open the question whether the remaining provisions of the ACA would be valid without the individual mandate. On November 10, 2020, the U.S. Supreme Court heard oral arguments and is in the process of reviewing this case. A decision is expected in 2021. We continue to evaluate the effect that the ACA and its possible modification or repeal and replacement has on our business. It is uncertain the extent to which any such changes may impact our business or financial condition.</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pursuant to the Budget Control Act of 2011 and subsequent laws, which began in 2013 and will remain in effect through 2029, with the exception of a temporary suspension from May 1, 2020 through March 31, 2021, unless additional Congressional action is taken. In January 2013, the American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jc w:val="both"/>
        <w:spacing w:after="0" w:line="288" w:lineRule="auto"/>
        <w:rPr>
          <w:sz w:val="20"/>
          <w:szCs w:val="20"/>
          <w:color w:val="auto"/>
        </w:rPr>
      </w:pPr>
      <w:r>
        <w:rPr>
          <w:rFonts w:ascii="Arial" w:cs="Arial" w:eastAsia="Arial" w:hAnsi="Arial"/>
          <w:sz w:val="17"/>
          <w:szCs w:val="17"/>
          <w:color w:val="auto"/>
        </w:rPr>
        <w:t>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18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Such changes in the regulatory environment may also result in changes to our payer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w:t>
      </w:r>
    </w:p>
    <w:p>
      <w:pPr>
        <w:spacing w:after="0" w:line="160"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 party payers will pay for healthcare products and services, which could adversely affect our business, financial condition and results of operations.</w:t>
      </w: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The U.S. healthcare industry is heavily regulated and closely scrutinized by federal and state governments. Comprehensive statutes and regulations govern the manner in which we and our affiliated professional entities may provide and bill for services and collect reimbursement from governmental programs and private payers, our contractual relationships with TPN and its corresponding relationship with its contracted providers, vendors and clients, our marketing activities and other aspects of our operations. Applicable and potentially applicable U.S. federal and state healthcare laws and regulations include, but are not limited, to the following:</w:t>
      </w:r>
    </w:p>
    <w:p>
      <w:pPr>
        <w:spacing w:after="0" w:line="73" w:lineRule="exact"/>
        <w:rPr>
          <w:sz w:val="20"/>
          <w:szCs w:val="20"/>
          <w:color w:val="auto"/>
        </w:rPr>
      </w:pPr>
    </w:p>
    <w:p>
      <w:pPr>
        <w:jc w:val="both"/>
        <w:ind w:left="700"/>
        <w:spacing w:after="0" w:line="287" w:lineRule="auto"/>
        <w:rPr>
          <w:sz w:val="20"/>
          <w:szCs w:val="20"/>
          <w:color w:val="auto"/>
        </w:rPr>
      </w:pPr>
      <w:r>
        <w:rPr>
          <w:rFonts w:ascii="Arial" w:cs="Arial" w:eastAsia="Arial" w:hAnsi="Arial"/>
          <w:sz w:val="17"/>
          <w:szCs w:val="17"/>
          <w:color w:val="auto"/>
        </w:rPr>
        <w:t>the federal physician self-referral law, commonly referred to as the Stark Law, that, unless one of the statutory or regulatory exceptions apply,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 the entity from billing Medicare or Medicaid for such designated health services. Sanctions for violating the Stark Law include denial of payment, civil monetary penalties of up to $25,820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a penalty of up to $172,137 for a circumvention scheme;</w:t>
      </w:r>
    </w:p>
    <w:p>
      <w:pPr>
        <w:spacing w:after="0" w:line="74" w:lineRule="exact"/>
        <w:rPr>
          <w:sz w:val="20"/>
          <w:szCs w:val="20"/>
          <w:color w:val="auto"/>
        </w:rPr>
      </w:pPr>
    </w:p>
    <w:p>
      <w:pPr>
        <w:jc w:val="both"/>
        <w:ind w:left="700"/>
        <w:spacing w:after="0" w:line="281" w:lineRule="auto"/>
        <w:rPr>
          <w:sz w:val="20"/>
          <w:szCs w:val="20"/>
          <w:color w:val="auto"/>
        </w:rPr>
      </w:pPr>
      <w:r>
        <w:rPr>
          <w:rFonts w:ascii="Arial" w:cs="Arial" w:eastAsia="Arial" w:hAnsi="Arial"/>
          <w:sz w:val="17"/>
          <w:szCs w:val="17"/>
          <w:color w:val="auto"/>
        </w:rPr>
        <w:t>the federal Anti-Kickback Statute that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has been interpreted broadly to be anything of value, and could include compensation, discounts, or free marketing services.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$104,330 for each violation, plus up to three times the remuneration involved. Civil penalties for such conduct can further be assessed under the federal False Claims Act. Violations can also result in criminal penalties, including criminal fines of up to $100,000 and imprisonment of up to 10 years. Similarly, violations can result in exclusion from participation in government healthcare programs, including Medicare and Medicaid;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jc w:val="both"/>
        <w:ind w:left="700"/>
        <w:spacing w:after="0" w:line="290" w:lineRule="auto"/>
        <w:rPr>
          <w:sz w:val="20"/>
          <w:szCs w:val="20"/>
          <w:color w:val="auto"/>
        </w:rPr>
      </w:pPr>
      <w:r>
        <w:rPr>
          <w:rFonts w:ascii="Arial" w:cs="Arial" w:eastAsia="Arial" w:hAnsi="Arial"/>
          <w:sz w:val="17"/>
          <w:szCs w:val="17"/>
          <w:color w:val="auto"/>
        </w:rPr>
        <w:t>the criminal healthcare fraud provisions of the federal Health Insurance Portability and Accountability Act of 1996, as amended by the Health Information Technology for Economic and Clinical Health Act (“HITECH”), and their implementing regulations, which we collectively refer to as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HIPAA, which also imposes certain regulatory and contractual requirements regarding the privacy, security and transmission of PHI;</w:t>
      </w:r>
    </w:p>
    <w:p>
      <w:pPr>
        <w:spacing w:after="0" w:line="131" w:lineRule="exact"/>
        <w:rPr>
          <w:sz w:val="20"/>
          <w:szCs w:val="20"/>
          <w:color w:val="auto"/>
        </w:rPr>
      </w:pPr>
    </w:p>
    <w:p>
      <w:pPr>
        <w:jc w:val="both"/>
        <w:ind w:left="700"/>
        <w:spacing w:after="0" w:line="272" w:lineRule="auto"/>
        <w:rPr>
          <w:sz w:val="20"/>
          <w:szCs w:val="20"/>
          <w:color w:val="auto"/>
        </w:rPr>
      </w:pPr>
      <w:r>
        <w:rPr>
          <w:rFonts w:ascii="Arial" w:cs="Arial" w:eastAsia="Arial" w:hAnsi="Arial"/>
          <w:sz w:val="18"/>
          <w:szCs w:val="18"/>
          <w:color w:val="auto"/>
        </w:rPr>
        <w:t>the federal False Claims Act that imposes civil and criminal liability, including treble damages and mandatory minimum penalties of $11,665 to $23,331 per false claim or statement, on individuals or entities that knowingly submit false or fraudulent claims for payment to the government or knowingly making, or causing to be made, a false statement in order to have a false claim paid, including qui tam or whistleblower suits. A claim including items or services resulting from a violation of the federal Anti-Kickback Statute constitutes a false or fraudulent claim for purposes of the False Claims Act;</w:t>
      </w:r>
    </w:p>
    <w:p>
      <w:pPr>
        <w:spacing w:after="0" w:line="83" w:lineRule="exact"/>
        <w:rPr>
          <w:sz w:val="20"/>
          <w:szCs w:val="20"/>
          <w:color w:val="auto"/>
        </w:rPr>
      </w:pPr>
    </w:p>
    <w:p>
      <w:pPr>
        <w:jc w:val="both"/>
        <w:ind w:left="700"/>
        <w:spacing w:after="0" w:line="279" w:lineRule="auto"/>
        <w:rPr>
          <w:sz w:val="20"/>
          <w:szCs w:val="20"/>
          <w:color w:val="auto"/>
        </w:rPr>
      </w:pPr>
      <w:r>
        <w:rPr>
          <w:rFonts w:ascii="Arial" w:cs="Arial" w:eastAsia="Arial" w:hAnsi="Arial"/>
          <w:sz w:val="18"/>
          <w:szCs w:val="18"/>
          <w:color w:val="auto"/>
        </w:rPr>
        <w:t>the federal Civil Monetary Law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75"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similar state law provisions pertaining to Anti-Kickback, self-referral and false claims issues, some of which may apply to items or services reimbursed by any third party payer, including commercial insurers or services paid out-of-pocket by patients;</w:t>
      </w:r>
    </w:p>
    <w:p>
      <w:pPr>
        <w:spacing w:after="0" w:line="62" w:lineRule="exact"/>
        <w:rPr>
          <w:sz w:val="20"/>
          <w:szCs w:val="20"/>
          <w:color w:val="auto"/>
        </w:rPr>
      </w:pPr>
    </w:p>
    <w:p>
      <w:pPr>
        <w:jc w:val="both"/>
        <w:ind w:left="700" w:right="20"/>
        <w:spacing w:after="0" w:line="293" w:lineRule="auto"/>
        <w:rPr>
          <w:sz w:val="20"/>
          <w:szCs w:val="20"/>
          <w:color w:val="auto"/>
        </w:rPr>
      </w:pPr>
      <w:r>
        <w:rPr>
          <w:rFonts w:ascii="Arial" w:cs="Arial" w:eastAsia="Arial" w:hAnsi="Arial"/>
          <w:sz w:val="18"/>
          <w:szCs w:val="18"/>
          <w:color w:val="auto"/>
        </w:rPr>
        <w:t>state laws that prohibit general business corporations, such as us, from practicing medicine, controlling physicians’ medical decisions or engaging in some practices such as splitting fees with physicians;</w:t>
      </w:r>
    </w:p>
    <w:p>
      <w:pPr>
        <w:spacing w:after="0" w:line="62"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the Federal Trade Commission Act and federal and state consumer protection, advertisement and unfair competition laws, which broadly regulate marketplace activities and activities that could potentially harm consumers, including information practices;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laws that regulate debt collection practices as applied to our debt collection practices;</w:t>
      </w:r>
    </w:p>
    <w:p>
      <w:pPr>
        <w:spacing w:after="0" w:line="131"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a provision of the Social Security Act that imposes criminal penalties on healthcare providers who fail to disclose or refund known overpayments; and</w:t>
      </w:r>
    </w:p>
    <w:p>
      <w:pPr>
        <w:spacing w:after="0" w:line="62" w:lineRule="exact"/>
        <w:rPr>
          <w:sz w:val="20"/>
          <w:szCs w:val="20"/>
          <w:color w:val="auto"/>
        </w:rPr>
      </w:pPr>
    </w:p>
    <w:p>
      <w:pPr>
        <w:jc w:val="both"/>
        <w:ind w:left="700"/>
        <w:spacing w:after="0" w:line="279" w:lineRule="auto"/>
        <w:rPr>
          <w:sz w:val="20"/>
          <w:szCs w:val="20"/>
          <w:color w:val="auto"/>
        </w:rPr>
      </w:pPr>
      <w:r>
        <w:rPr>
          <w:rFonts w:ascii="Arial" w:cs="Arial" w:eastAsia="Arial" w:hAnsi="Arial"/>
          <w:sz w:val="18"/>
          <w:szCs w:val="18"/>
          <w:color w:val="auto"/>
        </w:rPr>
        <w:t>federal and state laws and policies that require healthcare providers to maintain licensure, certification or accreditation to provide physician and other professional services, to enroll and participate in the Medicare and Medicaid programs, to report certain changes in their operations to the agencies that administer these programs, as well as state insurance laws.</w:t>
      </w:r>
    </w:p>
    <w:p>
      <w:pPr>
        <w:spacing w:after="0" w:line="1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 if in the future we provide services reimbursable by government healthcare programs,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7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jc w:val="both"/>
        <w:spacing w:after="0" w:line="329" w:lineRule="auto"/>
        <w:rPr>
          <w:sz w:val="20"/>
          <w:szCs w:val="20"/>
          <w:color w:val="auto"/>
        </w:rPr>
      </w:pPr>
      <w:r>
        <w:rPr>
          <w:rFonts w:ascii="Arial" w:cs="Arial" w:eastAsia="Arial" w:hAnsi="Arial"/>
          <w:sz w:val="16"/>
          <w:szCs w:val="16"/>
          <w:b w:val="1"/>
          <w:bCs w:val="1"/>
          <w:i w:val="1"/>
          <w:iCs w:val="1"/>
          <w:color w:val="auto"/>
        </w:rPr>
        <w:t>Our use and disclosure of personally identifiable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privacy and security of personally identifiable information (“PII”) stored, maintained, received or transmitted electronically is an enforcement priority in the United States and abroad. While we strive to comply with all applicable privacy and security laws and regulations, as well as our own posted privacy policies, legal standards for privacy, including but not limited to “unfairness” and “deception,” as enforced by the FTC and state attorneys general, any failure or perceived failure to comply with such requirements may result in proceedings or actions against us by government entities or private parties, or could cause us to lose clients or members, any of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personally identifiable information or other privacy-related matters, even if unfounded and even if we are in compliance with applicable laws, could damage our reputation and harm our business.</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also publish statements to our clients and members that describe how we handle and protect personal information. If federal or state regulatory authorities or private litigants consider any portion of these statements to be inaccurate, incomplete, or not fully implemented, we may be subject to claims of deceptive practices or other violation of law, which could lead to significant liabilities and consequences, including, without limitation, costs of responding to investigations, defending against litigation, settling claims and complying with regulatory or court orders.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Numerous federal and state laws and regulations govern collection, storage, dissemination, use, retention, transfer, disposal, security and confidentiality of personally identifiable health information, including HIPAA; U.S. state privacy, security and breach notification and healthcare information laws; the California Consumer Protection Act (“CCPA”); and other data protection laws.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HIPAA establishes a set of basic national privacy and security standards for the protection of PHI, to covered entities, including certain types of health care providers and their service providers that access PHI, known as business associates. HIPAA requires covered entities and business associates to maintain policies and procedures governing PHI that is used or disclosed, and to implement administrative, physical and technical safeguards to protect PHI, including PHI maintained, used and disclosed in electronic form. These safeguards include employee training, identifying business associates with whom covered entities need to enter into HIPAA-compliant contractual arrangements and various other measures. Ongoing implementation and oversight of these measures involves significant time, effort and expense. While we undertake substantial efforts to secure the PHI we maintain, use and disclose in electronic form, a cyber-attack or other intrusion that bypasses our information security systems causing an information security breach, loss of PHI, confidential member information, or other data subject to privacy laws or a material disruption of our operational systems could result in a material adverse impact on our business, along with potentially substantial fines and penalties. When acting as a service provider to licensed therapists or employee assistance programs (group health plans), we are considered a business associate under HIPAA. In some instances we may be considered a covered entity under HIPAA where our own employees are providing direct therapeutic care.</w:t>
      </w:r>
    </w:p>
    <w:p>
      <w:pPr>
        <w:spacing w:after="0" w:line="17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HIPAA also implemented the use of standard transaction code sets and standard identifiers that covered entities must use when submitting or receiving certain electronic healthcare transactions, including activities associated with the billing and collection of healthcare claims. Additionally, HIPAA imposes mandatory penalties for certain violations. Penalties for such violations of HIPAA and its implementing regulations include civil monetary penalties of up to $59,522 per violation, not to exceed approximately $1.8 million for violations of the same standard in a single calendar year (as of 2020, and subject to periodic adjustments for inflation). However, a single breach incident can result in violations of multiple standards, which could result in significant fines. A person who knowingly obtains or discloses individually identifiable health information in violation of HIPAA may face a criminal penalty of up to $50,000 and up to one-year of imprisonment. The criminal penalties increase if the wrongful conduct involves false pretenses or the intent to sell, transfer, or use identifiable health information for commercial advantage, personal gain, or malicious harm. HIPAA also authorizes state attorneys general to file suit on behalf of their residents.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and prospects. In addition, HIPAA mandates that the Secretary of the U.S. Department of Health and Human Services (“HHS”) conduct periodic compliance audits of HIPAA 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spacing w:after="0" w:line="290" w:lineRule="auto"/>
        <w:rPr>
          <w:sz w:val="20"/>
          <w:szCs w:val="20"/>
          <w:color w:val="auto"/>
        </w:rPr>
      </w:pPr>
      <w:r>
        <w:rPr>
          <w:rFonts w:ascii="Arial" w:cs="Arial" w:eastAsia="Arial" w:hAnsi="Arial"/>
          <w:sz w:val="17"/>
          <w:szCs w:val="17"/>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Further, the U.S. federal government and various states and governmental agencies have adopted or are considering adopting various laws, regulations and standards regarding the collection, use, retention, security, disclosure, transfer and other processing of sensitive and personal information. For example, California implemented the California Consumer Privacy Act, or CCPA, which came into effect on January 1, 2020, and to which we are subject. The CCPA imposes obligations and restrictions on businesses regarding their collection, use, processing, retaining and sharing of personal information and provides new and enhanced data privacy rights to California residents.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CCPA provides for civil penalties for violations, which could result in statutory penalties of up to $2,500 per violation, or up to $7,500 per violation if the violation is intentional. The CCPA also provides a private right of action for certain data breaches that result in the loss of personal information. This private right of action may increase the likelihood of, and risks associated with, data breach litigation. Protected health information that is subject to HIPAA is excluded from the CCPA; however, information we hold about individual residents of California that is not subject to HIPAA would be subject to the CCPA. Because the CCPA is relatively new, there is still some uncertainty about how HIPAA and other exceptions may be applied under the CCPA. Furthermore, California voters approved the California Privacy Rights Act (“CPRA”) on November 3, 2020, which will amend and expand the CCPA, including by providing consumers with additional rights with respect to their personal information. The CPRA will come into effect on January 1, 2023, applying to information collected by businesses on or after January 1, 2022.</w:t>
      </w:r>
    </w:p>
    <w:p>
      <w:pPr>
        <w:spacing w:after="0" w:line="17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With laws and regulations such as HIPAA, the CCPA, and the CPRA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Moreover, California implemented the California Confidentiality of Medical Information Act, which imposes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such as the CCPA.</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are many other state-based data privacy and security laws and regulations that may impact our business. All of these evolving compliance and operational requirements impose significant costs that are likely to increase over time, may require us to modify our data processing practices and policies, divert resources from other initiatives and projects and could restrict the way services involving data are offered, all of which may adversely affect our results of operations. Certain state laws may be more stringent or broader in scope, or offer greater individual rights, with respect to sensitive and personal information than federal, international or other state laws, and such laws may differ from each other, which may complicate compliance efforts. State laws are changing rapidly and there is discussion in Congress of a new federal data protection and privacy law to which we may be subject.</w:t>
      </w:r>
    </w:p>
    <w:p>
      <w:pPr>
        <w:spacing w:after="0" w:line="16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along with increased customer demands for enhanced data security infrastructure, could greatly increase our cost of providing our services, decrease demand for our services, reduce our revenue and/or subject us to additional liabilities.</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There are numerous foreign laws, regulations and directives regarding privacy and the collection, storage, transmission, use, processing, disclosure and protection of PII and other personal or customer data, the scope of which is continually evolving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jc w:val="both"/>
        <w:spacing w:after="0" w:line="301" w:lineRule="auto"/>
        <w:rPr>
          <w:sz w:val="20"/>
          <w:szCs w:val="20"/>
          <w:color w:val="auto"/>
        </w:rPr>
      </w:pPr>
      <w:r>
        <w:rPr>
          <w:rFonts w:ascii="Arial" w:cs="Arial" w:eastAsia="Arial" w:hAnsi="Arial"/>
          <w:sz w:val="16"/>
          <w:szCs w:val="16"/>
          <w:color w:val="auto"/>
        </w:rPr>
        <w:t>and subject to differing interpretations. If we provide services to members outside the United States, we may be subject to such laws, regulations, directives and obligations in relation to processing of personal data in our customer contracts, and we may be subject to significant consequences, including penalties, fines and contractual liability, for our failure to comply. While we have not undertaken a comprehensive review of the GDPR applicability to our business given we only have very small number of users from that region, the GDPR imposes stringent data protection requirements, with enhanced obligations on the processing of sensitive data, including information that relates to mental health, and provides for severe penalties for breach, which could be imposed directly in connection with future European operations. EU Member States are also able to legislate separately on sensitive data (i.e. mental health), and we must comply with these local laws where we operate. European data protection law also imposes strict rules on the transfer of personal data out of the EEA to the United States that are currently the subject of draft guidance. Following its departure from the EU, the United Kingdom has its own national legislation that imposes similar obligations and penalties to the GDPR. These obligations may be interpreted and applied in a manner that is inconsistent from one jurisdiction to another and may conflict with other requirements or our practices. The relationship between the UK and the EU in relation to certain aspects of data protection law, particularly transfers of personal data (on expiry of the current grace period on June 30, 2021, unless terminated earlier), remains unsettled following the Brexit Trade and Cooperation Agreement and regulatory changes in both the EU and UK may lead to additional compliance costs and could increase our overall risk. Failure to comply with the requirements of the GDPR and the applicable national data protection laws of the EU and European Economic Area (“EEA”) member states or the UK may result in fines of up to €20,000,000 (or £17.5 million in the UK) or up to 4% of our total worldwide annual revenue for the preceding financial year under each regime, whichever is higher, and other administrative penalties. If we provide services outside the United States, we must may need to comply with such laws, regulations and directives and we may be subject to significant consequences, including penalties and fines, for our failure to comply. For example, the European Commission has enacted the General Data Protection Regulation (“GDPR”), that became effective in May 2018 for controllers and processors of personal data, which imposes more stringent data protection requirements and provides for severe penalties for breach, which could be imposed directly in connection with future European operations. Failure to comply with the requirements of GDPR and the applicable national data protection laws of the EU and European Economic Area (“EEA”) member states may result in fines of up to €20,000,000 or up to 4% of our total worldwide annual revenue for the preceding financial year, whichever is higher, and other administrative penalties. To comply with the GDPR we may be required to put in place additional mechanisms policies and procedures ensuring compliance. European data protection law also imposes strict rules on the transfer of personal data out of the EEA to the United States that are currently the subject of draft guidance. These obligations may be interpreted and applied in a manner that is inconsistent from one jurisdiction to another and may conflict with other requirements or our practices. Moreover, following the United Kingdom’s (“UK”) withdrawal from the EU, we have to comply with the GDPR and separately the GDPR as implemented in the UK, each regime having the ability to fine up to the greater of €20 million (£17 million) or 4% of global turnover. The relationship between the UK and the EU in relation to certain aspects of data protection law remains unclear, e.g. how data transfers between EU member states and the UK will be treated. These changes may lead to additional compliance costs and could increase our overall risk. 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client and member confidence, damage to our brand and reputation, and a loss of clients and/or members, any of which could have an adverse effect on our business.</w:t>
      </w:r>
    </w:p>
    <w:p>
      <w:pPr>
        <w:spacing w:after="0" w:line="200" w:lineRule="exact"/>
        <w:rPr>
          <w:sz w:val="20"/>
          <w:szCs w:val="20"/>
          <w:color w:val="auto"/>
        </w:rPr>
      </w:pPr>
    </w:p>
    <w:p>
      <w:pPr>
        <w:spacing w:after="0" w:line="2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Because of the breadth of these laws and the narrowness of their exceptions and safe harbors, it is possible that our business activities can be subject to challenge under one or more of such laws. The applicability,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and of processing of health data generally, which has led to a number of investigations, prosecutions, convictions and settlements in the healthcare industry. Any such investigations, prosecutions, convictions or settlements could result in significant financial penalties, damage to our brand and reputation, and a loss of clients and/or members, any of which could have an adverse effect on our business.</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addition,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 Any of the foregoing could harm our competitive position, business, financial condition, results of operations and prospects.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jc w:val="both"/>
        <w:spacing w:after="0" w:line="293" w:lineRule="auto"/>
        <w:rPr>
          <w:sz w:val="20"/>
          <w:szCs w:val="20"/>
          <w:color w:val="auto"/>
        </w:rPr>
      </w:pPr>
      <w:r>
        <w:rPr>
          <w:rFonts w:ascii="Arial" w:cs="Arial" w:eastAsia="Arial" w:hAnsi="Arial"/>
          <w:sz w:val="18"/>
          <w:szCs w:val="18"/>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Because of the extreme sensitivity of the information which we receive, store and transmit on behalf of therapists, clients, and others, the security features of our technology platform are very important.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our security measures, some of which are managed by third parties, are breached or fail, unauthorized persons may be able to obtain access to sensitive client and member data, including PHI and PII. As a result, our reputation could be severely damaged, adversely affecting client and member confidence. Members may curtail their use of or stop using our services or our client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outsource important aspects of the storage and transmission of client and member information, and thus rely on third parties to manage functions that have material cyber-security risks. We attempt to address these risks by requiring outsourcing subcontractors who handle client and member information to sign agreements contractually requiring those subcontractors to adequately safeguard PII and PHI to the same extent that applies to us and in some cases by requiring such outsourcing subcontractors to undergo third-party security examinations. In addition, we periodically hire third-party security experts to assess and test our security posture. However, we cannot assure you that these contractual measures and other safeguards will adequately protect us from the risks associated with the storage and transmission of client and members’ proprietary and protected health information.</w:t>
      </w:r>
    </w:p>
    <w:p>
      <w:pPr>
        <w:spacing w:after="0" w:line="16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Due to applicable laws and regulations or contractual obligations, we may be held responsible for any information security failure or cyber-attack attributed to our vendors as they relate to the information we share with them. In addition, because we do not control our vendors and our ability to monitor their data security is limited, we cannot ensure the security measures they take will be sufficient to protect confidential, proprietary, or sensitive data, including personal data. We are at risk of a cyber-attack involving a vendor or other third party, which could result in a breakdown of such third party’s data protection processes or the cyber-attackers gaining access to our information systems or data through the third party. Regardless of whether an actual or perceived cyber-attack is attributable to us or our vendors, such an incident could, among other things, result in improper disclosure of information, harm our reputation and brand, reduce the demand for our products and services, lead to loss of client confidence in the effectiveness of our security measures, disrupt normal business operations or result in our systems or products and services being unavailable.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divert the attention of management from the operation of our business and cause us to incur significant costs, any of which could affect our financial condition, operating results and our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common stock. In addition, our remediation efforts may not be successful and any failure related to these activities could result in significant liability and/or have a material adverse effect on our business, reputation and financial condition.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both"/>
        <w:spacing w:after="0" w:line="279" w:lineRule="auto"/>
        <w:rPr>
          <w:sz w:val="20"/>
          <w:szCs w:val="20"/>
          <w:color w:val="auto"/>
        </w:rPr>
      </w:pPr>
      <w:r>
        <w:rPr>
          <w:rFonts w:ascii="Arial" w:cs="Arial" w:eastAsia="Arial" w:hAnsi="Arial"/>
          <w:sz w:val="18"/>
          <w:szCs w:val="18"/>
          <w:b w:val="1"/>
          <w:bCs w:val="1"/>
          <w:i w:val="1"/>
          <w:iCs w:val="1"/>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Expansion of our operations into markets outside the United States is one of our strategies for the future growth of our business. In connection with those plans, we may be or may become subject to compliance obligations under anti-corruption laws and regulations imposed by governmental authorities around the world with jurisdiction over our operations, which may include the FCPA, as well as the anti-corruption laws and regulations of other jurisdictions where we conduct business. These laws and regulations apply to companies, directors, officers, employees and agents, and may impact the way we conduct our operations, trade practices, investment decisions and partnering activities. Where they apply, the FCPA and the U.K. Bribery Act of 2010 (the “UK Bribery Act”) prohibit us and our officers, directors and employees, as well as any third parties acting on our behalf, including joint venture partners and agents, from corruptly offering, promising, authorizing or providing anything of value to public officials or other persons for the purpose of influencing official decisions or obtaining or retaining business or otherwise obtaining an improper business benefit. As part of our business, we may deal with non-U.S. governments and state-owned business enterprises, the employees and representatives of which may be considered foreign officials for purposes of the FCPA.</w:t>
      </w:r>
    </w:p>
    <w:p>
      <w:pPr>
        <w:spacing w:after="0" w:line="18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our planned expansion of our international operations, we will become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Our business also will need to be conducted in compliance with applicable export controls and economic sanctions laws and regulations, including those of the U.S. government, the governments of other countries in which we operate or plan to operate in or conduct business and various multilateral organizations. Such laws and regulations include, without limitation, those administered and enforced by the U.S. Department of the Treasury’s Office of Foreign Assets Control (“OFAC”), the U.S. Department of State, the U.S. Department of Commerce, the United Nations Security Council and other relevant sanctions authorities. Our provision of services to persons located outside the United States may be subject to certain regulatory prohibitions, restrictions or other requirements, including certain licensing or reporting requirements pursuant to export controls and economic sanctions laws and regulations. Our provision of services outside of the United States exposes us to the risk of violating, or being accused of violating, anti-corruption, exports controls and economic sanctions laws and regulations. Though we have implemented an anti-corruption policy, as well as formal training and monitoring programs, we cannot ensure that our policies and procedures will always protect us from risks associated with any unlawful acts carried out by our employees or agents. Violations of anti-corruption, exports controls or economic sanctions laws and regulations may expose us to reputational harm, as well as significant civil and criminal penalties, including monetary fines, imprisonment, disgorgement of profits, injunctions, suspension or debarment from government contracts, and other remedial measures. Investigations of alleged violations can be expensive and disruptive to our operations. Violations could have a material adverse effect on our reputation, business, financial condition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protect, enforce or defend our intellectual property rights could impair our ability to protect our technology and our brand.</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success depends in part on our ability to maintain, protect and enforce our intellectual property and other proprietary rights. We rely upon a combination of trademark, patent and trade secret laws, as well as license and access agreements and other contractual provisions, to protect our intellectual property rights. These laws, procedures and agreements provide only limited protection and any of our intellectual property rights may be challenged, invalidated, circumvented, infringed, diluted or misappropriated.</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 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jc w:val="both"/>
        <w:spacing w:after="0" w:line="292" w:lineRule="auto"/>
        <w:rPr>
          <w:sz w:val="20"/>
          <w:szCs w:val="20"/>
          <w:color w:val="auto"/>
        </w:rPr>
      </w:pPr>
      <w:r>
        <w:rPr>
          <w:rFonts w:ascii="Arial" w:cs="Arial" w:eastAsia="Arial" w:hAnsi="Arial"/>
          <w:sz w:val="17"/>
          <w:szCs w:val="17"/>
          <w:color w:val="auto"/>
        </w:rPr>
        <w:t>Despite our efforts to protect our trade secrets and proprietary technologies, third parties may gain access to our proprietary information. They may also develop and market solutions similar to ours or use trademarks similar to ours, each of which could materially harm our business. Unauthorized parties may also attempt to copy or obtain and use our technology to develop applications with the same functionality as our solutions, and policing unauthorized use of our technology and intellectual property rights is difficult and may not be effective. The failure to adequately protect our intellectual property and other proprietary rights could have a material adverse effect on our business, financial condition and results of operations.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clients or members or the public, of the source code to such proprietary software. Any such disclosure would have a negative effect on our business and the value of our proprietary software.</w:t>
      </w:r>
    </w:p>
    <w:p>
      <w:pPr>
        <w:spacing w:after="0" w:line="28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Third parties may challenge the validity of our trademarks and patents or oppose trademark and patent applications. We may not be able to obtain and enforce additional patents to protect our proprietary rights from use by potential competitors. Companies with other patents could require us to stop using or pay to use required technology.</w:t>
      </w:r>
    </w:p>
    <w:p>
      <w:pPr>
        <w:spacing w:after="0" w:line="7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Our commercial success depends in large part on our ability to obtain and maintain intellectual property protection through trademarks, patents, trade secrets and contracts in the United States and other countries with respect to our software and technology. If we do not adequately protect our intellectual property rights, competitors may be able to erode, negate or preempt any competitive advantage we may have, which could harm our business.</w:t>
      </w:r>
    </w:p>
    <w:p>
      <w:pPr>
        <w:spacing w:after="0" w:line="14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rely on our trademarks, trade name and brand names to distinguish our products and services from the products and services of our competitors, and we have registered or applied to register many of these trademarks. We cannot assure you that any future trademark applications will be approved. Third parties may also oppose our future trademark applications, or otherwise challenge our use of our trademarks. In the event that our trademarks are successfully challenged, we could be forced to rebrand products or services, which could result in time and expense to re-program our software and websites, loss of brand recognition, and could require us to devote resources to advertising and marketing new brands.</w:t>
      </w:r>
    </w:p>
    <w:p>
      <w:pPr>
        <w:spacing w:after="0" w:line="17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have applied for, and intend to continue to apply for, patents relating to our software and technology. Such applications may not result in the issuance of any patents, and any patents that may be issued may not provide adequate protection from competition. Furthermore, because the issuance of a patent is not conclusive as to its inventorship, scope, validity or enforceability, it is possible that patents issued to us may be challenged successfully and found to be invalid or unenforceable in the future. In that event, any competitive advantage that such patents might provide would be lost. If we are unable to secure or maintain patent coverage, our technology could become subject to competition from the sale of similar competing products.</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Competitors may also be able to design around our now held or later issued patents. Changes in either the patent laws or interpretation of the patent laws in the United States and other countries may diminish the value of such patents or narrow the scope of our patent protection. If these developments were to occur, we could face increased competition. In addition, filing, prosecuting, maintaining, defending and enforcing patents on our software and technology in all countries throughout the world would be prohibitively expensive, and our intellectual property rights in some countries outside the United States can be less extensive than those in the United States.</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From time to time, patents issued to us relating to our software and technology may be infringed by the products or processes of others.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could become a party to intellectual property litigation and other infringement proceedings. The cost to us of any intellectual property litigation or other infringement or misappropriation proceeding, even if resolved in our favor, could be substantial. Some of our would-be competitors may sustain the costs of such litigation more effectively than we can because of their greater financial resources.</w:t>
      </w:r>
    </w:p>
    <w:p>
      <w:pPr>
        <w:spacing w:after="0" w:line="1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recent years, there has been significant litigation in the United States involving patents and other intellectual property rights. Companies in the Internet and technology industries are increasingly bringing and becoming subject to suits alleging infringement of proprietary rights, particularly patent rights, and our competitors and other third parties may hold patents or have pending patent applications, which could be related to our business. These risks have been amplified by the increase in third parties, which we refer to as non-practicing entities, whose sole or primary business is to assert such claims. 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clients using our solution have misappropriated, misused or otherwise infringed other parties’ intellectual property rights, particularly as the number of competitors in our market grows and the functionality of applications amongst competitors overlaps. Our existing, or any future, litigation, whether or not successful, could be extremely costly to defend, divert our management’s time, attention and resources, damage our reputation and brand and substantially harm our business.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Additionally, in connection with such litigation, our use of such intellectual property could be temporarily or permanently enjoined forcing us to stop using such intellectual property altogether. Even if we are successful in defending against such claims, litigation could result in substantial costs and be a distraction to management and other employees.</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addition, in most instances, we have agreed to indemnify our clients against certain third-party claims, which may include claims that our solution infringes the intellectual property rights of such third parties. Our business could be adversely affected by any significant disputes between us and our clients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cease offering or using technologies that incorporate the challenged intellectual property;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make substantial payments for legal fees, settlement payments or other costs or damages;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 a license, which may not be available on reasonable terms, to sell or use the relevant technology; or</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redesign technology to avoid infringement.</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If we are required to make substantial payments or undertake any of the other actions noted above as a result of any intellectual property infringement claims against us or any obligation to indemnify our clients for such claims, such payments or costs could have a material adverse effect on our business, financial condition and results of operations.</w:t>
      </w:r>
    </w:p>
    <w:p>
      <w:pPr>
        <w:spacing w:after="0" w:line="291"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i w:val="1"/>
          <w:iCs w:val="1"/>
          <w:color w:val="auto"/>
        </w:rPr>
        <w:t>Our proprietary software may not operate properly, which could damage our reputation, give rise to claims against us or divert application of our resources from other purposes, any of which could harm our business, financial condition and results of operations.</w:t>
      </w:r>
    </w:p>
    <w:p>
      <w:pPr>
        <w:spacing w:after="0" w:line="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client expectations in terms of performance, clients could assert liability claims against us or attempt to cancel their contracts with us. This could damage our reputation and impair our ability to attract or maintain clients.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Moreover, data services are complex and those we offer have in the past contained, and may in the future develop or contain, undetected defects or errors. Material performance problems, defects or errors in our existing or new software-based products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both"/>
        <w:spacing w:after="0" w:line="271" w:lineRule="auto"/>
        <w:rPr>
          <w:sz w:val="20"/>
          <w:szCs w:val="20"/>
          <w:color w:val="auto"/>
        </w:rPr>
      </w:pPr>
      <w:r>
        <w:rPr>
          <w:rFonts w:ascii="Arial" w:cs="Arial" w:eastAsia="Arial" w:hAnsi="Arial"/>
          <w:sz w:val="18"/>
          <w:szCs w:val="18"/>
          <w:color w:val="auto"/>
        </w:rPr>
        <w:t>and services may arise in the future and may result from interface of our solution with systems and data that we did not develop and the function of which is outside of our control or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clients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resolve any technical issues in a timely manner, we may lose clients and our reputation may be harmed.</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clients depend on our support services to resolve any technical issues relating to our solution and services, and we may be unable to respond quickly enough to accommodate short-term increases in member demand for support services, particularly as we increase the size of our client, member and patient bases. We also may be unable to modify the format of our support services to compete with changes in support services provided by competitors. It is difficult to predict member demand for technical support services, and if member demand increases significantly, we may be unable to provide satisfactory support services to our clients. Further, if we are unable to address clients’ needs in a timely fashion or further develop and enhance our solution, or if a client or member is not satisfied with the quality of work performed by us or with the technical support services rendered, then we could incur additional costs to address the situation or be required to issue credits or refunds for amounts related to unused services, and our profitability may be impaired and clients’ dissatisfaction with our solution could damage our ability to expand the number of software-based products and services purchased by such clients. These clients may not renew their contracts, seek to terminate their relationship with us or renew on less favorable terms. Moreover, negative publicity related to our client relationships, regardless of its accuracy, may further damage our business by affecting our reputation or ability to compete for new business with current and prospective clients. If any of these were to occur, our revenue may decline and our business, financial condition and results of operations could be adversely affected.</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6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17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Ownership of Our Common Stock, our Warrants and Operating as a Public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For example, we are subject to the reporting requirements of the Securities Exchange Act of 1934, as amended (the “Exchange Act”), and are required to comply with the applicable requirements of the Sarbanes-Oxley Act and the Dodd-Frank Wall Street Reform and Consumer Protection Act, as well as rules and regulations of the SEC and Nasdaq, including the establishment and maintenance of effective disclosure and financial controls, changes in corporate governance practices and required filing of annual, quarterly and current reports with respect to our business and results of operations. Any failure to develop or maintain effective controls or any difficulties encountered in their implementation or improvement could harm our results of operations or cause us to fail to meet our reporting obligations. Compliance with these requirements has increased our legal and financial compliance costs and made some activities more time-consuming and costly. In addition, our management and other personnel are required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which will increase when we are no longer an emerging growth company. We are in the process of hiring additional accounting personnel and, as a public company, may need to hire additional accounting and financial staff with appropriate public company experience and technical accounting knowledge and may need to establish an internal audit function.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as a public company, our ability to produce accurate and timely financial statements could be impaired, investors may lose confidence in our financial reporting and the trading price of our common stock may decline.</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Section 404 of the Sarbanes-Oxley Act, we are required to provide a report by management on, among other things, the effectiveness of our internal control over financial reporting for future annual reports on Form 10-K filed with the SEC. This assessment will need to include disclosure of any material weaknesses identified by our management in our internal control over financial reporting. Our independent registered public accounting firm will also be required to attest to the effectiveness of our internal control over financial reporting in future annual reports report on Form 10-K to be filed with the SEC. We will be required to disclose changes made in our internal controls and procedures on a quarterly basis. As a private company, we were not required to conduct an internal control evaluation and assessment.</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rules governing the standards that must be met for management to assess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If we are unable to hire the additional accounting and finance staff necessary to comply with these requirements, we may need to retain additional outside consultants. If we or, if required, our independent registered public accounting firm, are unable to conclude that our internal control over financial reporting is effective, investors may lose confidence in our financial reporting, which could negatively impact the price of our securities.</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and the HEC Forward Purchase Agreement. Following the issuance of the SEC Statement, on May 4, 2021, HEC concluded that it was appropriate to restate its previously issued audited financial statements as of December 31, 2020 and for the period from February 6, 2020 (inception) through December 31, 2020, as well as its financial data as of June 11, 2020 (the “restatement”), and as part of such process, HEC identified a material weakness in its internal control over financial reporting. As the accounting acquirer in the Business Combination, we have inherited this material weakness and the warrants.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both"/>
        <w:spacing w:after="0" w:line="270" w:lineRule="auto"/>
        <w:rPr>
          <w:sz w:val="20"/>
          <w:szCs w:val="20"/>
          <w:color w:val="auto"/>
        </w:rPr>
      </w:pPr>
      <w:r>
        <w:rPr>
          <w:rFonts w:ascii="Arial" w:cs="Arial" w:eastAsia="Arial" w:hAnsi="Arial"/>
          <w:sz w:val="18"/>
          <w:szCs w:val="18"/>
          <w:color w:val="auto"/>
        </w:rPr>
        <w:t>HEC reevaluated the accounting treatment of 20,700,000 public warrants, 10,280,000 private placement warrants and the HEC Forward Purchase Agreement, and determined to classify the warrants and the HEC Forward Purchase Agreement as liabilities measured at fair value, with changes in fair value each period reported in earnings. As a result, these liabilities are subject to re-measurement at each balance sheet date, and any change in fair value is recognized in our statement of operations. As a result of the recurring fair value measurement, our consolidated financial statements and results of operations may fluctuate quarterly, based on factors, which are outside of our control. The recurring fair value measurement applies only to the private placement warrants, and we will continue to recognize non-cash gains or losses on our private placement warrants each reporting period, and the amount of such gains or losses could be material.</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a result of such material weakness, the restatement, the change in accounting for the warrants and HEC Forward Purchase Agreement, and other matters raised or that may in the future be raised by the SEC, we may face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As of the date of this Quarterly Report,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7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cannot assure you that there will not be additional material weaknesses in our internal control over financial reporting now or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securities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Delaware law and our organizational documents contain certain provisions, including anti-takeover provisions that limit the ability of stockholders to take certain actions and could delay or discourage takeover attempts that stockholders may consider favorable.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organizational documents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our organizational documents include the following provisions or features that may make the acquisition of our company more difficult:</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a classified board of directors with staggered, three-year terms;</w:t>
      </w:r>
    </w:p>
    <w:p>
      <w:pPr>
        <w:spacing w:after="0" w:line="131" w:lineRule="exact"/>
        <w:rPr>
          <w:sz w:val="20"/>
          <w:szCs w:val="20"/>
          <w:color w:val="auto"/>
        </w:rPr>
      </w:pPr>
    </w:p>
    <w:p>
      <w:pPr>
        <w:jc w:val="both"/>
        <w:ind w:left="700"/>
        <w:spacing w:after="0" w:line="279" w:lineRule="auto"/>
        <w:rPr>
          <w:sz w:val="20"/>
          <w:szCs w:val="20"/>
          <w:color w:val="auto"/>
        </w:rPr>
      </w:pPr>
      <w:r>
        <w:rPr>
          <w:rFonts w:ascii="Arial" w:cs="Arial" w:eastAsia="Arial" w:hAnsi="Arial"/>
          <w:sz w:val="18"/>
          <w:szCs w:val="18"/>
          <w:color w:val="auto"/>
        </w:rPr>
        <w:t>our board of directors is permitted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75"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the Certificate of Incorporation prohibits cumulative voting in the election of directors, which limits the ability of minority stockholders to elect director candidates;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limitation of the liability of, and the indemnification of, our directors and officers;</w:t>
      </w:r>
    </w:p>
    <w:p>
      <w:pPr>
        <w:spacing w:after="0" w:line="131" w:lineRule="exact"/>
        <w:rPr>
          <w:sz w:val="20"/>
          <w:szCs w:val="20"/>
          <w:color w:val="auto"/>
        </w:rPr>
      </w:pPr>
    </w:p>
    <w:p>
      <w:pPr>
        <w:jc w:val="both"/>
        <w:ind w:left="700"/>
        <w:spacing w:after="0" w:line="279" w:lineRule="auto"/>
        <w:rPr>
          <w:sz w:val="20"/>
          <w:szCs w:val="20"/>
          <w:color w:val="auto"/>
        </w:rPr>
      </w:pPr>
      <w:r>
        <w:rPr>
          <w:rFonts w:ascii="Arial" w:cs="Arial" w:eastAsia="Arial" w:hAnsi="Arial"/>
          <w:sz w:val="18"/>
          <w:szCs w:val="18"/>
          <w:color w:val="auto"/>
        </w:rPr>
        <w:t>certain transactions are not “corporate opportunities” and the Identified Persons (as defined in the Certificate of Incorporation) are not subject to the doctrine of corporate opportunity and such Identified Persons do not have any fiduciary duty to refrain from engaging directly or indirectly in the same or similar business activities or lines of business as us;</w:t>
      </w:r>
    </w:p>
    <w:p>
      <w:pPr>
        <w:spacing w:after="0" w:line="75" w:lineRule="exact"/>
        <w:rPr>
          <w:sz w:val="20"/>
          <w:szCs w:val="20"/>
          <w:color w:val="auto"/>
        </w:rPr>
      </w:pPr>
    </w:p>
    <w:p>
      <w:pPr>
        <w:jc w:val="both"/>
        <w:ind w:left="700"/>
        <w:spacing w:after="0" w:line="266" w:lineRule="auto"/>
        <w:rPr>
          <w:sz w:val="20"/>
          <w:szCs w:val="20"/>
          <w:color w:val="auto"/>
        </w:rPr>
      </w:pPr>
      <w:r>
        <w:rPr>
          <w:rFonts w:ascii="Arial" w:cs="Arial" w:eastAsia="Arial" w:hAnsi="Arial"/>
          <w:sz w:val="18"/>
          <w:szCs w:val="18"/>
          <w:color w:val="auto"/>
        </w:rPr>
        <w:t>we are not governed by Section 203 of the DGCL and, instead, our Certificate of Incorporation includes a provision that is substantially similar to Section 203 of the DGCL, and acknowledges that certain stockholders cannot be “interested stockholders” (as defined in the Certificate of Incorporation);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jc w:val="both"/>
        <w:ind w:left="700"/>
        <w:spacing w:after="0" w:line="324" w:lineRule="auto"/>
        <w:rPr>
          <w:sz w:val="20"/>
          <w:szCs w:val="20"/>
          <w:color w:val="auto"/>
        </w:rPr>
      </w:pPr>
      <w:r>
        <w:rPr>
          <w:rFonts w:ascii="Arial" w:cs="Arial" w:eastAsia="Arial" w:hAnsi="Arial"/>
          <w:sz w:val="17"/>
          <w:szCs w:val="17"/>
          <w:color w:val="auto"/>
        </w:rPr>
        <w:t>our board of directors has the ability to amend the bylaws, which may allow our board of directors to take additional actions to prevent an unsolicited takeover and inhibit the ability of an acquirer to amend the bylaws to facilitate an unsolicited takeover attempt; and</w:t>
      </w:r>
    </w:p>
    <w:p>
      <w:pPr>
        <w:spacing w:after="0" w:line="39" w:lineRule="exact"/>
        <w:rPr>
          <w:sz w:val="20"/>
          <w:szCs w:val="20"/>
          <w:color w:val="auto"/>
        </w:rPr>
      </w:pPr>
    </w:p>
    <w:p>
      <w:pPr>
        <w:jc w:val="both"/>
        <w:ind w:left="700"/>
        <w:spacing w:after="0" w:line="296" w:lineRule="auto"/>
        <w:rPr>
          <w:sz w:val="20"/>
          <w:szCs w:val="20"/>
          <w:color w:val="auto"/>
        </w:rPr>
      </w:pPr>
      <w:r>
        <w:rPr>
          <w:rFonts w:ascii="Arial" w:cs="Arial" w:eastAsia="Arial" w:hAnsi="Arial"/>
          <w:sz w:val="17"/>
          <w:szCs w:val="17"/>
          <w:color w:val="auto"/>
        </w:rPr>
        <w:t>our bylaws contain 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board of directors or management.</w:t>
      </w:r>
    </w:p>
    <w:p>
      <w:pPr>
        <w:spacing w:after="0" w:line="37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i w:val="1"/>
          <w:iCs w:val="1"/>
          <w:color w:val="auto"/>
        </w:rPr>
        <w:t>The provision of our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3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Certificate of Incorporation requires,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the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provisions do not apply to claims arising under the Securities Act, the Exchange Act or other federal securities laws for which there is exclusive federal or concurrent federal and state jurisdiction.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 provided, however, that our stockholders will not be deemed to have waived our compliance with the federal securities laws and the rules and regulations thereunder. The enforceability of similar choice of forum provisions in other companies’ organizational documents has been challenged in legal proceedings, and it is possible that, in connection with claims arising under federal securities laws, a court could find the choice of forum provisions contained in the Certificate of Incorporation to be inapplicable or unenforceable.</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the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resales of our common stock may cause the market price of our securities to drop significantly, even if our business is doing well.</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Pursuant to the Sponsor Support Agreement and our Bylaws, the Sponsor and certain stockholders of Talkspace, Inc. (“Talkspace Holders”</w:t>
      </w:r>
      <w:r>
        <w:rPr>
          <w:rFonts w:ascii="Arial" w:cs="Arial" w:eastAsia="Arial" w:hAnsi="Arial"/>
          <w:sz w:val="18"/>
          <w:szCs w:val="18"/>
          <w:b w:val="1"/>
          <w:bCs w:val="1"/>
          <w:color w:val="auto"/>
        </w:rPr>
        <w:t>)</w:t>
      </w:r>
      <w:r>
        <w:rPr>
          <w:rFonts w:ascii="Arial" w:cs="Arial" w:eastAsia="Arial" w:hAnsi="Arial"/>
          <w:sz w:val="18"/>
          <w:szCs w:val="18"/>
          <w:color w:val="auto"/>
        </w:rPr>
        <w:t xml:space="preserve"> the Talkspace Holders are contractually restricted from selling or transferring any shares of our common stock (not including the shares of our common stock issued in the PIPE Investment pursuant to the terms of the Subscription Agreements) (the “Lock-up Shares”). Such restrictions began at Closing and end on the date that is 180 days after the Closing.</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However, following the expiration of such lockup, the Sponsor and the Talkspace Holders will not be restricted from selling shares of our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 The shares held by Sponsor and the Talkspace Holders may be sold after the expiration of the applicable lock-up period under the Sponsor Support Agreement and Bylaws. As restrictions on resale end and registration statements (to provide for the resale of such shares from time to time) are available for use, the sale or possibility of sale of these shares could have the effect of increasing the volatility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8" w:name="page69"/>
    <w:bookmarkEnd w:id="68"/>
    <w:p>
      <w:pPr>
        <w:jc w:val="both"/>
        <w:spacing w:after="0" w:line="293" w:lineRule="auto"/>
        <w:rPr>
          <w:sz w:val="20"/>
          <w:szCs w:val="20"/>
          <w:color w:val="auto"/>
        </w:rPr>
      </w:pPr>
      <w:r>
        <w:rPr>
          <w:rFonts w:ascii="Arial" w:cs="Arial" w:eastAsia="Arial" w:hAnsi="Arial"/>
          <w:sz w:val="18"/>
          <w:szCs w:val="18"/>
          <w:color w:val="auto"/>
        </w:rPr>
        <w:t>in our share price or the market price of our common stock could decline if the holders of currently restricted shares sell them or are perceived by the market as intending to sell them.</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addition, we may issue additional common stock or other equity securities without the approval of investors, which would dilute investors’ ownership interests and may depress the market price of our common stock.</w:t>
      </w:r>
    </w:p>
    <w:p>
      <w:pPr>
        <w:spacing w:after="0" w:line="27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Our warrants are exercisable for common stock, which could increase the number of shares eligible for future resale in the public market and result in dilution to our stockholders.</w:t>
      </w:r>
    </w:p>
    <w:p>
      <w:pPr>
        <w:spacing w:after="0" w:line="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Outstanding warrants to purchase an aggregate of 33,480,000 shares of common stock are exercisable in accordance with the terms of the Warrant Agreement governing those securities. To the extent such warrants are exercised, additional shares of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public warrants will ever be in the money prior to their expiration, and as such, the warrants may expire worthless.</w:t>
      </w:r>
    </w:p>
    <w:p>
      <w:pPr>
        <w:spacing w:after="0" w:line="26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currently qualify as an “emerging growth company” as defined in Section 2(a)(19) of the Securities Act, as modified by the JOBS Act. As such, we have taken advantage of certain exemptions from various reporting requirements applicable to other public companies that are not emerging growth companies,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the last business day of the Company’s second quarter in fiscal 2021, the aggregate market value of the Company’s ordinary shares held by its non-affiliate shareholders exceeded $700 million. As a result, as of December 31, 2021, the Company will be considered a large accelerated filer as defined in Rule 12b-2 of the Securities Exchange Act of 1934 and the Company will cease to be an emerging growth company. Accordingly, the Company will no longer be exempt from the auditor attestation requirements under Section 404(b) of the Sarbanes-Oxley Act of 2002, as amended, and the Company’s independent registered public accounting firm will evaluate and report on the effectiveness of internal control over financial reporting. Further, following the loss of emerging growth company status, the Company will be required to comply with any new or revised accounting pronouncements as of public company effective 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and future agreements and financing instruments, business prospects and such other factors as our board of directors deems relevant.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jc w:val="both"/>
        <w:spacing w:after="0" w:line="293" w:lineRule="auto"/>
        <w:rPr>
          <w:sz w:val="20"/>
          <w:szCs w:val="20"/>
          <w:color w:val="auto"/>
        </w:rPr>
      </w:pPr>
      <w:r>
        <w:rPr>
          <w:rFonts w:ascii="Arial" w:cs="Arial" w:eastAsia="Arial" w:hAnsi="Arial"/>
          <w:sz w:val="18"/>
          <w:szCs w:val="18"/>
          <w:b w:val="1"/>
          <w:bCs w:val="1"/>
          <w:i w:val="1"/>
          <w:iCs w:val="1"/>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62"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27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4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(ii) adjusting the provisions relating to cash dividends on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common stock purchasable upon exercise of a warrant.</w:t>
      </w:r>
    </w:p>
    <w:p>
      <w:pPr>
        <w:spacing w:after="0" w:line="28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7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jc w:val="both"/>
        <w:spacing w:after="0" w:line="272"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have the ability to redeem outstanding warrants at any time after they become exercisable and prior to their expiration, at a price of $0.01 per warrant, provided that the closing price of our common stock equals or exceeds $18.00 per share (as adjusted for stock splits, stock recapitalizations,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securities may be volatile.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securities may fluctuate due to a variety of factors, including:</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success of competitive services or technologies;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developments related to our existing or any future collaborations;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developments or disputes concerning our intellectual property or other proprietary rights;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market’s expectations about our operating results;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public’s reaction to our press releases, other public announcements and filings with the SEC;</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speculation in the press or investment community;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commencement of, or involvement in, litigation involving us;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volume of our securities available for public sale;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our board of directors or management;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general economic, industry and market conditions;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other factors described in this “Risk Factors” section.</w:t>
      </w:r>
    </w:p>
    <w:p>
      <w:pPr>
        <w:spacing w:after="0" w:line="239" w:lineRule="exact"/>
        <w:rPr>
          <w:sz w:val="20"/>
          <w:szCs w:val="20"/>
          <w:color w:val="auto"/>
        </w:rPr>
      </w:pPr>
    </w:p>
    <w:p>
      <w:pPr>
        <w:jc w:val="center"/>
        <w:ind w:right="400"/>
        <w:spacing w:after="0" w:line="293" w:lineRule="auto"/>
        <w:rPr>
          <w:sz w:val="20"/>
          <w:szCs w:val="20"/>
          <w:color w:val="auto"/>
        </w:rPr>
      </w:pPr>
      <w:r>
        <w:rPr>
          <w:rFonts w:ascii="Arial" w:cs="Arial" w:eastAsia="Arial" w:hAnsi="Arial"/>
          <w:sz w:val="18"/>
          <w:szCs w:val="18"/>
          <w:color w:val="auto"/>
        </w:rPr>
        <w:t>These market and industry factors may materially reduce the market price of our common stock and warrants regardless of our operating performance.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We may need to raise additional capital in the future in order to execute our business plans, which may not be available on terms acceptable to us, or at all.</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experienced recurring losses from operations, and negative cash flows at operations, and we expect our operating expenses will increase in the foreseeable future. We believe our cash and cash equivalents on hand following the Business Combination, together with cash we expect to generate from future operations, will be sufficient to meet our working capital and capital expenditure requirements in the near future.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management’s attention from other business concerns, which could seriously harm its business.</w:t>
      </w:r>
    </w:p>
    <w:p>
      <w:pPr>
        <w:spacing w:after="0" w:line="27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Securities research analysts may establish and publish their own periodic projections for our business.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securities price or trading volume could decline. While we expect to receive research analyst coverage, if no analysts commence coverage of us, the market price and volume for our securities could be adversely affected.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On June 11, 2020, Hudson Executive Investment Corp. (“HEC”) consummated the HEC IPO, in which it issued 41,400,000 units (the “HEC Units”), including the issuance of 5,400,000 Units as a result of the underwriters’ exercise of their over-allotment option in full. Each HEC Unit consists of one share of Class A common stock of HEC, par value $0.0001 per share, and one-half of one redeemable warrant of HEC (each an “HEC Warrant”), with each whole HEC Warrant entitling the holder thereof to purchase one share of HEC’s Class A common stock for $11.50 per share, subject to adjustment. The HEC Units were sold at a price of $10.00 per Unit, generating gross proceeds to HEC of $414,000,000.</w:t>
      </w:r>
    </w:p>
    <w:p>
      <w:pPr>
        <w:spacing w:after="0" w:line="17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Simultaneously with the consummation of the HEC IPO and the exercise of the over-allotment option in full, HEC consummated a private placement of 10,280,000 private placement warrants to its sponsor, HEC Sponsor LLC, at a price of $1.00 per private placement warrant, generating total additional proceeds of $10.3 million. Such securities were issued pursuant to the exemption from registration contained in Section 4(a)(2) of the Securities Act.</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HEC incurred approximately $23.4 million in transaction costs, including $8.3 million of underwriting fees, $14.5 million of deferred underwriting fees and $0.6 million of other costs. Following the HEC IPO, the exercise of the over-allotment option in full and the sale of the private placement warrants, a total of $414.2 million was placed in a trust account. After deducting payments to existing shareholders of $259.8 million in connection with their exercise of redemption rights, the payment of the $14.5 million of deferred underwriting fees and a total of $14.0 million in expenses in connection with the Business Combination paid from the trust account, the remainder of the trust account is now held on our balance sheet to fund our operations and continued growth.</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8"/>
              </w:rPr>
              <w:t>Incorporated by Reference</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r>
      <w:tr>
        <w:trPr>
          <w:trHeight w:val="180"/>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121"/>
              <w:spacing w:after="0"/>
              <w:rPr>
                <w:sz w:val="20"/>
                <w:szCs w:val="20"/>
                <w:color w:val="auto"/>
              </w:rPr>
            </w:pPr>
            <w:r>
              <w:rPr>
                <w:rFonts w:ascii="Arial" w:cs="Arial" w:eastAsia="Arial" w:hAnsi="Arial"/>
                <w:sz w:val="14"/>
                <w:szCs w:val="14"/>
                <w:b w:val="1"/>
                <w:bCs w:val="1"/>
                <w:color w:val="auto"/>
                <w:w w:val="90"/>
              </w:rPr>
              <w:t>Filing</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Furnished</w:t>
            </w:r>
          </w:p>
        </w:tc>
      </w:tr>
      <w:tr>
        <w:trPr>
          <w:trHeight w:val="192"/>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20" w:type="dxa"/>
            <w:vAlign w:val="bottom"/>
          </w:tcPr>
          <w:p>
            <w:pPr>
              <w:spacing w:after="0"/>
              <w:rPr>
                <w:sz w:val="16"/>
                <w:szCs w:val="16"/>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Form</w:t>
            </w:r>
          </w:p>
        </w:tc>
        <w:tc>
          <w:tcPr>
            <w:tcW w:w="40" w:type="dxa"/>
            <w:vAlign w:val="bottom"/>
          </w:tcPr>
          <w:p>
            <w:pPr>
              <w:spacing w:after="0"/>
              <w:rPr>
                <w:sz w:val="16"/>
                <w:szCs w:val="16"/>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File No.</w:t>
            </w:r>
          </w:p>
        </w:tc>
        <w:tc>
          <w:tcPr>
            <w:tcW w:w="20" w:type="dxa"/>
            <w:vAlign w:val="bottom"/>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377"/>
        </w:trPr>
        <w:tc>
          <w:tcPr>
            <w:tcW w:w="920" w:type="dxa"/>
            <w:vAlign w:val="bottom"/>
          </w:tcPr>
          <w:p>
            <w:pPr>
              <w:ind w:left="2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4"/>
                <w:szCs w:val="24"/>
                <w:color w:val="auto"/>
              </w:rPr>
            </w:pPr>
          </w:p>
        </w:tc>
        <w:tc>
          <w:tcPr>
            <w:tcW w:w="5160" w:type="dxa"/>
            <w:vAlign w:val="bottom"/>
            <w:gridSpan w:val="12"/>
          </w:tcPr>
          <w:p>
            <w:pPr>
              <w:spacing w:after="0"/>
              <w:rPr>
                <w:rFonts w:ascii="Arial" w:cs="Arial" w:eastAsia="Arial" w:hAnsi="Arial"/>
                <w:sz w:val="16"/>
                <w:szCs w:val="16"/>
                <w:color w:val="0000FF"/>
                <w:w w:val="94"/>
              </w:rPr>
            </w:pPr>
            <w:hyperlink r:id="rId218">
              <w:r>
                <w:rPr>
                  <w:rFonts w:ascii="Arial" w:cs="Arial" w:eastAsia="Arial" w:hAnsi="Arial"/>
                  <w:sz w:val="16"/>
                  <w:szCs w:val="16"/>
                  <w:color w:val="0000FF"/>
                  <w:w w:val="94"/>
                </w:rPr>
                <w:t>Agreement and Plan of Merger, dated as of January 12, 2021, by and among</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S-4</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333-252638</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center"/>
              <w:ind w:right="121"/>
              <w:spacing w:after="0"/>
              <w:rPr>
                <w:sz w:val="20"/>
                <w:szCs w:val="20"/>
                <w:color w:val="auto"/>
              </w:rPr>
            </w:pPr>
            <w:r>
              <w:rPr>
                <w:rFonts w:ascii="Arial" w:cs="Arial" w:eastAsia="Arial" w:hAnsi="Arial"/>
                <w:sz w:val="16"/>
                <w:szCs w:val="16"/>
                <w:color w:val="auto"/>
                <w:w w:val="94"/>
              </w:rPr>
              <w:t>2/2/21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12"/>
          </w:tcPr>
          <w:p>
            <w:pPr>
              <w:spacing w:after="0" w:line="183" w:lineRule="exact"/>
              <w:rPr>
                <w:rFonts w:ascii="Arial" w:cs="Arial" w:eastAsia="Arial" w:hAnsi="Arial"/>
                <w:sz w:val="16"/>
                <w:szCs w:val="16"/>
                <w:color w:val="0000FF"/>
                <w:w w:val="98"/>
              </w:rPr>
            </w:pPr>
            <w:hyperlink r:id="rId218">
              <w:r>
                <w:rPr>
                  <w:rFonts w:ascii="Arial" w:cs="Arial" w:eastAsia="Arial" w:hAnsi="Arial"/>
                  <w:sz w:val="16"/>
                  <w:szCs w:val="16"/>
                  <w:color w:val="0000FF"/>
                  <w:w w:val="98"/>
                </w:rPr>
                <w:t>Hudson Executive Investment Corp., Tailwind Merger Sub I, Inc., Tailwind</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12"/>
          </w:tcPr>
          <w:p>
            <w:pPr>
              <w:spacing w:after="0" w:line="183" w:lineRule="exact"/>
              <w:rPr>
                <w:rFonts w:ascii="Arial" w:cs="Arial" w:eastAsia="Arial" w:hAnsi="Arial"/>
                <w:sz w:val="16"/>
                <w:szCs w:val="16"/>
                <w:color w:val="0000FF"/>
              </w:rPr>
            </w:pPr>
            <w:hyperlink r:id="rId218">
              <w:r>
                <w:rPr>
                  <w:rFonts w:ascii="Arial" w:cs="Arial" w:eastAsia="Arial" w:hAnsi="Arial"/>
                  <w:sz w:val="16"/>
                  <w:szCs w:val="16"/>
                  <w:color w:val="0000FF"/>
                </w:rPr>
                <w:t>Merger Sub II, LLC, and Groop Internet Platform, Inc. (d/b/a Talkspace).</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5160" w:type="dxa"/>
            <w:vAlign w:val="bottom"/>
            <w:gridSpan w:val="12"/>
          </w:tcPr>
          <w:p>
            <w:pPr>
              <w:spacing w:after="0"/>
              <w:rPr>
                <w:rFonts w:ascii="Arial" w:cs="Arial" w:eastAsia="Arial" w:hAnsi="Arial"/>
                <w:sz w:val="16"/>
                <w:szCs w:val="16"/>
                <w:color w:val="0000FF"/>
                <w:w w:val="93"/>
              </w:rPr>
            </w:pPr>
            <w:hyperlink r:id="rId219">
              <w:r>
                <w:rPr>
                  <w:rFonts w:ascii="Arial" w:cs="Arial" w:eastAsia="Arial" w:hAnsi="Arial"/>
                  <w:sz w:val="16"/>
                  <w:szCs w:val="16"/>
                  <w:color w:val="0000FF"/>
                  <w:w w:val="93"/>
                </w:rPr>
                <w:t>Second Amended and Restated Certificate of Incorporation of Talkspace, Inc.</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8-K/A</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1"/>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5160" w:type="dxa"/>
            <w:vAlign w:val="bottom"/>
            <w:gridSpan w:val="12"/>
          </w:tcPr>
          <w:p>
            <w:pPr>
              <w:spacing w:after="0"/>
              <w:rPr>
                <w:rFonts w:ascii="Arial" w:cs="Arial" w:eastAsia="Arial" w:hAnsi="Arial"/>
                <w:sz w:val="16"/>
                <w:szCs w:val="16"/>
                <w:color w:val="0000FF"/>
              </w:rPr>
            </w:pPr>
            <w:hyperlink r:id="rId220">
              <w:r>
                <w:rPr>
                  <w:rFonts w:ascii="Arial" w:cs="Arial" w:eastAsia="Arial" w:hAnsi="Arial"/>
                  <w:sz w:val="16"/>
                  <w:szCs w:val="16"/>
                  <w:color w:val="0000FF"/>
                </w:rPr>
                <w:t>Bylaws of Talkspace, Inc.</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8-K/A</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1"/>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8"/>
                <w:szCs w:val="18"/>
                <w:color w:val="auto"/>
              </w:rPr>
            </w:pPr>
          </w:p>
        </w:tc>
        <w:tc>
          <w:tcPr>
            <w:tcW w:w="5160" w:type="dxa"/>
            <w:vAlign w:val="bottom"/>
            <w:gridSpan w:val="12"/>
          </w:tcPr>
          <w:p>
            <w:pPr>
              <w:spacing w:after="0"/>
              <w:rPr>
                <w:rFonts w:ascii="Arial" w:cs="Arial" w:eastAsia="Arial" w:hAnsi="Arial"/>
                <w:sz w:val="16"/>
                <w:szCs w:val="16"/>
                <w:color w:val="0000FF"/>
                <w:w w:val="96"/>
              </w:rPr>
            </w:pPr>
            <w:hyperlink r:id="rId221">
              <w:r>
                <w:rPr>
                  <w:rFonts w:ascii="Arial" w:cs="Arial" w:eastAsia="Arial" w:hAnsi="Arial"/>
                  <w:sz w:val="16"/>
                  <w:szCs w:val="16"/>
                  <w:color w:val="0000FF"/>
                  <w:w w:val="96"/>
                </w:rPr>
                <w:t>Warrant Agreement, dated as of June 8, 2020, by and between Continental</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1"/>
              <w:spacing w:after="0"/>
              <w:rPr>
                <w:sz w:val="20"/>
                <w:szCs w:val="20"/>
                <w:color w:val="auto"/>
              </w:rPr>
            </w:pPr>
            <w:r>
              <w:rPr>
                <w:rFonts w:ascii="Arial" w:cs="Arial" w:eastAsia="Arial" w:hAnsi="Arial"/>
                <w:sz w:val="16"/>
                <w:szCs w:val="16"/>
                <w:color w:val="auto"/>
                <w:w w:val="93"/>
              </w:rPr>
              <w:t>6/11/20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12"/>
          </w:tcPr>
          <w:p>
            <w:pPr>
              <w:spacing w:after="0" w:line="183" w:lineRule="exact"/>
              <w:rPr>
                <w:rFonts w:ascii="Arial" w:cs="Arial" w:eastAsia="Arial" w:hAnsi="Arial"/>
                <w:sz w:val="16"/>
                <w:szCs w:val="16"/>
                <w:color w:val="0000FF"/>
                <w:w w:val="98"/>
              </w:rPr>
            </w:pPr>
            <w:hyperlink r:id="rId221">
              <w:r>
                <w:rPr>
                  <w:rFonts w:ascii="Arial" w:cs="Arial" w:eastAsia="Arial" w:hAnsi="Arial"/>
                  <w:sz w:val="16"/>
                  <w:szCs w:val="16"/>
                  <w:color w:val="0000FF"/>
                  <w:w w:val="98"/>
                </w:rPr>
                <w:t>Stock Transfer &amp; Trust Company and Hudson Executive Investment Corp.</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7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8"/>
                <w:szCs w:val="18"/>
                <w:color w:val="auto"/>
              </w:rPr>
            </w:pPr>
          </w:p>
        </w:tc>
        <w:tc>
          <w:tcPr>
            <w:tcW w:w="5160" w:type="dxa"/>
            <w:vAlign w:val="bottom"/>
            <w:gridSpan w:val="12"/>
          </w:tcPr>
          <w:p>
            <w:pPr>
              <w:spacing w:after="0"/>
              <w:rPr>
                <w:rFonts w:ascii="Arial" w:cs="Arial" w:eastAsia="Arial" w:hAnsi="Arial"/>
                <w:sz w:val="16"/>
                <w:szCs w:val="16"/>
                <w:color w:val="0000FF"/>
              </w:rPr>
            </w:pPr>
            <w:hyperlink r:id="rId222">
              <w:r>
                <w:rPr>
                  <w:rFonts w:ascii="Arial" w:cs="Arial" w:eastAsia="Arial" w:hAnsi="Arial"/>
                  <w:sz w:val="16"/>
                  <w:szCs w:val="16"/>
                  <w:color w:val="0000FF"/>
                </w:rPr>
                <w:t>Specimen Warrant Certificate of the Registrant.</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S-1</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333-238583</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1"/>
              <w:spacing w:after="0"/>
              <w:rPr>
                <w:sz w:val="20"/>
                <w:szCs w:val="20"/>
                <w:color w:val="auto"/>
              </w:rPr>
            </w:pPr>
            <w:r>
              <w:rPr>
                <w:rFonts w:ascii="Arial" w:cs="Arial" w:eastAsia="Arial" w:hAnsi="Arial"/>
                <w:sz w:val="16"/>
                <w:szCs w:val="16"/>
                <w:color w:val="auto"/>
                <w:w w:val="94"/>
              </w:rPr>
              <w:t>6/5/20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20"/>
                <w:szCs w:val="20"/>
                <w:color w:val="auto"/>
              </w:rPr>
            </w:pPr>
          </w:p>
        </w:tc>
        <w:tc>
          <w:tcPr>
            <w:tcW w:w="5160" w:type="dxa"/>
            <w:vAlign w:val="bottom"/>
            <w:gridSpan w:val="12"/>
          </w:tcPr>
          <w:p>
            <w:pPr>
              <w:spacing w:after="0"/>
              <w:rPr>
                <w:rFonts w:ascii="Arial" w:cs="Arial" w:eastAsia="Arial" w:hAnsi="Arial"/>
                <w:sz w:val="16"/>
                <w:szCs w:val="16"/>
                <w:color w:val="0000FF"/>
              </w:rPr>
            </w:pPr>
            <w:hyperlink r:id="rId223">
              <w:r>
                <w:rPr>
                  <w:rFonts w:ascii="Arial" w:cs="Arial" w:eastAsia="Arial" w:hAnsi="Arial"/>
                  <w:sz w:val="16"/>
                  <w:szCs w:val="16"/>
                  <w:color w:val="0000FF"/>
                </w:rPr>
                <w:t>Specimen Common Stock Certificate.</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S-4</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333-252638</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4.5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1"/>
              <w:spacing w:after="0"/>
              <w:rPr>
                <w:sz w:val="20"/>
                <w:szCs w:val="20"/>
                <w:color w:val="auto"/>
              </w:rPr>
            </w:pPr>
            <w:r>
              <w:rPr>
                <w:rFonts w:ascii="Arial" w:cs="Arial" w:eastAsia="Arial" w:hAnsi="Arial"/>
                <w:sz w:val="16"/>
                <w:szCs w:val="16"/>
                <w:color w:val="auto"/>
                <w:w w:val="93"/>
              </w:rPr>
              <w:t>5/20/21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tcBorders>
              <w:left w:val="single" w:sz="8" w:color="0000FF"/>
            </w:tcBorders>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920" w:type="dxa"/>
            <w:vAlign w:val="bottom"/>
          </w:tcPr>
          <w:p>
            <w:pPr>
              <w:ind w:left="20"/>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0"/>
                <w:szCs w:val="20"/>
                <w:color w:val="auto"/>
              </w:rPr>
            </w:pPr>
          </w:p>
        </w:tc>
        <w:tc>
          <w:tcPr>
            <w:tcW w:w="5160" w:type="dxa"/>
            <w:vAlign w:val="bottom"/>
            <w:gridSpan w:val="12"/>
          </w:tcPr>
          <w:p>
            <w:pPr>
              <w:spacing w:after="0"/>
              <w:rPr>
                <w:rFonts w:ascii="Arial" w:cs="Arial" w:eastAsia="Arial" w:hAnsi="Arial"/>
                <w:sz w:val="16"/>
                <w:szCs w:val="16"/>
                <w:color w:val="0000FF"/>
              </w:rPr>
            </w:pPr>
            <w:hyperlink r:id="rId224">
              <w:r>
                <w:rPr>
                  <w:rFonts w:ascii="Arial" w:cs="Arial" w:eastAsia="Arial" w:hAnsi="Arial"/>
                  <w:sz w:val="16"/>
                  <w:szCs w:val="16"/>
                  <w:color w:val="0000FF"/>
                </w:rPr>
                <w:t>2021 Incentive Award Plan.</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S-8</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333-259165</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99.1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1"/>
              <w:spacing w:after="0"/>
              <w:rPr>
                <w:sz w:val="20"/>
                <w:szCs w:val="20"/>
                <w:color w:val="auto"/>
              </w:rPr>
            </w:pPr>
            <w:r>
              <w:rPr>
                <w:rFonts w:ascii="Arial" w:cs="Arial" w:eastAsia="Arial" w:hAnsi="Arial"/>
                <w:sz w:val="16"/>
                <w:szCs w:val="16"/>
                <w:color w:val="auto"/>
                <w:w w:val="93"/>
              </w:rPr>
              <w:t>8/30/21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20"/>
                <w:szCs w:val="20"/>
                <w:color w:val="auto"/>
              </w:rPr>
            </w:pPr>
          </w:p>
        </w:tc>
        <w:tc>
          <w:tcPr>
            <w:tcW w:w="5160" w:type="dxa"/>
            <w:vAlign w:val="bottom"/>
            <w:gridSpan w:val="12"/>
          </w:tcPr>
          <w:p>
            <w:pPr>
              <w:spacing w:after="0"/>
              <w:rPr>
                <w:rFonts w:ascii="Arial" w:cs="Arial" w:eastAsia="Arial" w:hAnsi="Arial"/>
                <w:sz w:val="16"/>
                <w:szCs w:val="16"/>
                <w:color w:val="0000FF"/>
              </w:rPr>
            </w:pPr>
            <w:hyperlink r:id="rId225">
              <w:r>
                <w:rPr>
                  <w:rFonts w:ascii="Arial" w:cs="Arial" w:eastAsia="Arial" w:hAnsi="Arial"/>
                  <w:sz w:val="16"/>
                  <w:szCs w:val="16"/>
                  <w:color w:val="0000FF"/>
                </w:rPr>
                <w:t>2021 Employee Stock Purchase Plan.</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S-8</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333-259165</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99.2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1"/>
              <w:spacing w:after="0"/>
              <w:rPr>
                <w:sz w:val="20"/>
                <w:szCs w:val="20"/>
                <w:color w:val="auto"/>
              </w:rPr>
            </w:pPr>
            <w:r>
              <w:rPr>
                <w:rFonts w:ascii="Arial" w:cs="Arial" w:eastAsia="Arial" w:hAnsi="Arial"/>
                <w:sz w:val="16"/>
                <w:szCs w:val="16"/>
                <w:color w:val="auto"/>
                <w:w w:val="93"/>
              </w:rPr>
              <w:t>8/30/21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20"/>
                <w:szCs w:val="20"/>
                <w:color w:val="auto"/>
              </w:rPr>
            </w:pPr>
          </w:p>
        </w:tc>
        <w:tc>
          <w:tcPr>
            <w:tcW w:w="5160" w:type="dxa"/>
            <w:vAlign w:val="bottom"/>
            <w:gridSpan w:val="12"/>
          </w:tcPr>
          <w:p>
            <w:pPr>
              <w:spacing w:after="0"/>
              <w:rPr>
                <w:rFonts w:ascii="Arial" w:cs="Arial" w:eastAsia="Arial" w:hAnsi="Arial"/>
                <w:sz w:val="16"/>
                <w:szCs w:val="16"/>
                <w:color w:val="0000FF"/>
              </w:rPr>
            </w:pPr>
            <w:hyperlink r:id="rId226">
              <w:r>
                <w:rPr>
                  <w:rFonts w:ascii="Arial" w:cs="Arial" w:eastAsia="Arial" w:hAnsi="Arial"/>
                  <w:sz w:val="16"/>
                  <w:szCs w:val="16"/>
                  <w:color w:val="0000FF"/>
                </w:rPr>
                <w:t>2014 Stock Incentive Plan.</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S-8</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333-259165</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99.3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1"/>
              <w:spacing w:after="0"/>
              <w:rPr>
                <w:sz w:val="20"/>
                <w:szCs w:val="20"/>
                <w:color w:val="auto"/>
              </w:rPr>
            </w:pPr>
            <w:r>
              <w:rPr>
                <w:rFonts w:ascii="Arial" w:cs="Arial" w:eastAsia="Arial" w:hAnsi="Arial"/>
                <w:sz w:val="16"/>
                <w:szCs w:val="16"/>
                <w:color w:val="auto"/>
                <w:w w:val="93"/>
              </w:rPr>
              <w:t>8/30/21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gridSpan w:val="2"/>
            <w:shd w:val="clear" w:color="auto" w:fill="0000FF"/>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0"/>
                <w:szCs w:val="20"/>
                <w:color w:val="auto"/>
              </w:rPr>
            </w:pPr>
          </w:p>
        </w:tc>
        <w:tc>
          <w:tcPr>
            <w:tcW w:w="5160" w:type="dxa"/>
            <w:vAlign w:val="bottom"/>
            <w:gridSpan w:val="12"/>
          </w:tcPr>
          <w:p>
            <w:pPr>
              <w:spacing w:after="0"/>
              <w:rPr>
                <w:rFonts w:ascii="Arial" w:cs="Arial" w:eastAsia="Arial" w:hAnsi="Arial"/>
                <w:sz w:val="16"/>
                <w:szCs w:val="16"/>
                <w:color w:val="0000FF"/>
                <w:w w:val="94"/>
              </w:rPr>
            </w:pPr>
            <w:hyperlink w:anchor="page76">
              <w:r>
                <w:rPr>
                  <w:rFonts w:ascii="Arial" w:cs="Arial" w:eastAsia="Arial" w:hAnsi="Arial"/>
                  <w:sz w:val="16"/>
                  <w:szCs w:val="16"/>
                  <w:color w:val="0000FF"/>
                  <w:w w:val="94"/>
                </w:rPr>
                <w:t>Certification of Chief Executive Officer pursuant to Rule 13a-14(a)/15d-14(a).</w:t>
              </w:r>
            </w:hyperlink>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8"/>
                <w:szCs w:val="18"/>
                <w:color w:val="auto"/>
              </w:rPr>
            </w:pPr>
          </w:p>
        </w:tc>
        <w:tc>
          <w:tcPr>
            <w:tcW w:w="5160" w:type="dxa"/>
            <w:vAlign w:val="bottom"/>
            <w:gridSpan w:val="12"/>
          </w:tcPr>
          <w:p>
            <w:pPr>
              <w:spacing w:after="0"/>
              <w:rPr>
                <w:rFonts w:ascii="Arial" w:cs="Arial" w:eastAsia="Arial" w:hAnsi="Arial"/>
                <w:sz w:val="16"/>
                <w:szCs w:val="16"/>
                <w:color w:val="0000FF"/>
                <w:w w:val="95"/>
              </w:rPr>
            </w:pPr>
            <w:hyperlink w:anchor="page77">
              <w:r>
                <w:rPr>
                  <w:rFonts w:ascii="Arial" w:cs="Arial" w:eastAsia="Arial" w:hAnsi="Arial"/>
                  <w:sz w:val="16"/>
                  <w:szCs w:val="16"/>
                  <w:color w:val="0000FF"/>
                  <w:w w:val="95"/>
                </w:rPr>
                <w:t>Certification of Chief Financial Officer pursuant to Rule 13a-14(a)/15d-14(a).</w:t>
              </w:r>
            </w:hyperlink>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8"/>
                <w:szCs w:val="18"/>
                <w:color w:val="auto"/>
              </w:rPr>
            </w:pPr>
          </w:p>
        </w:tc>
        <w:tc>
          <w:tcPr>
            <w:tcW w:w="5160" w:type="dxa"/>
            <w:vAlign w:val="bottom"/>
            <w:gridSpan w:val="12"/>
          </w:tcPr>
          <w:p>
            <w:pPr>
              <w:spacing w:after="0"/>
              <w:rPr>
                <w:rFonts w:ascii="Arial" w:cs="Arial" w:eastAsia="Arial" w:hAnsi="Arial"/>
                <w:sz w:val="16"/>
                <w:szCs w:val="16"/>
                <w:color w:val="0000FF"/>
                <w:w w:val="96"/>
              </w:rPr>
            </w:pPr>
            <w:hyperlink w:anchor="page78">
              <w:r>
                <w:rPr>
                  <w:rFonts w:ascii="Arial" w:cs="Arial" w:eastAsia="Arial" w:hAnsi="Arial"/>
                  <w:sz w:val="16"/>
                  <w:szCs w:val="16"/>
                  <w:color w:val="0000FF"/>
                  <w:w w:val="96"/>
                </w:rPr>
                <w:t>Certification of Chief Executive Officer pursuant to 18 U.S.C. Section 1350.</w:t>
              </w:r>
            </w:hyperlink>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tcBorders>
              <w:left w:val="single" w:sz="8" w:color="0000FF"/>
            </w:tcBorders>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8"/>
                <w:szCs w:val="18"/>
                <w:color w:val="auto"/>
              </w:rPr>
            </w:pPr>
          </w:p>
        </w:tc>
        <w:tc>
          <w:tcPr>
            <w:tcW w:w="5160" w:type="dxa"/>
            <w:vAlign w:val="bottom"/>
            <w:gridSpan w:val="12"/>
          </w:tcPr>
          <w:p>
            <w:pPr>
              <w:spacing w:after="0"/>
              <w:rPr>
                <w:rFonts w:ascii="Arial" w:cs="Arial" w:eastAsia="Arial" w:hAnsi="Arial"/>
                <w:sz w:val="16"/>
                <w:szCs w:val="16"/>
                <w:color w:val="0000FF"/>
                <w:w w:val="97"/>
              </w:rPr>
            </w:pPr>
            <w:hyperlink w:anchor="page79">
              <w:r>
                <w:rPr>
                  <w:rFonts w:ascii="Arial" w:cs="Arial" w:eastAsia="Arial" w:hAnsi="Arial"/>
                  <w:sz w:val="16"/>
                  <w:szCs w:val="16"/>
                  <w:color w:val="0000FF"/>
                  <w:w w:val="97"/>
                </w:rPr>
                <w:t>Certification of Chief Financial Officer pursuant to 18 U.S.C. Section 1350.</w:t>
              </w:r>
            </w:hyperlink>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EE"/>
            </w:tcBorders>
            <w:gridSpan w:val="7"/>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40"/>
        </w:trPr>
        <w:tc>
          <w:tcPr>
            <w:tcW w:w="920" w:type="dxa"/>
            <w:vAlign w:val="bottom"/>
          </w:tcPr>
          <w:p>
            <w:pPr>
              <w:ind w:left="20"/>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0"/>
                <w:szCs w:val="20"/>
                <w:color w:val="auto"/>
              </w:rPr>
            </w:pPr>
          </w:p>
        </w:tc>
        <w:tc>
          <w:tcPr>
            <w:tcW w:w="5160" w:type="dxa"/>
            <w:vAlign w:val="bottom"/>
            <w:gridSpan w:val="12"/>
          </w:tcPr>
          <w:p>
            <w:pPr>
              <w:spacing w:after="0"/>
              <w:rPr>
                <w:sz w:val="20"/>
                <w:szCs w:val="20"/>
                <w:color w:val="auto"/>
              </w:rPr>
            </w:pPr>
            <w:r>
              <w:rPr>
                <w:rFonts w:ascii="Arial" w:cs="Arial" w:eastAsia="Arial" w:hAnsi="Arial"/>
                <w:sz w:val="16"/>
                <w:szCs w:val="16"/>
                <w:color w:val="auto"/>
                <w:w w:val="95"/>
              </w:rPr>
              <w:t>Inline XBRL Instance Document - the instance document does not appear in</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3"/>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gridSpan w:val="12"/>
          </w:tcPr>
          <w:p>
            <w:pPr>
              <w:spacing w:after="0"/>
              <w:rPr>
                <w:sz w:val="20"/>
                <w:szCs w:val="20"/>
                <w:color w:val="auto"/>
              </w:rPr>
            </w:pPr>
            <w:r>
              <w:rPr>
                <w:rFonts w:ascii="Arial" w:cs="Arial" w:eastAsia="Arial" w:hAnsi="Arial"/>
                <w:sz w:val="16"/>
                <w:szCs w:val="16"/>
                <w:color w:val="auto"/>
                <w:w w:val="93"/>
              </w:rPr>
              <w:t>the Interactive Data file because its XBRL tags are embedded within the Inline</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gridSpan w:val="12"/>
          </w:tcPr>
          <w:p>
            <w:pPr>
              <w:spacing w:after="0"/>
              <w:rPr>
                <w:sz w:val="20"/>
                <w:szCs w:val="20"/>
                <w:color w:val="auto"/>
              </w:rPr>
            </w:pPr>
            <w:r>
              <w:rPr>
                <w:rFonts w:ascii="Arial" w:cs="Arial" w:eastAsia="Arial" w:hAnsi="Arial"/>
                <w:sz w:val="16"/>
                <w:szCs w:val="16"/>
                <w:color w:val="auto"/>
              </w:rPr>
              <w:t>XBRL document.</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19"/>
                <w:szCs w:val="19"/>
                <w:color w:val="auto"/>
              </w:rPr>
            </w:pPr>
          </w:p>
        </w:tc>
        <w:tc>
          <w:tcPr>
            <w:tcW w:w="516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30"/>
        </w:trPr>
        <w:tc>
          <w:tcPr>
            <w:tcW w:w="920" w:type="dxa"/>
            <w:vAlign w:val="bottom"/>
          </w:tcPr>
          <w:p>
            <w:pPr>
              <w:ind w:left="20"/>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19"/>
                <w:szCs w:val="19"/>
                <w:color w:val="auto"/>
              </w:rPr>
            </w:pPr>
          </w:p>
        </w:tc>
        <w:tc>
          <w:tcPr>
            <w:tcW w:w="516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29"/>
        </w:trPr>
        <w:tc>
          <w:tcPr>
            <w:tcW w:w="920" w:type="dxa"/>
            <w:vAlign w:val="bottom"/>
          </w:tcPr>
          <w:p>
            <w:pPr>
              <w:ind w:left="20"/>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19"/>
                <w:szCs w:val="19"/>
                <w:color w:val="auto"/>
              </w:rPr>
            </w:pPr>
          </w:p>
        </w:tc>
        <w:tc>
          <w:tcPr>
            <w:tcW w:w="516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30"/>
        </w:trPr>
        <w:tc>
          <w:tcPr>
            <w:tcW w:w="920" w:type="dxa"/>
            <w:vAlign w:val="bottom"/>
          </w:tcPr>
          <w:p>
            <w:pPr>
              <w:ind w:left="20"/>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19"/>
                <w:szCs w:val="19"/>
                <w:color w:val="auto"/>
              </w:rPr>
            </w:pPr>
          </w:p>
        </w:tc>
        <w:tc>
          <w:tcPr>
            <w:tcW w:w="516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30"/>
        </w:trPr>
        <w:tc>
          <w:tcPr>
            <w:tcW w:w="920" w:type="dxa"/>
            <w:vAlign w:val="bottom"/>
          </w:tcPr>
          <w:p>
            <w:pPr>
              <w:ind w:left="20"/>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19"/>
                <w:szCs w:val="19"/>
                <w:color w:val="auto"/>
              </w:rPr>
            </w:pPr>
          </w:p>
        </w:tc>
        <w:tc>
          <w:tcPr>
            <w:tcW w:w="516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26"/>
        </w:trPr>
        <w:tc>
          <w:tcPr>
            <w:tcW w:w="920" w:type="dxa"/>
            <w:vAlign w:val="bottom"/>
          </w:tcPr>
          <w:p>
            <w:pPr>
              <w:ind w:left="2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9"/>
                <w:szCs w:val="19"/>
                <w:color w:val="auto"/>
              </w:rPr>
            </w:pPr>
          </w:p>
        </w:tc>
        <w:tc>
          <w:tcPr>
            <w:tcW w:w="5160" w:type="dxa"/>
            <w:vAlign w:val="bottom"/>
            <w:gridSpan w:val="12"/>
          </w:tcPr>
          <w:p>
            <w:pPr>
              <w:spacing w:after="0"/>
              <w:rPr>
                <w:sz w:val="20"/>
                <w:szCs w:val="20"/>
                <w:color w:val="auto"/>
              </w:rPr>
            </w:pPr>
            <w:r>
              <w:rPr>
                <w:rFonts w:ascii="Arial" w:cs="Arial" w:eastAsia="Arial" w:hAnsi="Arial"/>
                <w:sz w:val="16"/>
                <w:szCs w:val="16"/>
                <w:color w:val="auto"/>
                <w:w w:val="94"/>
              </w:rPr>
              <w:t>Cover Page Interactive Data File (as formatted as Inline XBRL and contained</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gridSpan w:val="12"/>
          </w:tcPr>
          <w:p>
            <w:pPr>
              <w:spacing w:after="0"/>
              <w:rPr>
                <w:sz w:val="20"/>
                <w:szCs w:val="20"/>
                <w:color w:val="auto"/>
              </w:rPr>
            </w:pPr>
            <w:r>
              <w:rPr>
                <w:rFonts w:ascii="Arial" w:cs="Arial" w:eastAsia="Arial" w:hAnsi="Arial"/>
                <w:sz w:val="16"/>
                <w:szCs w:val="16"/>
                <w:color w:val="auto"/>
              </w:rPr>
              <w:t>in Exhibit 101).</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88" w:right="4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1700"/>
              <w:spacing w:after="0"/>
              <w:rPr>
                <w:sz w:val="20"/>
                <w:szCs w:val="20"/>
                <w:color w:val="auto"/>
              </w:rPr>
            </w:pPr>
            <w:r>
              <w:rPr>
                <w:rFonts w:ascii="Arial" w:cs="Arial" w:eastAsia="Arial" w:hAnsi="Arial"/>
                <w:sz w:val="18"/>
                <w:szCs w:val="18"/>
                <w:b w:val="1"/>
                <w:bCs w:val="1"/>
                <w:color w:val="auto"/>
              </w:rPr>
              <w:t>Talkspace, Inc.</w:t>
            </w:r>
          </w:p>
        </w:tc>
      </w:tr>
      <w:tr>
        <w:trPr>
          <w:trHeight w:val="486"/>
        </w:trPr>
        <w:tc>
          <w:tcPr>
            <w:tcW w:w="364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520" w:type="dxa"/>
            <w:vAlign w:val="bottom"/>
          </w:tcPr>
          <w:p>
            <w:pPr>
              <w:ind w:left="17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Douglas Braunstein</w:t>
            </w:r>
          </w:p>
        </w:tc>
      </w:tr>
      <w:tr>
        <w:trPr>
          <w:trHeight w:val="224"/>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Douglas Braunstein</w:t>
            </w:r>
          </w:p>
        </w:tc>
      </w:tr>
      <w:tr>
        <w:trPr>
          <w:trHeight w:val="242"/>
        </w:trPr>
        <w:tc>
          <w:tcPr>
            <w:tcW w:w="36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Interim Chief Executive Officer</w:t>
            </w:r>
          </w:p>
        </w:tc>
      </w:tr>
      <w:tr>
        <w:trPr>
          <w:trHeight w:val="486"/>
        </w:trPr>
        <w:tc>
          <w:tcPr>
            <w:tcW w:w="364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520" w:type="dxa"/>
            <w:vAlign w:val="bottom"/>
          </w:tcPr>
          <w:p>
            <w:pPr>
              <w:ind w:left="17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Fulk</w:t>
            </w:r>
          </w:p>
        </w:tc>
      </w:tr>
      <w:tr>
        <w:trPr>
          <w:trHeight w:val="224"/>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Jennifer Fulk</w:t>
            </w:r>
          </w:p>
        </w:tc>
      </w:tr>
      <w:tr>
        <w:trPr>
          <w:trHeight w:val="242"/>
        </w:trPr>
        <w:tc>
          <w:tcPr>
            <w:tcW w:w="36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473"/>
        </w:trPr>
        <w:tc>
          <w:tcPr>
            <w:tcW w:w="3640" w:type="dxa"/>
            <w:vAlign w:val="bottom"/>
          </w:tcPr>
          <w:p>
            <w:pPr>
              <w:spacing w:after="0"/>
              <w:rPr>
                <w:sz w:val="24"/>
                <w:szCs w:val="24"/>
                <w:color w:val="auto"/>
              </w:rPr>
            </w:pPr>
          </w:p>
        </w:tc>
        <w:tc>
          <w:tcPr>
            <w:tcW w:w="2520" w:type="dxa"/>
            <w:vAlign w:val="bottom"/>
          </w:tcPr>
          <w:p>
            <w:pPr>
              <w:jc w:val="right"/>
              <w:ind w:right="350"/>
              <w:spacing w:after="0"/>
              <w:rPr>
                <w:sz w:val="20"/>
                <w:szCs w:val="20"/>
                <w:color w:val="auto"/>
              </w:rPr>
            </w:pPr>
            <w:r>
              <w:rPr>
                <w:rFonts w:ascii="Arial" w:cs="Arial" w:eastAsia="Arial" w:hAnsi="Arial"/>
                <w:sz w:val="18"/>
                <w:szCs w:val="18"/>
                <w:color w:val="auto"/>
              </w:rPr>
              <w:t>75</w:t>
            </w:r>
          </w:p>
        </w:tc>
        <w:tc>
          <w:tcPr>
            <w:tcW w:w="508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Douglas Braunstein, certify that:</w:t>
      </w:r>
    </w:p>
    <w:p>
      <w:pPr>
        <w:spacing w:after="0" w:line="239"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Talkspace, Inc.;</w:t>
      </w:r>
    </w:p>
    <w:p>
      <w:pPr>
        <w:spacing w:after="0" w:line="238" w:lineRule="exact"/>
        <w:rPr>
          <w:rFonts w:ascii="Arial" w:cs="Arial" w:eastAsia="Arial" w:hAnsi="Arial"/>
          <w:sz w:val="18"/>
          <w:szCs w:val="18"/>
          <w:color w:val="auto"/>
        </w:rPr>
      </w:pPr>
    </w:p>
    <w:p>
      <w:pPr>
        <w:jc w:val="both"/>
        <w:ind w:left="440" w:right="20" w:hanging="432"/>
        <w:spacing w:after="0" w:line="27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hanging="432"/>
        <w:spacing w:after="0" w:line="293"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left="440" w:hanging="432"/>
        <w:spacing w:after="0" w:line="27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960" w:hanging="443"/>
        <w:spacing w:after="0" w:line="279"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960" w:right="20" w:hanging="443"/>
        <w:spacing w:after="0" w:line="279"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960" w:hanging="443"/>
        <w:spacing w:after="0" w:line="324"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7"/>
          <w:szCs w:val="17"/>
          <w:color w:val="auto"/>
        </w:rPr>
      </w:pPr>
    </w:p>
    <w:p>
      <w:pPr>
        <w:jc w:val="both"/>
        <w:ind w:left="960" w:hanging="443"/>
        <w:spacing w:after="0" w:line="279"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hanging="432"/>
        <w:spacing w:after="0" w:line="324"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hanging="443"/>
        <w:spacing w:after="0" w:line="293"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960" w:hanging="443"/>
        <w:spacing w:after="0" w:line="293"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500" w:type="dxa"/>
            <w:vAlign w:val="bottom"/>
          </w:tcPr>
          <w:p>
            <w:pPr>
              <w:ind w:left="17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Douglas Braunstein</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Douglas Braunstein</w:t>
            </w:r>
          </w:p>
        </w:tc>
      </w:tr>
      <w:tr>
        <w:trPr>
          <w:trHeight w:val="242"/>
        </w:trPr>
        <w:tc>
          <w:tcPr>
            <w:tcW w:w="36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Interim Chief Executive Officer</w:t>
            </w:r>
          </w:p>
        </w:tc>
      </w:tr>
      <w:tr>
        <w:trPr>
          <w:trHeight w:val="587"/>
        </w:trPr>
        <w:tc>
          <w:tcPr>
            <w:tcW w:w="36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Jennifer Fulk, certify that:</w:t>
      </w:r>
    </w:p>
    <w:p>
      <w:pPr>
        <w:spacing w:after="0" w:line="239"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Form-10Q of Talkspace, Inc.;</w:t>
      </w:r>
    </w:p>
    <w:p>
      <w:pPr>
        <w:spacing w:after="0" w:line="238" w:lineRule="exact"/>
        <w:rPr>
          <w:rFonts w:ascii="Arial" w:cs="Arial" w:eastAsia="Arial" w:hAnsi="Arial"/>
          <w:sz w:val="18"/>
          <w:szCs w:val="18"/>
          <w:color w:val="auto"/>
        </w:rPr>
      </w:pPr>
    </w:p>
    <w:p>
      <w:pPr>
        <w:jc w:val="both"/>
        <w:ind w:left="440" w:right="20" w:hanging="432"/>
        <w:spacing w:after="0" w:line="279"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hanging="432"/>
        <w:spacing w:after="0" w:line="293"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left="440" w:hanging="432"/>
        <w:spacing w:after="0" w:line="279"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960" w:hanging="443"/>
        <w:spacing w:after="0" w:line="279"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960" w:right="20" w:hanging="443"/>
        <w:spacing w:after="0" w:line="279"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960" w:hanging="443"/>
        <w:spacing w:after="0" w:line="324"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7"/>
          <w:szCs w:val="17"/>
          <w:color w:val="auto"/>
        </w:rPr>
      </w:pPr>
    </w:p>
    <w:p>
      <w:pPr>
        <w:jc w:val="both"/>
        <w:ind w:left="960" w:hanging="443"/>
        <w:spacing w:after="0" w:line="279"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hanging="432"/>
        <w:spacing w:after="0" w:line="324"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hanging="443"/>
        <w:spacing w:after="0" w:line="293"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960" w:hanging="443"/>
        <w:spacing w:after="0" w:line="293"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Fulk</w:t>
            </w:r>
          </w:p>
        </w:tc>
      </w:tr>
      <w:tr>
        <w:trPr>
          <w:trHeight w:val="224"/>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Jennifer Fulk</w:t>
            </w:r>
          </w:p>
        </w:tc>
      </w:tr>
      <w:tr>
        <w:trPr>
          <w:trHeight w:val="242"/>
        </w:trPr>
        <w:tc>
          <w:tcPr>
            <w:tcW w:w="36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87"/>
        </w:trPr>
        <w:tc>
          <w:tcPr>
            <w:tcW w:w="36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Quarterly Report on Form 10-Q of Talkspace, Inc. (the “Company”) for the period ended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020" w:right="40" w:hanging="479"/>
        <w:spacing w:after="0" w:line="293"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540" w:type="dxa"/>
            <w:vAlign w:val="bottom"/>
          </w:tcPr>
          <w:p>
            <w:pPr>
              <w:ind w:left="17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Braunstein</w:t>
            </w:r>
          </w:p>
        </w:tc>
      </w:tr>
      <w:tr>
        <w:trPr>
          <w:trHeight w:val="224"/>
        </w:trPr>
        <w:tc>
          <w:tcPr>
            <w:tcW w:w="3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Douglas Braunstein</w:t>
            </w:r>
          </w:p>
        </w:tc>
      </w:tr>
      <w:tr>
        <w:trPr>
          <w:trHeight w:val="242"/>
        </w:trPr>
        <w:tc>
          <w:tcPr>
            <w:tcW w:w="36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Interim Chief Executive Officer</w:t>
            </w:r>
          </w:p>
        </w:tc>
      </w:tr>
      <w:tr>
        <w:trPr>
          <w:trHeight w:val="587"/>
        </w:trPr>
        <w:tc>
          <w:tcPr>
            <w:tcW w:w="36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Quarterly Report on Form 10-Q of Talkspace, Inc. (the “Company”) for the period ended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020" w:right="40" w:hanging="479"/>
        <w:spacing w:after="0" w:line="293"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Fulk</w:t>
            </w:r>
          </w:p>
        </w:tc>
      </w:tr>
      <w:tr>
        <w:trPr>
          <w:trHeight w:val="224"/>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Jennifer Fulk</w:t>
            </w:r>
          </w:p>
        </w:tc>
      </w:tr>
      <w:tr>
        <w:trPr>
          <w:trHeight w:val="242"/>
        </w:trPr>
        <w:tc>
          <w:tcPr>
            <w:tcW w:w="36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03"/>
        </w:trPr>
        <w:tc>
          <w:tcPr>
            <w:tcW w:w="36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o"/>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Roman"/>
      <w:start w:val="2"/>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18" Type="http://schemas.openxmlformats.org/officeDocument/2006/relationships/hyperlink" Target="https://www.sec.gov/Archives/edgar/data/1803901/000119312521025013/d119648ds4.htm" TargetMode="External"/><Relationship Id="rId219" Type="http://schemas.openxmlformats.org/officeDocument/2006/relationships/hyperlink" Target="https://www.sec.gov/Archives/edgar/data/1803901/000119312521197385/d182715dex31.htm" TargetMode="External"/><Relationship Id="rId220" Type="http://schemas.openxmlformats.org/officeDocument/2006/relationships/hyperlink" Target="https://www.sec.gov/Archives/edgar/data/1803901/000119312521197385/d182715dex32.htm" TargetMode="External"/><Relationship Id="rId221" Type="http://schemas.openxmlformats.org/officeDocument/2006/relationships/hyperlink" Target="https://www.sec.gov/Archives/edgar/data/1803901/000119312520166711/d937996dex41.htm" TargetMode="External"/><Relationship Id="rId222" Type="http://schemas.openxmlformats.org/officeDocument/2006/relationships/hyperlink" Target="https://www.sec.gov/Archives/edgar/data/1803901/000119312520161434/d846732dex43.htm" TargetMode="External"/><Relationship Id="rId223" Type="http://schemas.openxmlformats.org/officeDocument/2006/relationships/hyperlink" Target="https://www.sec.gov/Archives/edgar/data/1803901/000119312521167533/d119648dex45.htm" TargetMode="External"/><Relationship Id="rId224" Type="http://schemas.openxmlformats.org/officeDocument/2006/relationships/hyperlink" Target="https://www.sec.gov/Archives/edgar/data/1803901/000119312521260654/d552255dex991.htm" TargetMode="External"/><Relationship Id="rId225" Type="http://schemas.openxmlformats.org/officeDocument/2006/relationships/hyperlink" Target="https://www.sec.gov/Archives/edgar/data/1803901/000119312521260654/d552255dex992.htm" TargetMode="External"/><Relationship Id="rId226" Type="http://schemas.openxmlformats.org/officeDocument/2006/relationships/hyperlink" Target="https://www.sec.gov/Archives/edgar/data/1803901/000119312521260654/d552255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2021-11-15T16:53:41Z</dcterms:created>
  <dcterms:modified xsi:type="dcterms:W3CDTF">2021-11-15T16:53:41Z</dcterms:modified>
</cp:coreProperties>
</file>