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333-257686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12, 2021)</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 FOR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118,770,425 SHARES OF COMMON STOCK 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12,780,000 WARRANTS TO PURCHASE SHARES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33,480,000 SHARES OF COMMON STOCK UNDERLYING WARRANTS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TALKSPACE, INC.</w:t>
      </w:r>
    </w:p>
    <w:p>
      <w:pPr>
        <w:spacing w:after="0" w:line="211" w:lineRule="exact"/>
        <w:rPr>
          <w:sz w:val="24"/>
          <w:szCs w:val="24"/>
          <w:color w:val="auto"/>
        </w:rPr>
      </w:pPr>
    </w:p>
    <w:p>
      <w:pPr>
        <w:jc w:val="both"/>
        <w:ind w:right="160"/>
        <w:spacing w:after="0" w:line="263" w:lineRule="auto"/>
        <w:rPr>
          <w:sz w:val="20"/>
          <w:szCs w:val="20"/>
          <w:color w:val="auto"/>
        </w:rPr>
      </w:pPr>
      <w:r>
        <w:rPr>
          <w:rFonts w:ascii="Arial" w:cs="Arial" w:eastAsia="Arial" w:hAnsi="Arial"/>
          <w:sz w:val="18"/>
          <w:szCs w:val="18"/>
          <w:color w:val="auto"/>
        </w:rPr>
        <w:t>This prospectus supplement updates, amends and supplements the prospectus dated July 12, 2021 (as supplemented or amended from time to time, the “Prospectus”), which forms a part of our Registration Statement on Form S-1 (Registration No. 333-257686). Capitalized terms used in this prospectus supplement and not otherwise defined herein have the meanings specified in the Prospectus.</w:t>
      </w:r>
    </w:p>
    <w:p>
      <w:pPr>
        <w:spacing w:after="0" w:line="184"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This prospectus supplement is being filed to update, amend and supplement the information included in the Prospectus with the information contained or incorporated by reference in our Current Report on Form 8-K filed with the Securities and Exchange Commission on July 21, 2021, which is set forth below.</w:t>
      </w:r>
    </w:p>
    <w:p>
      <w:pPr>
        <w:spacing w:after="0" w:line="184"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Talkspace, Inc.’s common stock and warrants are quoted on the Nasdaq Global Select Market under the symbols “TALK” and “TALKW,” respectively.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On July 20, 2021, the closing prices of our common stock and warrants were $6.26 and $1.34, respectively.</w:t>
      </w:r>
    </w:p>
    <w:p>
      <w:pPr>
        <w:spacing w:after="0" w:line="207" w:lineRule="exact"/>
        <w:rPr>
          <w:sz w:val="24"/>
          <w:szCs w:val="24"/>
          <w:color w:val="auto"/>
        </w:rPr>
      </w:pPr>
    </w:p>
    <w:p>
      <w:pPr>
        <w:ind w:right="1000"/>
        <w:spacing w:after="0" w:line="282" w:lineRule="auto"/>
        <w:rPr>
          <w:sz w:val="20"/>
          <w:szCs w:val="20"/>
          <w:color w:val="auto"/>
        </w:rPr>
      </w:pPr>
      <w:r>
        <w:rPr>
          <w:rFonts w:ascii="Arial" w:cs="Arial" w:eastAsia="Arial" w:hAnsi="Arial"/>
          <w:sz w:val="18"/>
          <w:szCs w:val="18"/>
          <w:b w:val="1"/>
          <w:bCs w:val="1"/>
          <w:color w:val="auto"/>
        </w:rPr>
        <w:t>INVESTING IN OUR SECURITIES INVOLVES CERTAIN RISKS. SEE “RISK FACTORS” BEGINNING ON PAGE 5 OF THE PROSPECTUS.</w:t>
      </w:r>
    </w:p>
    <w:p>
      <w:pPr>
        <w:spacing w:after="0" w:line="162" w:lineRule="exact"/>
        <w:rPr>
          <w:sz w:val="24"/>
          <w:szCs w:val="24"/>
          <w:color w:val="auto"/>
        </w:rPr>
      </w:pPr>
    </w:p>
    <w:p>
      <w:pPr>
        <w:ind w:right="320"/>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July 21, 2021</w:t>
      </w:r>
    </w:p>
    <w:p>
      <w:pPr>
        <w:sectPr>
          <w:pgSz w:w="11900" w:h="16838" w:orient="portrait"/>
          <w:cols w:equalWidth="0" w:num="1">
            <w:col w:w="11020"/>
          </w:cols>
          <w:pgMar w:left="440" w:top="229" w:right="43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Talkspace, Inc.</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00"/>
        <w:spacing w:after="0"/>
        <w:rPr>
          <w:sz w:val="20"/>
          <w:szCs w:val="20"/>
          <w:color w:val="auto"/>
        </w:rPr>
      </w:pPr>
      <w:r>
        <w:rPr>
          <w:rFonts w:ascii="Arial" w:cs="Arial" w:eastAsia="Arial" w:hAnsi="Arial"/>
          <w:sz w:val="16"/>
          <w:szCs w:val="16"/>
          <w:b w:val="1"/>
          <w:bCs w:val="1"/>
          <w:color w:val="auto"/>
        </w:rPr>
        <w:t>001-39314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84-4636604</w:t>
      </w:r>
    </w:p>
    <w:p>
      <w:pPr>
        <w:spacing w:after="0" w:line="31" w:lineRule="exact"/>
        <w:rPr>
          <w:sz w:val="20"/>
          <w:szCs w:val="20"/>
          <w:color w:val="auto"/>
        </w:rPr>
      </w:pPr>
    </w:p>
    <w:p>
      <w:pPr>
        <w:sectPr>
          <w:pgSz w:w="11900" w:h="16838" w:orient="portrait"/>
          <w:cols w:equalWidth="0" w:num="3">
            <w:col w:w="4504" w:space="720"/>
            <w:col w:w="2880" w:space="720"/>
            <w:col w:w="2200"/>
          </w:cols>
          <w:pgMar w:left="436" w:top="409" w:right="439" w:bottom="1440" w:gutter="0" w:footer="0" w:header="0"/>
          <w:type w:val="continuous"/>
        </w:sectPr>
      </w:pPr>
    </w:p>
    <w:p>
      <w:pPr>
        <w:spacing w:after="0" w:line="12" w:lineRule="exact"/>
        <w:rPr>
          <w:sz w:val="20"/>
          <w:szCs w:val="20"/>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0"/>
          <w:szCs w:val="20"/>
          <w:color w:val="auto"/>
        </w:rPr>
      </w:pPr>
    </w:p>
    <w:p>
      <w:pPr>
        <w:sectPr>
          <w:pgSz w:w="11900" w:h="16838" w:orient="portrait"/>
          <w:cols w:equalWidth="0" w:num="3">
            <w:col w:w="4484" w:space="720"/>
            <w:col w:w="2760" w:space="720"/>
            <w:col w:w="2340"/>
          </w:cols>
          <w:pgMar w:left="436" w:top="409" w:right="439" w:bottom="1440" w:gutter="0" w:footer="0" w:header="0"/>
          <w:type w:val="continuous"/>
        </w:sectPr>
      </w:pPr>
    </w:p>
    <w:p>
      <w:pPr>
        <w:spacing w:after="0" w:line="32" w:lineRule="exact"/>
        <w:rPr>
          <w:sz w:val="20"/>
          <w:szCs w:val="20"/>
          <w:color w:val="auto"/>
        </w:rPr>
      </w:pPr>
    </w:p>
    <w:p>
      <w:pPr>
        <w:ind w:left="1844"/>
        <w:spacing w:after="0"/>
        <w:rPr>
          <w:sz w:val="20"/>
          <w:szCs w:val="20"/>
          <w:color w:val="auto"/>
        </w:rPr>
      </w:pPr>
      <w:r>
        <w:rPr>
          <w:rFonts w:ascii="Arial" w:cs="Arial" w:eastAsia="Arial" w:hAnsi="Arial"/>
          <w:sz w:val="16"/>
          <w:szCs w:val="16"/>
          <w:b w:val="1"/>
          <w:bCs w:val="1"/>
          <w:color w:val="auto"/>
        </w:rPr>
        <w:t>Address Not Applicable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Not Applicable</w:t>
      </w:r>
    </w:p>
    <w:p>
      <w:pPr>
        <w:spacing w:after="0" w:line="50" w:lineRule="exact"/>
        <w:rPr>
          <w:sz w:val="20"/>
          <w:szCs w:val="20"/>
          <w:color w:val="auto"/>
        </w:rPr>
      </w:pPr>
    </w:p>
    <w:p>
      <w:pPr>
        <w:sectPr>
          <w:pgSz w:w="11900" w:h="16838" w:orient="portrait"/>
          <w:cols w:equalWidth="0" w:num="2">
            <w:col w:w="6684" w:space="720"/>
            <w:col w:w="3620"/>
          </w:cols>
          <w:pgMar w:left="436" w:top="409" w:right="439" w:bottom="1440" w:gutter="0" w:footer="0" w:header="0"/>
          <w:type w:val="continuous"/>
        </w:sectPr>
      </w:pPr>
    </w:p>
    <w:p>
      <w:pPr>
        <w:ind w:left="156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0"/>
          <w:szCs w:val="20"/>
          <w:color w:val="auto"/>
        </w:rPr>
      </w:pPr>
    </w:p>
    <w:p>
      <w:pPr>
        <w:sectPr>
          <w:pgSz w:w="11900" w:h="16838" w:orient="portrait"/>
          <w:cols w:equalWidth="0" w:num="2">
            <w:col w:w="7264" w:space="720"/>
            <w:col w:w="3040"/>
          </w:cols>
          <w:pgMar w:left="436" w:top="409"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(212) 284-7206</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Hudson Executive Investment Corp.</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570 Lexington Avenue, 35th Floor</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New York, New York 10022</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0"/>
          <w:szCs w:val="20"/>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TALK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Warrants to purchase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TALKW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0"/>
          <w:szCs w:val="20"/>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type w:val="continuous"/>
        </w:sectPr>
      </w:pPr>
    </w:p>
    <w:bookmarkStart w:id="2" w:name="page3"/>
    <w:bookmarkEnd w:id="2"/>
    <w:p>
      <w:pP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July 15, 2021, the Board of Directors (the “Board”) of Talkspace, Inc. (the “Company”) appointed Jennifer Fulk as Chief Financial Officer of the Company, effective July 26, 2021 (the “Effective Date”). Ms. Fulk will succeed Mark Hirschhorn, who on July 15, 2021 resigned from the position of Chief Financial Officer effective July 26, 2021. In her role as Chief Financial Officer, Ms. Fulk will assume the duties of principal financial officer and principal accounting officer of the Company. Mr. Hirschhorn will continue to serve as the Company’s President and Chief Operating Officer. In connection with Mr. Hirschhorn’s new role, subject to approval of the Compensation Committee of the Board, Mr. Hirschhorn’s salary is expected to be increased to $425,000 annually, effective July 26, 2021.</w:t>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Ms. Fulk, 44, previously served as Chief Financial Officer, U.S. Bio-Medicines at Eli Lilly and Company from June 2019 to July 2021. Prior to June 2019, Ms. Fulk served in various other roles during her 15-plus year career at Eli Lilly and Company, including as Senior Director, Investor Relations, from October 2018 to June 2019, Chief Financial Officer, North America, Elanco, from October 2016 to October 2018 and Senior Director, Global Finance and Integration, Elanco, from September 2014 to October 2016. Ms. Fulk received her Bachelor of Science in Information Systems and her Masters of Business Administration from Indiana University.</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Ms. Fulk’s appointment, the Company entered into an employment letter agreement with Ms. Fulk (the “Employment Agreement”) under which Ms. Fulk will report directly to the Company’s Chief Executive Officer. As provided in the Employment Agreement, Ms. Fulk is entitled to an annual base salary of $400,000, subject to adjustment from time to time in the discretion of the Company, and is eligible to receive an annual performance-based bonus targeted at 100% of her base salary and based on the achievement of individual and corporate objectives determined by the Company on an annual basis. In addition, Ms. Fulk will be eligible to receive an additional bonus of up to 100% of her base salary based upon achievement of maximum goals pursuant to the Company’s strategic scorecard. Ms. Fulk’s minimum bonus for 2021 will equal at 50% of her base salary. Ms. Fulk also is eligible to participate in the Company’s standard employee benefit programs.</w:t>
      </w:r>
    </w:p>
    <w:p>
      <w:pPr>
        <w:spacing w:after="0" w:line="17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Pursuant to the Employment Agreement, Ms. Fulk will, subject to the approval of the Company’s board of directors or its compensation committee, receive a restricted stock unit (“RSU”) award covering 123,150 shares of Company common stock and a stock option to purchase 492,600 shares of the Company’s common stock. Each of the RSU award and stock option shall each vest as to 25% of the underlying shares on the first anniversary of the applicable grant date and as to the remaining 75% in 12 substantially equal installments on the first 12 quarterly anniversaries of the applicable grant date thereafter, subject to Ms. Fulk’s continued service with the Company though each such vesting date.</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Ms. Fulk’s Employment Agreement contains customary invention assignment and confidentiality provisions, as well as a 12 month post-employment non-compete and non-solicit obligation. In the event of a qualifying termination, Ms. Fulk will be entitled to receive certain severance benefits under the Company’s Executive Severance Plan, subject to her execution and non-revocation of a release of claims.</w:t>
      </w:r>
    </w:p>
    <w:p>
      <w:pPr>
        <w:sectPr>
          <w:pgSz w:w="11900" w:h="16838" w:orient="portrait"/>
          <w:cols w:equalWidth="0" w:num="1">
            <w:col w:w="10980"/>
          </w:cols>
          <w:pgMar w:left="440" w:top="27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Arial" w:cs="Arial" w:eastAsia="Arial" w:hAnsi="Arial"/>
                <w:sz w:val="18"/>
                <w:szCs w:val="18"/>
                <w:color w:val="auto"/>
              </w:rPr>
              <w:t>Talkspace, Inc.</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July 21, 2021</w:t>
            </w:r>
          </w:p>
        </w:tc>
        <w:tc>
          <w:tcPr>
            <w:tcW w:w="2700" w:type="dxa"/>
            <w:vAlign w:val="bottom"/>
          </w:tcPr>
          <w:p>
            <w:pPr>
              <w:ind w:left="20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Hirschhorn</w:t>
            </w:r>
          </w:p>
        </w:tc>
      </w:tr>
      <w:tr>
        <w:trPr>
          <w:trHeight w:val="209"/>
        </w:trPr>
        <w:tc>
          <w:tcPr>
            <w:tcW w:w="346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Mark Hirschhorn</w:t>
            </w:r>
          </w:p>
        </w:tc>
      </w:tr>
      <w:tr>
        <w:trPr>
          <w:trHeight w:val="230"/>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2021-07-21T06:37:58Z</dcterms:created>
  <dcterms:modified xsi:type="dcterms:W3CDTF">2021-07-21T06:37:58Z</dcterms:modified>
</cp:coreProperties>
</file>