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80" w:hanging="459"/>
        <w:spacing w:after="0" w:line="205" w:lineRule="auto"/>
        <w:tabs>
          <w:tab w:leader="none" w:pos="480" w:val="left"/>
        </w:tabs>
        <w:numPr>
          <w:ilvl w:val="0"/>
          <w:numId w:val="1"/>
        </w:numPr>
        <w:rPr>
          <w:rFonts w:ascii="MS PGothic" w:cs="MS PGothic" w:eastAsia="MS PGothic" w:hAnsi="MS PGothic"/>
          <w:sz w:val="31"/>
          <w:szCs w:val="31"/>
          <w:color w:val="auto"/>
          <w:highlight w:val="black"/>
          <w:vertAlign w:val="superscript"/>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80" w:right="240" w:hanging="459"/>
        <w:spacing w:after="0" w:line="220" w:lineRule="auto"/>
        <w:tabs>
          <w:tab w:leader="none" w:pos="480" w:val="left"/>
        </w:tabs>
        <w:numPr>
          <w:ilvl w:val="0"/>
          <w:numId w:val="2"/>
        </w:numPr>
        <w:rPr>
          <w:rFonts w:ascii="MS PGothic" w:cs="MS PGothic" w:eastAsia="MS PGothic" w:hAnsi="MS PGothic"/>
          <w:sz w:val="32"/>
          <w:szCs w:val="32"/>
          <w:color w:val="auto"/>
          <w:highlight w:val="black"/>
          <w:vertAlign w:val="super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19" w:lineRule="exact"/>
        <w:rPr>
          <w:sz w:val="24"/>
          <w:szCs w:val="24"/>
          <w:color w:val="auto"/>
        </w:rPr>
      </w:pPr>
    </w:p>
    <w:p>
      <w:pPr>
        <w:ind w:left="402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TALKSPACE, INC.</w:t>
      </w:r>
    </w:p>
    <w:p>
      <w:pPr>
        <w:sectPr>
          <w:pgSz w:w="11900" w:h="16838" w:orient="portrait"/>
          <w:cols w:equalWidth="0" w:num="1">
            <w:col w:w="11240"/>
          </w:cols>
          <w:pgMar w:left="320" w:top="877" w:right="339" w:bottom="1440" w:gutter="0" w:footer="0" w:header="0"/>
        </w:sectPr>
      </w:pPr>
    </w:p>
    <w:p>
      <w:pPr>
        <w:spacing w:after="0" w:line="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84-4636604</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sectPr>
          <w:pgSz w:w="11900" w:h="16838" w:orient="portrait"/>
          <w:cols w:equalWidth="0" w:num="2">
            <w:col w:w="7460" w:space="400"/>
            <w:col w:w="3380"/>
          </w:cols>
          <w:pgMar w:left="320" w:top="877" w:right="339" w:bottom="1440" w:gutter="0" w:footer="0" w:header="0"/>
          <w:type w:val="continuous"/>
        </w:sectPr>
      </w:pPr>
    </w:p>
    <w:tbl>
      <w:tblPr>
        <w:tblLayout w:type="fixed"/>
        <w:tblInd w:w="1480" w:type="dxa"/>
        <w:tblCellMar>
          <w:top w:w="0" w:type="dxa"/>
          <w:left w:w="0" w:type="dxa"/>
          <w:bottom w:w="0" w:type="dxa"/>
          <w:right w:w="0" w:type="dxa"/>
        </w:tblCellMar>
      </w:tblPr>
      <w:tr>
        <w:trPr>
          <w:trHeight w:val="227"/>
        </w:trPr>
        <w:tc>
          <w:tcPr>
            <w:tcW w:w="462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rPr>
              <w:t>622 Third Avenue, New York, NY</w:t>
            </w:r>
          </w:p>
        </w:tc>
        <w:tc>
          <w:tcPr>
            <w:tcW w:w="266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0"/>
        </w:trPr>
        <w:tc>
          <w:tcPr>
            <w:tcW w:w="462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2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23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TALK</w:t>
            </w:r>
          </w:p>
        </w:tc>
        <w:tc>
          <w:tcPr>
            <w:tcW w:w="100" w:type="dxa"/>
            <w:vAlign w:val="bottom"/>
          </w:tcPr>
          <w:p>
            <w:pPr>
              <w:spacing w:after="0"/>
              <w:rPr>
                <w:sz w:val="16"/>
                <w:szCs w:val="16"/>
                <w:color w:val="auto"/>
              </w:rPr>
            </w:pPr>
          </w:p>
        </w:tc>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TALKW</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(Title of class)</w:t>
      </w:r>
    </w:p>
    <w:p>
      <w:pPr>
        <w:spacing w:after="0" w:line="151" w:lineRule="exact"/>
        <w:rPr>
          <w:sz w:val="24"/>
          <w:szCs w:val="24"/>
          <w:color w:val="auto"/>
        </w:rPr>
      </w:pPr>
    </w:p>
    <w:p>
      <w:pPr>
        <w:ind w:right="1520"/>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6"/>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03"/>
        </w:trPr>
        <w:tc>
          <w:tcPr>
            <w:tcW w:w="2120" w:type="dxa"/>
            <w:vAlign w:val="bottom"/>
            <w:vMerge w:val="continue"/>
          </w:tcPr>
          <w:p>
            <w:pPr>
              <w:spacing w:after="0"/>
              <w:rPr>
                <w:sz w:val="8"/>
                <w:szCs w:val="8"/>
                <w:color w:val="auto"/>
              </w:rPr>
            </w:pPr>
          </w:p>
        </w:tc>
        <w:tc>
          <w:tcPr>
            <w:tcW w:w="3420" w:type="dxa"/>
            <w:vAlign w:val="bottom"/>
            <w:vMerge w:val="continue"/>
          </w:tcPr>
          <w:p>
            <w:pPr>
              <w:spacing w:after="0"/>
              <w:rPr>
                <w:sz w:val="8"/>
                <w:szCs w:val="8"/>
                <w:color w:val="auto"/>
              </w:rPr>
            </w:pPr>
          </w:p>
        </w:tc>
        <w:tc>
          <w:tcPr>
            <w:tcW w:w="52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tabs>
          <w:tab w:leader="none" w:pos="83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common stock held by non-affiliates of the Company on June 30, 2024 was $326.2 million based on the per share closing price of the Company's common stock on June 30, 2024 of $2.30.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on March 10, 2025 was 168,437,252.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Portions of the Company's definitive Proxy Statement for the 2025 Annual Meeting of Stockholders to be filed by the Company pursuant to Regulation 14A are incorporated by reference in Part III of this Annual Report on Form 10-K to the extent stated herein. Such Proxy Statement will be filed with the Securities and Exchange Commission within 120 days of the Company's fiscal year ended December 31,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Pr>
          <w:p>
            <w:pPr>
              <w:ind w:left="600"/>
              <w:spacing w:after="0"/>
              <w:rPr>
                <w:sz w:val="20"/>
                <w:szCs w:val="20"/>
                <w:color w:val="auto"/>
              </w:rPr>
            </w:pPr>
            <w:r>
              <w:rPr>
                <w:rFonts w:ascii="Times New Roman" w:cs="Times New Roman" w:eastAsia="Times New Roman" w:hAnsi="Times New Roman"/>
                <w:sz w:val="15"/>
                <w:szCs w:val="15"/>
                <w:b w:val="1"/>
                <w:bCs w:val="1"/>
                <w:color w:val="auto"/>
              </w:rPr>
              <w:t xml:space="preserve">PCAOB ID: </w:t>
            </w:r>
            <w:r>
              <w:rPr>
                <w:rFonts w:ascii="Times New Roman" w:cs="Times New Roman" w:eastAsia="Times New Roman" w:hAnsi="Times New Roman"/>
                <w:sz w:val="15"/>
                <w:szCs w:val="15"/>
                <w:color w:val="auto"/>
              </w:rPr>
              <w:t>1281</w:t>
            </w:r>
          </w:p>
        </w:tc>
        <w:tc>
          <w:tcPr>
            <w:tcW w:w="5100" w:type="dxa"/>
            <w:vAlign w:val="bottom"/>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Auditor Name:   </w:t>
            </w:r>
            <w:r>
              <w:rPr>
                <w:rFonts w:ascii="Times New Roman" w:cs="Times New Roman" w:eastAsia="Times New Roman" w:hAnsi="Times New Roman"/>
                <w:sz w:val="15"/>
                <w:szCs w:val="15"/>
                <w:color w:val="auto"/>
              </w:rPr>
              <w:t>Kost Forer Gabbay &amp; Kasierer, a member of EY</w:t>
            </w:r>
          </w:p>
        </w:tc>
        <w:tc>
          <w:tcPr>
            <w:tcW w:w="3820" w:type="dxa"/>
            <w:vAlign w:val="bottom"/>
          </w:tcPr>
          <w:p>
            <w:pPr>
              <w:ind w:left="400"/>
              <w:spacing w:after="0"/>
              <w:rPr>
                <w:sz w:val="20"/>
                <w:szCs w:val="20"/>
                <w:color w:val="auto"/>
              </w:rPr>
            </w:pPr>
            <w:r>
              <w:rPr>
                <w:rFonts w:ascii="Times New Roman" w:cs="Times New Roman" w:eastAsia="Times New Roman" w:hAnsi="Times New Roman"/>
                <w:sz w:val="15"/>
                <w:szCs w:val="15"/>
                <w:b w:val="1"/>
                <w:bCs w:val="1"/>
                <w:color w:val="auto"/>
              </w:rPr>
              <w:t xml:space="preserve">Auditor Location: </w:t>
            </w:r>
            <w:r>
              <w:rPr>
                <w:rFonts w:ascii="Times New Roman" w:cs="Times New Roman" w:eastAsia="Times New Roman" w:hAnsi="Times New Roman"/>
                <w:sz w:val="15"/>
                <w:szCs w:val="15"/>
                <w:color w:val="auto"/>
              </w:rPr>
              <w:t>Tel-Aviv, Israel</w:t>
            </w:r>
          </w:p>
        </w:tc>
      </w:tr>
      <w:tr>
        <w:trPr>
          <w:trHeight w:val="198"/>
        </w:trPr>
        <w:tc>
          <w:tcPr>
            <w:tcW w:w="2320" w:type="dxa"/>
            <w:vAlign w:val="bottom"/>
          </w:tcPr>
          <w:p>
            <w:pPr>
              <w:spacing w:after="0"/>
              <w:rPr>
                <w:sz w:val="17"/>
                <w:szCs w:val="17"/>
                <w:color w:val="auto"/>
              </w:rPr>
            </w:pPr>
          </w:p>
        </w:tc>
        <w:tc>
          <w:tcPr>
            <w:tcW w:w="51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Global</w:t>
            </w:r>
          </w:p>
        </w:tc>
        <w:tc>
          <w:tcPr>
            <w:tcW w:w="3820" w:type="dxa"/>
            <w:vAlign w:val="bottom"/>
          </w:tcPr>
          <w:p>
            <w:pPr>
              <w:spacing w:after="0"/>
              <w:rPr>
                <w:sz w:val="17"/>
                <w:szCs w:val="17"/>
                <w:color w:val="auto"/>
              </w:rPr>
            </w:pPr>
          </w:p>
        </w:tc>
      </w:tr>
      <w:tr>
        <w:trPr>
          <w:trHeight w:val="150"/>
        </w:trPr>
        <w:tc>
          <w:tcPr>
            <w:tcW w:w="232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r>
      <w:tr>
        <w:trPr>
          <w:trHeight w:val="1195"/>
        </w:trPr>
        <w:tc>
          <w:tcPr>
            <w:tcW w:w="23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30" w:type="dxa"/>
        <w:tblCellMar>
          <w:top w:w="0" w:type="dxa"/>
          <w:left w:w="0" w:type="dxa"/>
          <w:bottom w:w="0" w:type="dxa"/>
          <w:right w:w="0" w:type="dxa"/>
        </w:tblCellMar>
      </w:tblPr>
      <w:tr>
        <w:trPr>
          <w:trHeight w:val="262"/>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920" w:type="dxa"/>
            <w:vAlign w:val="bottom"/>
            <w:gridSpan w:val="9"/>
          </w:tcPr>
          <w:p>
            <w:pPr>
              <w:ind w:left="2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6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000000"/>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12"/>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make behavioral health care available to all and help people everywhere to heal.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Inc. together with its consolidated subsidiaries (referred to herein as the “Company”, “we”, “our”, “us” or “Talkspace”) is a leading virtual behavioral health company connecting millions of patients with licensed mental health providers across a wide and growing spectrum of care through virtual psychotherapy and psychiatry. Through our purpose-built platform created to address the vast, unmet and growing demand for behavioral health services, we serve:</w:t>
      </w:r>
    </w:p>
    <w:p>
      <w:pPr>
        <w:spacing w:after="0" w:line="72"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(commercial and government) and employee assistance programs (“Payor”) who offer their members access to our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(“DTE”) comprised of enterprises who offer their enterprise members access to our platform while their enterprise is under an active contract with Talkspace,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our platform.</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psychotherapy offerings, our licensed therapists and counselors treat mental health conditions in over 150 clinical conditions, such as depression, anxiety, trauma and other fields of human challenges. Through our psychiatry offerings, our board-certified psychiatrists and prescription-eligible nurse practitioners treat a higher acuity patient demographic, including those who may have pharmacological needs. Our psychiatry clinicians, may at their discretion, refer the member to a primary care provider or in-person psychiatrist if the clinical need arises, including to address potential needs for controlled substances. In accordance with the Drug Enforcement Administration (“DEA”) Ryan Haight Act, Talkspace providers do not prescribe controlled substances.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vast nationwide network of fully-credentialed providers across all 50 U.S. states and the District of Columbia. Our network is sustained and enhanced by an attractive value proposition to providers, including flexibility, convenience, efficiency, professional development opportunities and compensation. We also believe that our platform provides other benefits to providers through expanded clinical reach, steady access to member referrals, reduced administrative burdens, more efficient time utilization and data-driven clinical insights. We designed our provider network to be scalable and to leverage a hybrid model of both employee providers and independently contracted providers to support multiple growth scenarios.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network has the power to deliver an enhanced care journey, higher member lifetime engagement and meaningful outcomes for our members, as well as generally greater margins when compared to in-person treatment. In pursuing our mission of making behavioral health care available to all, we aim to provide our members with high-quality behavioral healthcare via coverage through a health insurance plan, employee access program, enterprise benefit or direct payment for our services.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our revenues were $187.6 million compared to $150.0 million for the year ended December 31, 2023. As of December 31, 2024, we had approximately 179.4 million eligible lives through our Payor and DTE customers compared to 131 million eligible lives as of December 31, 2023. As of December 31, 2024, we had approximately 7,200 Consumer active members compared to 11,700 Consumer active members as of December 31, 2023. For the year ended December 31, 2024, our clinicians completed 1,229,200 sessions related to members covered under our Payor customers compared to 850,600 completed sessions for the year ended December 31, 2023. Please refer to the “Key Business Metrics” in item 7. Management's Discussion and Analysis of Financial Condition and Results of Operations for a description of eligible lives and Consumer active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Offerings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seeking to eliminate barriers in accessing and utilizing mental healthcare and offering providers technology-enabled tools to provide high-quality clinical care with a data-driven approach to treatment, we offer our members a robust ecosystem for end-to-end behavioral healthcare which includes psychotherapy and psychiatry services.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Psychotherapy</w:t>
      </w:r>
      <w:r>
        <w:rPr>
          <w:rFonts w:ascii="Times New Roman" w:cs="Times New Roman" w:eastAsia="Times New Roman" w:hAnsi="Times New Roman"/>
          <w:sz w:val="18"/>
          <w:szCs w:val="18"/>
          <w:color w:val="auto"/>
        </w:rPr>
        <w:t>: In psychotherapy, or “talk therapy,” members work with a licensed therapist or counselor to treat specific mental health conditions like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depression or anxiety, trauma and other human challenges, including development of positive thinking and coping skills. We offer text, audio and video-based psychotherapy from licensed therapists.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Psychiatry</w:t>
      </w:r>
      <w:r>
        <w:rPr>
          <w:rFonts w:ascii="Times New Roman" w:cs="Times New Roman" w:eastAsia="Times New Roman" w:hAnsi="Times New Roman"/>
          <w:sz w:val="18"/>
          <w:szCs w:val="18"/>
          <w:color w:val="auto"/>
        </w:rPr>
        <w:t>: In psychiatry, members receive personalized, expert care from a prescriber who specializes in mental healthcare and prescription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 packages include an initial video consultation and follow-up video appointments as needed based on clinical need. Like the traditional in-person medication management models, Talkspace providers can prescribe medication they deem necessary with the exception of controlled substances. If, in the provider’s discretion, the member requires in-person care in order to be prescribed a controlled substance or because their needs are unable to be met in a virtual care setting, referrals and coordination of care can be made with local providers.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pursuit of our mission to expand access to all individuals in need of behavioral healthcare services, we strive to deliver effective care to a diverse customer base, with members from all socioeconomic backgrounds, ages, genders, ethnicities, geographies and income level who are located across all 50 U.S. states and select international markets.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Talkspace Payor, we contract with a number of health insurance plans and employee assistance programs to provide virtual therapy to their members. Members receive care directly covered through their individual health insurance plan where our providers are considered in-network or pay a flat rate per session or interaction.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Talkspace DTE, we contract directly with enterprises to provide their enterprise members unlimited synchronous and asynchronous care primarily on a per-member-per-month (“PMPM”) or paid-per-use (“PPU”) basis or as a fixed monthly fee. Enterprises include employers, academic organizations, higher education, and government entities and their members include employees, teens, students and student athletes.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Talkspace Consumer, the Company offers monthly, quarterly, bi-annual and annual membership subscription as well as supplementary a la carte offerings to individual subscribers who subscribe directly to our platform through a subscription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Platform</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virtual therapy offers an attractive opportunity to improve behavioral health through data science and machine learning. Through digital phenotyping and predictive modeling, the data imprint left by interactions on our platform opens a new, quantitative viewpoint into the behavioral health condition of our members. By securely leveraging our unique dataset to identify patterns, which is augmented by advanced, data-driven tools to personalize care, we believe we are able to optimize clinical outcomes. We have designed our technology platform and information practices to achieve and maintain compliance with HIPAA and other legal requirements regarding the confidentiality of patient information. We maintain a written privacy and information security management program, led by designated subject matter experts, in order to (i) limit how we use and disclose protected health information of the members who utilize our technology platform or therapeutic services, (ii) implement reasonable administrative, physical, and technical safeguards to protect such information from misuse or cyber-attacks, and (iii) assist our customers with certain duties such as access to information under the privacy standards, among other program elements. We require our agents and subcontractors who have access to such information to enter into written agreements that require them to meet the same standards for security and privacy. We obtain third-party examinations of our controls relating to security and data privacy. In particular, we regularly obtain a Type II Service Organization Control SOC 2 report (Reporting on Controls at a Service Organization relevant to security, availability and privacy). We also retain outside consultants to regularly assess our vulnerability through penetration testing and analysis of our compliance with the HIPAA Security Rule.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depicts the technology-enabled process flow that supports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154305</wp:posOffset>
            </wp:positionV>
            <wp:extent cx="4877435" cy="2082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7743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Matching algorithm</w:t>
      </w:r>
      <w:r>
        <w:rPr>
          <w:rFonts w:ascii="Times New Roman" w:cs="Times New Roman" w:eastAsia="Times New Roman" w:hAnsi="Times New Roman"/>
          <w:sz w:val="18"/>
          <w:szCs w:val="18"/>
          <w:color w:val="auto"/>
        </w:rPr>
        <w:t>: We utilize machine learning to create a custom match for each new member. Our matching algorithm combines information from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and unstructured sources to predict which therapists have the greatest chance of success with each patient. Our matching model concurrently gathers member and historical outcomes and screens the therapists’ population to match the patient’s characteristics, clinical needs and preferences. Our machine learning technology also enables us to track the frequency and quality of clinical interactions, allowing us to provide a better therapist match should the patient request a new clinician.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Robust data ecosystem</w:t>
      </w:r>
      <w:r>
        <w:rPr>
          <w:rFonts w:ascii="Times New Roman" w:cs="Times New Roman" w:eastAsia="Times New Roman" w:hAnsi="Times New Roman"/>
          <w:sz w:val="18"/>
          <w:szCs w:val="18"/>
          <w:color w:val="auto"/>
        </w:rPr>
        <w:t>: We have a closed-loop data ecosystem providing a multi-dimensional view of the individuals who seek treatment on our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data provides a holistic picture of each user – diagnoses, treatment plans, medical history, personal history, and clinical outcomes. Our data contains 8 billion words sent by millions of users via more than 140 million anonymized messages. We have approximately 6.2 million completed psychological assessments. Our data contains information about members collected by therapists, including over 1.2 million diagnoses and 4.3 million progress and psychotherapy notes. Our data also contains information about therapists reported by members, including approximately 3 million therapist ratings. We believe the size and depth of our clinical data is vast relative to the industry and is a differentiating element of our digitally-native modality.</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Empowering providers to deliver enhanced care</w:t>
      </w:r>
      <w:r>
        <w:rPr>
          <w:rFonts w:ascii="Times New Roman" w:cs="Times New Roman" w:eastAsia="Times New Roman" w:hAnsi="Times New Roman"/>
          <w:sz w:val="18"/>
          <w:szCs w:val="18"/>
          <w:color w:val="auto"/>
        </w:rPr>
        <w:t>: Our providers are equipped with tools that allow them to optimize time utilization and improve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One of the leading challenges in behavioral healthcare is a patient’s premature termination of engagement with the provider and, thus, a core focus of our machine learning strategy is to drive member engagement and increase care continuity, helping members to continue treatment long enough to reap its benefits. In order to extend the lifetime duration of our member base, we provide our providers insights on their patients’ needs and behaviors and offer techniques and suggestions that we believe are likely to maximize their patients’ satisfaction and engagement. These insights, delivered through our fully-integrated data intelligence platform, help providers to deliver effective treatments to their patients, and raise members’ awareness when tracking their own clinical progress.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Performance tracking and feedback</w:t>
      </w:r>
      <w:r>
        <w:rPr>
          <w:rFonts w:ascii="Times New Roman" w:cs="Times New Roman" w:eastAsia="Times New Roman" w:hAnsi="Times New Roman"/>
          <w:sz w:val="18"/>
          <w:szCs w:val="18"/>
          <w:color w:val="auto"/>
        </w:rPr>
        <w:t>: Our “Intro and Expectations” system detects whether providers have followed best practices in the crucial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introductory phase of the therapy relationship and reminds them to do so if they have not. Our “Crisis Risk system” monitors all incoming members’ messages for linguistic features associated with potential danger or self-harm and draws providers’ attention to these cases. Our “Session Highlights system” provides a weekly digest of patient messages and helps therapists draft notes on clinical progress.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view as competitors those companies whose primary business is developing and marketing telehealth and virtual behavioral health platforms and services. Key competitive factors include technology, breadth and depth of functionality, range of associated services, operational experience, customer support, extent of customer and member bases and reputation, among other factors. Our key competitors in the telehealth and teletherapy markets are Teladoc Health, Inc., Lyra Health, Inc., Spring Care, Inc., and LifeStance Health Group Inc., among other industry participants.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large, well-financed health systems and health plans have in some cases developed their own virtual behavioral health tools and may provide these solutions to their consumers at discounted prices. In the future we may face competition from large technology companies, such as Apple, Meta, Verizon, or Microsoft, who may wish to develop their own virtual behavioral health solutions, as well as from large retailers like Walmart. We believe that the breadth of our existing customer and member bases, the depth of our technology platform, and our business-to-business focus on promoting existing healthcare brands and integrating freely with multiple platforms increases the likelihood that stakeholders seeking to develop virtual behavioral healthcare solutions will choose instead to collaborate with Talkspace.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Therapists, Physicians and Healthcare Professionals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2022, we completed the transition of our structure with respect to our relationships with healthcare providers, transitioning to a structure where Talkspace LLC, our wholly-owned subsidiary, has entered into various agreements with Talkspace Provider Network, PA ("TPN"), a Texas professional association entity, which in turn contracts with our other affiliated professional entities ("PC entities"), physicians, therapists, and other licensed professionals for clinical and professional services provided to our members. As part of this transition, Talkspace LLC is party to various Management Services Agreements (“MSAs”) with TPN and the PC entities. Pursuant to the MSAs, Talkspace LLC is the managing entity (the “Manager”) and provides management and administrative resources and services essential to the operations of these entities and receives a management fee for these services and reimbursement of expenses incurred. TPN and the PC entities in turn have the obligation under the MSAs to engage all licensed physicians and other health professionals to provide behavioral healthcare services to our members.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transition to a structure where we operate under various MSAs with professional associations and professional corporations authorized by state law to contract with affiliated professionals to deliver teletherapy services to the Company's members, helps ensure we are able to comply with all applicable regulatory requirements, including the corporate practice of medicine and fee-splitting laws, that are necessarily implicated by engaging in telehealth care that can only be delivered by physicians. The Company is continuing to transition its current agreements with its customers, members and other business partners to TPN and/or the PC entities, where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“Variable Interest Entities” in the notes to the consolidated financial statements for further details.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Overview</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workforce is critical to the creation and delivery of its services and the success of the Company. Our ability to attract, develop and retain talented employees and independent contractors with the skills and capabilities needed by our business is a key component of our long-term growth and our mission of providing more people with convenient access to quality, affordable behavioral healthcare. The Company views full-time employees and independently contracted providers as its total workforce, and each are eligible for the various formal and informal programs and resources to support, recruit, train and retain its team members. The Company's human capital network includes, but is not limited to, employee and independently contracted providers (licensed therapists, psychologists, psychiatrists), as well as employees in various support functions throughout the Company. The human capital needs and strategy of our business is overseen by the Company's Board of Directors and Chief Executive Officer and supported by the Company’s Human Resources Department, which reports directly to the Chief Executive Officer. As of December 31, 2024, we had 521 employees comprised of 288 providers and 233 professionals supporting the accounting, finance, technology, sales, marketing and other support functions and 5,804 independently contracted providers.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and Values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Tone at the top is what drives us. We are committed to maintaining a respectful, secure and supportive workplace culture with open communication and accessible, safe channels for feedback. In addition, all employees are required to complete training and affirm compliance with the Talkspace Code of Business Conduct and Ethics (the “Code”), which confirms the Company’s policy to conduct its affairs in compliance with all applicable laws and regulations and observe the highest standards of business ethics. The Code is reviewed regularly by the Audit Committee and approved by the Board of Directors and is complemented by other policies and training. Any violations of our Code are encouraged to be immediately reported and are kept anonymously.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Talkspace is committed to creating and maintaining a workplace in which all employees have an opportunity to participate and contribute to the success of the business. Talkspace provides equal employment opportunities to all employees and applicants for employment without regard to race, color, ancestry, national origin, gender, sexual orientation, marital status, religion, age, disability, gender identity, results of genetic testing, or service in the military. Equal employment opportunity applies to all terms and conditions of employment, including hiring, placement, promotion, separation, transfers, compensation, and training. The Company is committed to cultivating diversity and broadening opportunities for inclusion across its business through its recruitment practices, employee development and mentoring and inclusivity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committed to hiring the most qualified candidates to fill open positions. Whenever appropriate and possible, open positions are filled with internal candidates to help team members in their career development and enrich a culture of growth. Compensation and benefits programs are focused on attracting, retaining and motivating the top talent necessary to achieve the Company’s mission in ways that reflect its diverse workforce’s needs and priorities. In addition to competitive salaries, the Company and its businesses have established short and long-term incentive programs including stock-based compensation awards and cash-based performance bonus awards, which are designed to motivate and reward performance against key business objectives and facilitate retention. Performance bonus allocations are provided based on the organization meeting its financial goals, the employee achieving goals set by their supervisor, and per the employment agreements and/or any other written agreement. In addition, the Company provides retirement benefits and other comprehensive benefit options to meet the needs of its employees, including healthcare benefits, tax advantaged savings vehicles, life and disability insurance, paid time off, flexible working arrangements, generous parental leave policies and access to wellness programs.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growth mindset culture begins with valuing learning over knowing – seeking out new ideas, driving innovation, embracing challenges, learning from failure, and improving over time. The Company strives to provide mentorship and career development to existing employees to help everyone on the team reach their full potential and employees are encouraged to reach out to their supervisors if further development training is needed. In addition, the Company provides ongoing training in areas related to HIPAA, Cybersecurity, Security and Privacy Controls, Fraud Waste, and Abuse and Anti-Harassment and Discrimination training, among others.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Regulation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comprehensive United States federal, state and local and international regulation in the jurisdictions in which we do business. Our ability to operate profitably will depend in part upon our ability, and that of our affiliated providers, to maintain all necessary licenses and to operate in compliance with applicable laws and rules. Those laws and rules continue to evolve and can become more restrictive, and we therefore devote significant resources to monitoring developments in healthcare and medical practice regulation.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We cannot be assured that a review of our business by courts or regulatory authorities will not result in determinations that could adversely affect our operations or that the healthcare regulatory environment will not change in a way that impacts our operations.</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an additional discussion of our regulatory environment, see “Risk Factors—Risk Related to Our Legal and Regulatory Environment” included in Part I, Item 1A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Telehealth and Teletherapy Provider Licensing, Medical Practice, Certification and Related Laws and Guidelines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practice of medicine, including the provision of therapy services, is subject to various federal, state and local certification and licensing laws, regulations, approvals and standards, relating to, among other things, the adequacy of medical care, the practice of medicine and licensed professional services (including the provision of remote care), equipment, personnel, operating policies and procedures and the prerequisites for the prescription of medication and ordering of tests. The application of some of these laws to telehealth and teletherapy is unclear, evolving, and subject to differing interpretations.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Physicians, therapists and other licensed professionals who provide professional medical and therapy services to a patient via telehealth and teletherapy must, in most instances, hold a valid license to practice medicine or another licensed profession in the state in which the patient is located. We have established systems for ensuring that our affiliated professionals are appropriately licensed under applicable state law and that their provision of telehealth and teletherapy to our members occurs in each instance in compliance with applicable rules governing telehealth and teletherapy. Failure to comply with these laws and regulations could result in licensure actions against the professionals, our services being found to be non-reimbursable, or prior payments being subject to recoupments and can give rise to civil, criminal or administrative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 Laws in the U.S.; Fee Splitting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contract with therapists directly, or through their affiliated professional entities, as well as with professional associations and, professional corporations owned by affiliated physicians (collectively, “PCs”), to provide access to our platform and to provide therapy to their patients. We have entered into MSAs with TPN and the PC entities pursuant to which we provide billing, scheduling and a wide range of other administrative and management services in exchange for management and other service fees. These contractual relationships are subject to various state laws that prohibit fee splitting or the corporate practice of the applicable professional services by lay entities or persons and that are intended to prevent unlicensed persons from interfering with or influencing a licensed professional’s clinical judgment. Activities other than those directly related to the delivery of healthcare may be considered an element of the practice of the applicable profession in many states. Under the corporate practice of doctrines of certain states, decisions and activities such as contracting, setting rates and the hiring and management of personnel may fall under the restrictions on the corporate practice prohibition.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 corporate practice doctrines and fee splitting laws and rules vary from state to state. In addition, these requirements are subject to broad interpretation and enforcement by state regulators. Some of these requirements may apply to us even if we do not have a physical presence in the state, based solely on our engagement of a provider licensed in the state or the provision of telehealth and teletherapy to a resident of the state. Thus, regulatory authorities or other parties, including our providers, may assert that, despite these arrangements, we are engaged in the corporate practice of medicine or a licensed profession or that our contractual arrangements with affiliated providers constitute unlawful fee splitting. In such event, failure to comply could lead to adverse judicial or administrative action against us and/or our affiliated providers, civil, criminal or administrative penalties, receipt of cease and desist orders from state regulators, loss of provider licenses, the need to make changes to the terms of engagement of our providers that interfere with our business, and other materially adverse consequences.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Fraud and Abuse Laws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enrollment in Medicare, some services are currently reimbursed by government healthcare programs, which could expose our business to broadly applicable fraud and abuse laws and other healthcare laws and regulations that would regulate the business. Applicable and potentially applicable U.S. federal and state healthcare laws and regulations include, but are not limited to, those discussed below.</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Stark Law</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the federal self-referral prohibitions, commonly known as the Stark Law. Where applicable, this law prohibits a physician from referring Medicare patients to an entity providing “designated health services” such as laboratory and other diagnostic services and prescription drugs that are furnished at an entity if the physician or a member of such physician’s immediate family has a “financial relationship” with the entity, unless an exception applies. Sanctions for violating the Stark Law include denial of payment, civil monetary penalties of up to $26,125 per claim submitted and twice the value of each such service and exclusion from the federal healthcare programs. Failure to refund amounts received as a result of a prohibited referral on a timely basis may constitute a false or fraudulent claim and may result in civil penalties and additional penalties under the federal False Claims Act (“FCA”). The statute also provides for a penalty of up to $174,172 for a circumvention scheme. The Stark Law is a strict liability statute, which means proof of specific intent to violate the law is not required. In addition, the government and some courts have taken the position that claims presented in violation of the various statutes, including the Stark Law, can be considered a violation of the FCA (described below) based on the contention that a provider impliedly certifies compliance with all applicable laws, regulations and other rules when submitting claims for reimbursement. A determination of liability under the Stark Law for TPN, the PC entities or our affiliated physicians could have a material adverse effect on our business, financial condition and results of operations.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Anti-Kickback Statute</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the federal Anti-Kickback Statute for services reimbursable by government healthcare programs. The Anti-Kickback Statute is broadly worded and prohibits the knowing and willful offer, payment, solicitation or receipt of any form of remuneration in return for, or to induce, (i) the referral of a person covered by Medicare, Medicaid or other governmental programs, (ii) the furnishing or arranging for the furnishing of items or services reimbursable under Medicare, Medicaid or other governmental programs or (iii) the purchasing, leasing or ordering or arranging or recommending purchasing, leasing or ordering of any item or service reimbursable under Medicare, Medicaid or other governmental programs. Certain federal courts have held that the Anti-Kickback Statute can be violated if “one purpose” of a payment is to induce referrals. In addition, a person or entity does not need to have actual knowledge of this statute or specific intent to violate it to have committed a violation, making it easier for the government to prove that a defendant had the requisite state of mind or “scienter” required for a violation. Moreover, the government may assert that a claim including items or services resulting from a violation of the Anti-Kickback Statute constitutes a false or fraudulent claim for purposes of the FCA, as discussed below. Violations of the federal Anti-Kickback Statute may result in civil monetary penalties up to $105,563 for each violation, plus up to three times the remuneration involved. Civil penalties for such conduct can further be assessed under the FCA. Violations of the federal Anti-Kickback Statute can also result in criminal penalties, including criminal fines of more than $100,000 and imprisonment of up to 10 years. Similarly, violations can result in exclusion from participation in government healthcare programs, including Medicare and Medicaid. Imposition of any of these remedies could have a material adverse effect on our business, financial condition and results of operations, if in the future we provide services reimbursable by government healthcare programs. In addition to a few statutory exceptions, the Office of Inspector General (“OIG”) has published safe-harbor regulations that outline categories of activities that are deemed protected from prosecution under the Anti-Kickback Statute provided all applicable criteria are met. The failure of a financial relationship to meet all of the applicable safe harbor criteria does not necessarily mean that the particular arrangement violates the Anti-Kickback Statute. However, conduct and business arrangements that do not fully satisfy each applicable safe harbor may result in increased scrutiny by government enforcement authorities, such as the OIG.</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False Claims Act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federal and state government agencies have continued civil and criminal enforcement efforts as part of numerous ongoing investigations of healthcare companies and their executives and managers. Although there are a number of civil and criminal statutes that can be applied to healthcare providers, a significant number of these investigations involve the FCA. These investigations can be initiated not only by the government but also by a private party asserting direct knowledge of fraud. These “qui tam” whistleblower lawsuits may be initiated against any person or entity alleging such person or entity has knowingly or recklessly presented, or caused to be presented, a false or fraudulent request for payment from the federal government or has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made a false statement or used a false record to get a claim approved. In addition, the improper retention of an overpayment for 60 days or more is also a basis for an FCA action, even if the claim was originally submitted appropriately. Penalties for FCA violations include fines ranging from $13,508 to $27,018 for each false claim, plus up to three times the amount of damages sustained by the federal government. An FCA violation may provide the basis for exclusion from the federally funded healthcare programs.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 Fraud and Abuse Laws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states in which we operate have also adopted or may adopt similar self-referral, anti-kickback, fraud, whistleblower and false claims laws as described above. The scope of these laws and the interpretations of them vary by jurisdiction and are enforced by local courts and regulatory authorities, each with broad discretion. Some state fraud and abuse laws apply to items or services reimbursed by Medicaid programs and any third-party payer, including commercial insurers or to any payer, including to funds paid out of pocket by a patient. A determination of liability under such state fraud and abuse laws could result in fines and penalties and restrictions on our ability to operate in these jurisdictions.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FCA established several separate criminal penalties for making false or fraudulent claims to insurance companies and other non-governmental payers of healthcare services. Under FCA, these two additional federal crimes are: “Healthcare Fraud” and “False Statements Relating to Healthcare Matters.” The Healthcare Fraud statute prohibits knowingly and recklessly executing a scheme or artifice to defraud any healthcare benefit program, including private payers. A violation of this statute is a felony and may result in fines, imprisonment, or exclusion from government sponsored programs. The False Statements Relating to Healthcare Matters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or imprisonment. This statute could be used by the government to assert criminal liability if a healthcare provider knowingly fails to refund an overpayment. These provisions are intended to punish some of the same conduct in the submission of claims to private payers as the federal False Claims Act covers in connection with governmental health programs. In addition, the Civil Monetary Penalties Law imposes civil administrative sanctions for, among other violations, inappropriate billing of services to federally funded healthcare programs and employing or contracting with individuals or entities who are excluded from participation in federally funded healthcare programs. Moreover,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$10,000 for each wrongful act. Furthermore,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State and Federal Health Information Privacy and Security Laws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including health information. In particular, HIPAA imposes a number of requirements on covered entities and their business associates relating to the use, disclosure and safeguarding of protected health information. These requirements include uniform standards of common electronic healthcare transactions; privacy and security regulations; and unique identifier rules for employers, health plans and providers. In addition, the Health Information Technology for Economic and Clinical Health Act, or HITECH, provisions of the American Recovery and Reinvestment Act of 2009 and corresponding implementing regulations have imposed additional requirements on the use and disclosure of protected health information such as additional breach notification and reporting requirements, contracting requirements for HIPAA business associate agreements, strengthened enforcement mechanisms and increased penalties for HIPAA violations. Federal consumer protection laws may also apply in some instances to privacy and security practices related to personal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Violations of HIPAA may result in civil and criminal penalties. However, a single breach incident can result in violations of multiple standards, including privacy, security, and breach notification requirements. Our management responsibilities to TPN and the PC entities include assisting it with its obligations under HIPAA’s breach notification rule. Under the breach notification rule, covered entities must notify affected individuals without unreasonable delay and no later than 60 days following the discovery of a breach of unsecured protected health information (“PHI”), which may compromise the privacy, security or integrity of the PHI. In addition, notification must be provided to the U.S. Department of Health and Human Services (“HHS”) and the local media in cases where a breach affects more than 500 individuals. Breaches affecting fewer than 500 individuals must be reported to HHS on an annual basis. HIPAA also requires a business associate to notify its covered entity customers of breaches by the business associate. State attorneys general may also enforce HIPAA violations, and overlapping state laws may impose additional obligations.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also required HHS to adopt national standards for electronic transactions that all healthcare providers must use when submitting or receiving certain healthcare transactions electronically. On January 16, 2009, HHS released the final rule mandating that everyone covered by HIPAA must implement ICD 10 for medical coding on October 1, 2013, which was subsequently extended to October 1, 2015, and is now in effect.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states in which we operate and in which our patients reside also have laws that protect the privacy and security of sensitive and personal information, including health information. Moreover, state laws may be similar to or even more protective than HIPAA and other federal privacy laws. For example, the laws of the State of California, in which we operate, are more restrictive than HIPAA. Where state laws are more protective/restrictive than HIPAA, we must comply with the state laws we are subject to, in addition to HIPAA. In certain cases, it may be necessary to modify our existing or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could change rapidly, and there is currently a new federal privacy law or federal breach notification law under consideration to which we may be subject.</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states’ attorneys general have brought enforcement actions and prosecuted some data breach cases as unfair and/or deceptive acts or practices under the FTC Act and similar state laws. Further, the California Consumer Protection Act of 2018 (the “CCPA”), which took effect in 2020 and to which we are subject,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 Additionally, the California Privacy Rights Act (“CPRA”), which came into effect on January 1, 2023, significantly amends and expands the CCPA, including by providing consumers with additional rights with respect to their personal information. The CPRA also creates a new state agency that will be vested with authority to implement and enforce the CCPA and the CPRA. Laws similar to the CCPA and CPRA have passed in Colorado, Connecticut, Iowa, Indiana, Montana, Tennessee, Texas, Oregon, Utah, Virginia, and Washington and are expected in other states and at the federal level, reflecting a trend toward more stringent privacy legislation in the United States.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there have been a number of well publicized data breaches involving the improper use and disclosure of personal information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providing credit monitoring services and/or other relevant services to impacted individuals. In addition, under HIPAA, breach notification laws and pursuant to the related contracts that we enter into with our customers who are covered entities, we must report breaches of unsecured PHI to our customers following discovery of the breach. Notification must also be made in certain circumstances to affected individuals, federal authorities and others.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our business that we establish intellectual property and maintain, protect and enforce our intellectual property rights. We rely on a combination of patent, copyright, trademark and trade secret laws, as well as confidentiality procedures and contractual provisions and other legal rights to establish and enforce our brand, proprietary technology and other intellectual property rights.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March 12, 2025, the Company has been approved for one patent in the United States related to “System and Method in Monitoring Engagement” which relates to the tracking of therapeutic progress between therapist and customer. We also have one patent that is pending and several other provisional applications in the United States. We intend to continue to apply for additional patents relating to our software and technology. We cannot assure whether any of our patent applications will result in the issuance of a patent or whether the examination process will require us to narrow our claims.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own and use trademarks and service marks on or in connection with our business and services, including both registered marks and unregistered trademarks in the United States. In addition, we rely on other forms of intellectual property protection including trade secrets, know-how and other unpatented proprietary processes, in each case in support of our business. We make efforts to maintain and protect our intellectual property and the proprietary aspects of our products and technologies, including through the use of nondisclosure agreements and the monitoring of our competitors. Although we take steps to protect our trade secrets and know-how, third parties may independently develop or otherwise gain access to our trade secrets and know-how by lawful means. We require our employees, consultants and certain of our contractors to execute confidentiality agreements in connection with their employment or consulting relationships with us but we cannot guarantee that we have executed such agreements with all applicable counterparties. Furthermore, these agreements may be breached, and we may not have an adequate remedy for any such breach. We also require our employees and consultants to disclose and assign to us inventions conceived during the term of their employment or engagement while using our property or which relate to our business. We also license certain intellectual property rights that are used in our business from third parties.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intellectual property arising in the ordinary course of our business, including opposition to our applications for patents, trademarks, challenges to the validity of our intellectual property rights, and claims of intellectual property infringement. We are not presently a party to any such legal proceedings that, in the opinion of our management, would individually or taken together have a material adverse effect on our business,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principal place of business is at 622 Third Avenue, New York, NY 10017 and its telephone number is (212) 284-7206. The Company's website address is talkspace.com. The Company makes available free of charge on the investors section of its website the Annual Reports on Form 10-K, Quarterly Reports on Form 10-Q, Current Reports on Form 8-K, Proxy Statements and other SEC filings and all amendments to those reports filed or furnished to the SEC pursuant to Section 13(a), 14 or 15(d) of the Exchange Act, as soon as reasonably practicable after we file or furnish such materials to the SEC. The SEC also maintains a website (www.sec.gov) that contains these reports, proxy and information statements and other information. The information on our website is not, and will not be deemed to be, a part of this Annual Report on Form 10-K or incorporated into any of our other filings with the SEC, except where we expressly incorporated such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the course of conducting our business operations, we are exposed to a variety of risks. Any of the risk factors we describe below have affected or could materially adversely affect our business, financial condition and results of operations. Certain statements in “Risk Factors” are forward-looking statements, see “Forward-Looking Statements” in Part II Item 7.</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subsection as to “Talkspace,” the “Company,” “we,” “us” or “our” refer to the business of Talkspace, Inc. and its consolidated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risks known to us. Please carefully consider the following risk factors together with all other information included in this Form 10-K and our other publicly filed documents when investing in our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w:t>
      </w:r>
    </w:p>
    <w:p>
      <w:pPr>
        <w:spacing w:after="0" w:line="67" w:lineRule="exact"/>
        <w:rPr>
          <w:sz w:val="20"/>
          <w:szCs w:val="20"/>
          <w:color w:val="auto"/>
        </w:rPr>
      </w:pPr>
    </w:p>
    <w:p>
      <w:pPr>
        <w:ind w:left="1020" w:right="20" w:hanging="503"/>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grow at the rates we historically have achieved or at all, even if our key metrics may indicate growth, which could have a material adverse effect on the market price of our common stock.</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managing our growth and expanding our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2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in our industry presents us with significant risks and challenges.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and if we are not able to compete effectively, our business, financial condition and results of operations will be harmed.</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material portion of our revenue from our largest customers. The loss, termination, or renegotiation of any contract with such customers could negatively impact our results.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secure customers' contract renewals, our business, financial condition and results of operations will be harmed.</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and profitability of our business will depend in large part upon the effectiveness and efficiency of our marketing efforts, and our ability to develop brand awareness cost-effectively.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achieving broad market education and changing consumer purchasing habits.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 that we provide services to.</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virtual behavioral healthcare strategies depend on our ability to maintain and expand our network of therapists, psychiatrists and other providers. If we are unable to do so, our future growth would be limited and our business, financial condition and results of operations would be harmed.</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affecting spending by the healthcare industry could adversely affect our business.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and social media engagement could adversely affect our business.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professional liability claims, which could cause us to incur significant expenses and may require us to pay significant damages if not covered by insurance.</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prevalence of enterprise-sponsored healthcare or the emergence of new technologies may adversely impact our DTE business or require us to expend significant resources in order to remain competitive.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platforms such as the Apple Store and the Google Play App Store, to distribute our platform and offerings.</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data center providers, Internet infrastructure, bandwidth providers, third-party computer hardware and software, other third parties and our own systems for providing services to our customers and members, and any failure or interruption in the services provided by these third parties or our own systems could expose us to litigation and negatively impact our relationships with customers and members, adversely affecting our brand and our business.</w:t>
      </w:r>
    </w:p>
    <w:p>
      <w:pPr>
        <w:spacing w:after="0" w:line="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 our vendors’ security measures fail or are breached and unauthorized access to a customer’s data or information systems is obtained, our services may be perceived as insecure, we may incur significant liabilities, our reputation may be harmed, and we could lose sales, customers and members.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adverse tax, legal and other consequences if the employment status of providers on our platform is challenged.</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sentiment or laws, rules or regulations regarding the use of cookies, artificial intelligence technologies and other tracking technologies and other privacy matters could have a material adverse effect on our ability to generate net revenues and could adversely affect our ability to collect proprietary data on consumer behavior.</w:t>
      </w:r>
    </w:p>
    <w:p>
      <w:pPr>
        <w:spacing w:after="0" w:line="1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state and local tax authorities may assert that we have a nexus with such states or localities and may seek to impose state and local income taxes on our income allocated to such state and localities and assert we are required to collect sales and use taxes.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certain other attributes may be subject to certain limitations.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of our executive officers or key employees or an inability to attract and retain highly skilled and diverse employees could adversely affect our business.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21" w:lineRule="exact"/>
        <w:rPr>
          <w:sz w:val="20"/>
          <w:szCs w:val="20"/>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legal challenges to our business model or by actions restricting our ability to provide the full range of our services in certain jurisdictions.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government regulations may result in increased costs or adversely affect our results of operations.</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customers are found to violate state laws prohibiting the corporate practice of medicine or fee splitting.</w:t>
      </w:r>
    </w:p>
    <w:p>
      <w:pPr>
        <w:spacing w:after="0" w:line="17"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us of ongoing healthcare legislation and other changes in the healthcare industry and in healthcare spending is currently unknown, but may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1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disclosure of personal information, including protected health information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customer base and member bases and revenue.</w:t>
      </w:r>
    </w:p>
    <w:p>
      <w:pPr>
        <w:spacing w:after="0" w:line="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enforce or defend our intellectual property rights could impair our ability to protect our technology and our brand.</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challenge the validity of our trademarks and patents or oppose trademark and patent applications. Companies with other patents could require us to stop using or pay to use required technology.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as a result of any claim of infringement of another party’s intellectual property rights.</w:t>
      </w:r>
    </w:p>
    <w:p>
      <w:pPr>
        <w:spacing w:after="0" w:line="6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software may not operate properly, which could damage our reputation, give rise to claims against us or divert application of our resources from other purposes, any of which could harm out business, financial conditions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Warrants</w:t>
      </w:r>
    </w:p>
    <w:p>
      <w:pPr>
        <w:spacing w:after="0" w:line="121"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your unexpired warrants prior to their exercise at a time that is disadvantageous to you, thereby making your warrants worthless.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grow at the rates we historically have achieved or at all, even if our key metrics may indicate growth, which could have a material adverse effect on the market price of our common stock.</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the last several years, and therefore our recent revenue growth rate and financial performance should not be considered indicative of our future performance. From 2022 to 2023 and 2023 to 2024, our revenues grew at a compound annual rate of 25.5% and 25.0%, respectively.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future growth will depend, in part, on our ability to grow our revenue from existing customers and members, to acquire potential future customers and members, especially our Payor and DTE customers, and to expand our customer, member and provider bases. We can provide no assurances that we will be successful in executing on these growth strategies or that, even if our key metrics would indicate future growth, we will continue to grow our revenue or to generate net income. Our ability to execute on our existing sales pipeline, create additional sales pipelines, and expand our customer and member bases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customers and members may be slower to adopt our services than we currently anticipate, which could adversely affect our results of operations and growth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scope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If we fail to maintain effective internal control over financial reporting in the future, our ability to produce accurate and timely financial statements could be impaired, which may adversely affect investor confidence in us and, as a result, the value of our common stock. Additionally, rapid growth in our business may place a strain on our human and capital resources as well as our systems and controls.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technological change in our industry presents us with significant risks and challenges.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virtual behavioral health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customer and member populations. There is no guarantee that we will possess the resources, either financial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including advancements in artificial intelligence and machine-learning, will not result in our present or future software-based products and services becoming uncompetitive or obsolete.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virtual behavioral health market is competitive, and we expect it to attract increased competition, which could make it difficult for us to succeed. We currently face competition from a range of companies, including specialized software and solution providers that offer similar solutions and that are continuing to develop additional products and becoming more sophisticated and effective. These competitors include American Well Corporation, Teladoc Health, Inc., Lyra Health, Inc., and Spring Care, Inc., among other small industry participants.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large, well-financed health systems and health plans have in some cases developed their own telehealth and teletherapy tools and may provide these solutions to their consumers at discounted prices. Competition may also increase from large technology companies, such as Apple, Meta, Google, Verizon, or Microsoft, who may wish to develop their own virtual behavioral health solutions, as well as from large retailers like Walmart. Competition from large software companies or other specialized solution providers, health systems and health plans, communication tools and other parties could result in continued pricing pressures, which is likely to lead to price declines in certain product segments, which could negatively impact our sales, profitability and market share.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consumer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consumer base, more widely adopted proprietary technologies, greater marketing expertise, greater financial resources and larger sales forces than we have, which could put us at a competitive disadvantage.</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expect our competitors to continue to improve their technology infrastructure, including with the use of artificial intelligence (“AI”) and machine learning solutions, to interact with customers, members and insurance companies, sell their services, utilize (and even monetize) their data and support and grow their customer base. Our ability to innovate our own technology infrastructure and appropriately address user experience will affect our ability to compete. In addition, new developments in cloud computing, AI, and machine learning have made it easier to enter our markets due to lower up-front technology costs.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customers and members may accept competitive solutions in lieu of purchasing our solution. If we are unable to successfully compete in the virtual behavioral health market, our business, financial condition and results of operations could be materially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material portion of our revenue from our largest customers. The loss, termination, or renegotiation of any contract with such customers could negatively impact our results.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a material portion of our revenue from our largest customers. The loss, termination, or renegotiation of any contract with such customers could negatively impact our results. For the year ended December 31, 2024, three customers represented 10% or more of the Company’s total revenue. For the year ended December 31, 2023, two customers represented 10% or more of the Company’s total revenue. The loss of business from either of the Company’s significant customers, as a result of competition, customer needs, or other factors beyond the Company’s control, could have a material adverse effect on our business, financial condition and results of operations.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rely on a limited number of our largest customers for a material portion of our revenue, we depend on the creditworthiness of these customers. If the financial condition of our customers declines, our credit risk could increase. Should one or more of our significant customers declare bankruptcy, be declared insolvent, or otherwise be restricted by state or federal laws or regulation from continuing in some or all of their operations, this could adversely affect our ongoing revenue, the collectability of our accounts receivable, affect our bad debt reserves and negatively impact our net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secure customers' contract renewals, our business, financial condition and results of operations will be harmed.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generate a significant portion of our revenues from our DTE customers, which contracts are one to three years in length. Consumer subscriptions generally have stated initial terms of one-to-six months and members may cancel their subscription at any time and will receive a pro-rata refund for the subscription price. Most of our customers and members have no obligation to renew their subscriptions for our services after the initial term expires. In addition, our customers may negotiate terms less advantageous to us upon renewal, which may reduce our revenue from these customers. Additionally, our future results of operations depend, in part, on our ability to expand our services and offerings, including broadening our continuum of care. If our customers and members fail to renew their contracts, renew their contracts upon less favorable terms or at lower fee levels or fail to purchase new products and services from us, our revenue may decline or our future revenue growth may be constrained.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factors that could affect our ability to sell products and services include, but are not limited to:</w:t>
      </w:r>
    </w:p>
    <w:p>
      <w:pPr>
        <w:spacing w:after="0" w:line="11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performance and functionality of our solution;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price, performance and functionality of competing solutions;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complementary products and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performance and security of our hosting infrastructure and hosting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marketing laws, regulations or trends.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consequences could lower retention and have a material adverse effect on our business, financial condition and results of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growth and profitability of our business will depend in large part upon the effectiveness and efficiency of our marketing efforts, and our ability to develop brand awareness cost-effectively.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adoption of our solution and attracting new customers and members. Our brand promotion activities may not generate consumer awareness or increase revenue, and even if they do, any increase in revenue may not offset the expenses we incur in building our brand. If we fail to successfully promote and maintain our brand, or incur substantial expenses in doing so, we may fail to attract or retain customers and members necessary to realize a sufficient return on our brand-building efforts or to achieve the widespread brand awareness that is critical for broad adoption of our brands.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achieving broad market education and changing consumer purchasing habits.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and future growth largely depend on our ability to increase consumer awareness of virtual behavioral therapy in general and our platform and offerings, in particular, and on the willingness of current and potential customers and members to utilize our platform to access information and behavioral health services. We believe the vast majority of consumers make purchasing decisions for behavioral health services on the basis of traditional factors, such as insurance coverage. This traditional decision-making process does not always account for restrictive and complex insurance plans, high deductibles, expensive co-pays and other factors, such as discounts or savings available at alternative therapists or practices. To effectively market our platform, we must educate consumers about the various purchase options and the benefits of using Talkspace for behavioral healthcare, including when such services may not be covered by their health insurance benefits. We focus our marketing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education efforts on potential customers, members and other consumers, but also aim to educate and inform healthcare providers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 that we provide services to.</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existing and future relationships with third parties, such as third-party payors, including government agencies, as well as our ability to expand our Payor and DTE business. Identifying potential customers,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customers by our competitors could result in a decrease in the number of our current and potential customers and members, as our customers may no longer facilitate the adoption of our applications by potential members. If we are unsuccessful in establishing or maintaining our relationships with third parties that we provide services to, our ability to compete in the marketplace or to grow our revenue could be impaired and our results of operations may suffer. Even if we are successful, we cannot assure you that these relationships will result in increased customer use of our services or increased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virtual behavioral healthcare strategies depend on our ability to maintain and expand our network of therapists, psychiatrists and other providers.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do so, our future growth would be limited and our business, financial condition and results of operations would be harmed.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is dependent upon our continued ability to grow and maintain a network of highly trained and qualified therapists, psychiatrists and other providers, especially since our providers are generally not exclusive to our platform. If we are unable to recruit and retain licensed therapists, psychiatrists and other providers, it would have a material adverse effect on our business and ability to grow and would adversely affect our results of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any particular market, providers could demand higher payments or take other actions that could result in higher medical costs, less attractive service for our customers or members or difficulty meeting regulatory or accreditation requirements.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to develop and maintain satisfactory relationships with providers also may be negatively impacted by other factors not associated with us, such as state therapist or psychiatrist licensing laws and standard of care requirements, and other pressures on healthcare providers and consolidation activity among hospitals, physician groups and healthcare providers. Our failure to maintain or to secure new cost-effective provider contracts may result in a loss of or inability to grow our customer and member bases, higher costs, less attractive services for our customers and members and/or difficulty in meeting regulatory or accreditation requirements, any of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affecting spending by the healthcare industry could adversely affect our business.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 healthcare industry has changed significantly in recent years, and we expect that significant changes will continue to occur. General reductions in expenditures by healthcare industry participants could result from, among other things:</w:t>
      </w:r>
    </w:p>
    <w:p>
      <w:pPr>
        <w:spacing w:after="0" w:line="54" w:lineRule="exact"/>
        <w:rPr>
          <w:sz w:val="20"/>
          <w:szCs w:val="20"/>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or private initiatives that affect the manner in which healthcare providers interact with patients, payors or other healthcare industry participants, including changes in pricing or means of delivery of healthcare products and services;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healthcare industry participants;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amendments to, lack of enforcement or development of applicable regulations for, or repeal of The Patient Protection and Affordable Care Act, as amended by the Health Care and Education Reconciliation Act (the “Affordable Care Act” or the “ACA”);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government funding for healthcare;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business or economic conditions affecting healthcare payors or providers or other healthcare industry participants.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changes in healthcare spending could adversely affect our revenue. Even if general expenditures by industry participants remain the same or increase, developments in the healthcare industry may result in reduced spending in some or all of the specific market segments that we serve now or in the future. We cannot assure you that the demand for our solutions and services will continue to exist at current levels or that we will have adequate technical, financial, and marketing resources to react to changes in the healthcare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media coverage and social media engagement could adversely affect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Unfavorable publicity regarding, among others, the healthcare industry, litigation or regulatory activity, the actions of the entities included or otherwise involved in our platform, virtual behavioral health services included on our platform or by other industry participants, our data privacy or data security practices, or our platform could materially adversely affect our reputation. In addition, from time to time, news media outlets have provided negative coverage regarding our platform and privacy practices and any such negative media coverage, regardless of the accuracy of such reporting, may have an adverse impact on our business and reputation, as well as have an adverse effect on our ability to attract and retain customers, members, other consumers, or employees, and result in decreased revenue, which would materially adversely affect our business, financial condition and results of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and members may engage with us online through our social media pages, including, for example, our presence on Facebook, Instagram and X, by providing feedback and public commentary about all aspects of our business. Information concerning us or our platform and offerings,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overall business entails the risk of medical liability claims. Although TPN and our affiliated professionals carry or will carry insurance covering medical malpractice claims in amounts that we believe are appropriate in light of the risks attendant to the services rendered, successful medical liability claims could result in substantial damage awards that exceed the limits of the insurance coverage. TPN carries or will carry professional liability insurance for itself and each of its healthcare professionals (our providers). Additionally, all of our network providers that contract or will contract with TPN separately carry or will carry professional liability insurance for itself and its healthcare professionals. Professional liability insurance is expensive and insurance premiums may increase significantly in the future, particularly as we expand our services through TPN and our affiliated professionals. As a result, adequate professional liability insurance may not be available to TPN and our affiliated professionals in the future at acceptable costs or at all, which may negatively impact TPN and our affiliated professionals to provide services to our members, and thereby adversely affect our overall business and operations.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claims made against TPN or our affiliated professionals that are not fully covered by insurance could be costly to defend against, result in substantial damage awards, and divert the attention of our management and our affiliated professional entities from our operations, which could have a material adverse effect on our business, financial condition and results of operations. In addition, any claims may adversely affect our business or reputation.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prevalence of enterprise-sponsored healthcare or the emergence of new technologies may adversely impact our DTE business or require us to expend significant resources in order to remain competitive.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healthcare industry is massive, with a number of large market participants with conflicting agendas, and it is subject to significant government regulation and is currently undergoing significant change. Some experts have predicted that future healthcare reform will encourage enterprise-sponsored health insurance to become significantly less prevalent as enterprise members migrate to obtain their own insurance over the state-sponsored insurance marketplaces. Were this to occur, there is no guarantee that we would be able to compensate for the loss in revenue from enterprises by increasing sales of our solution to health insurance companies or to individuals or government agencies. In such a case, our results of operations would be adversely impacted.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platforms such as the Apple App Store and Google Play App Store, to distribute our platform and offerings.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apps are accessed and operated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virtual behavioral health services.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data center providers, Internet infrastructure, bandwidth providers, third-party computer hardware and software, other third parties and our own systems for providing services to our customers and members, and any failure or interruption in the services provided by these third parties or our own systems could expose us to litigation and negatively impact our relationships with customers and members, adversely affecting our brand and our business.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serve all of our customers and members from third party interconnection and data centers, such as Amazon Web Services. While we control and have access to our servers, we do not control the operation of these facilities. The cloud vendors and the owners of our data center facilities have no obligation to renew their agreements with us on commercially reasonable terms, or at all. If we are unable to renew these agreements on commercially reasonable terms, or if one of our cloud vendors or data center operators is acquired, we may be required to transfer our servers and other infrastructure to a new vendor or a new data center facility, and we may incur significant costs and possible service interruption in connection with doing so. Problems faced by our cloud vendors or third-party data center locations with the telecommunications network providers with whom we or they contract, or with the systems by which our telecommunications providers allocate capacity among their customers, including us, could adversely affect the experience of our customers and members. Our third-party data center operators could decide to close their facilities without adequate notice. In addition, any financial difficulties, such as bankruptcy faced by our cloud vendors or third-party data centers operators or any of the service providers with whom we or they contract may have negative effects on our business, the nature and extent of which are difficult to predict.</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our cloud or data center vendors are unable to keep up with our growing needs for capacity, this could have an adverse effect on our business. For example, a rapid expansion of our business could affect the service levels at our cloud vendors or data centers or cause such data centers and systems to fail. Any changes in third-party service levels at our data centers or any disruptions or other performance problems with our solution could adversely affect our reputation and may damage our customers and members’ stored files or result in lengthy interruptions in our services. Interruptions in our services may reduce our revenue, cause us to issue refunds to customers and members for prepaid and unused subscriptions, subject us to potential liability or adversely affect customer retention.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and expect that we may experience in the future, interruptions and delays in services and availability from time to time. In the event of a catastrophic event with respect to one or more of our systems, we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experience an extended period of system unavailability, which could negatively impact our relationship with customers and members.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 the right to use any of this hardware or software could result in delays in the provisioning of our services until equivalent technology is either developed by us, or, if available from third parties, is identified, obtained and integrated.</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rely on these services of third-party vendors could be impaired as a result of the failure of such providers to comply with applicable laws, regulations and contractual covenants. In addition, 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in the availability of our apps and websites. Certain natural events may become more frequent or intense as a result of climate change. For more information, see our risk factor titled “We are subject to a series of risks related to climate change.”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our operations. While we have some limited disaster recovery arrangements in place, our preparations may not be adequate to account for disasters or similar events that may occur in the future and may not effectively permit us to continue operating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to our business, our operations could be impaired and our business, financial condition and results of operations may be materially and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or our vendors’ security measures fail or are breached and unauthorized access to a customer’s data or information systems is obtained, our services may be perceived as insecure, we may incur significant liabilities, our reputation may be harmed, and we could lose sales, customers and members.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services involve the storage and transmission of our customers’ and members’ proprietary information, sensitive or confidential data, including valuable intellectual property and personal information of employees, customers, members and others, as well as the PHI of our customers and members. We are subject to laws and regulations relating to the collection, use, retention, security and transfer of this information, including to vendors.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cyber-attacks by malicious actors such as denial-of-service and phishing attacks, failures during the process of upgrading or replacing software and databases, power outages, hardware failures, telecommunication failures, or catastrophic events.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Information security risks have generally increased in recent years because of the proliferation of new technologies, including the increased adoption of AI technologies, and the increased sophistication and activities of perpetrators of cyber-attacks. Malicious actors are increasingly sophisticated and operating large-scale and complex automated attacks, including on companies within the healthcare industry. The techniques, sources and targets of these attacks change and are often not recognized until such attacks are launched or have been in place for some time. In an increasing amount of cases, these malicious actors are or are acting on behalf of state sponsors which further increases the risk of sophistication, capability and funding for the attack. As cyber threats continue to evolve, we may be required to expend additional resources to further enhance our information security measures, develop additional protocols and/or to investigate and remediate any information security vulnerabilities. If our or our third-party vendors’ security measures fail or are breached, it could result in unauthorized persons accessing sensitive customer or member data (including PHI), a loss of or damage to our data, an inability to access data sources, or process data or provide our services to our customers and members. Such failures or breaches of our or our third-party vendors’ security measures, or our or our third-party vendors’ inability to effectively resolve such failures or breaches in a timely manner, could severely damage our reputation, adversely affect customer, member or investor confidence in us, and reduce the demand for our services from existing and potential customers and members. In addition, we could face litigation, damages for contract breach, monetary penalties, or regulatory actions for violation of applicable laws or regulations and incur significant costs for remedial measures to prevent future occurrences and mitigate past violations.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potential security breach could result in increased costs associated with liability for stolen assets or information, repairing system damage that may have been caused by such breaches, incentives offered to customers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Although we maintain insurance covering certain security and privacy damages and claim expenses, we may not carry insurance or maintain coverage sufficient to compensate for all liability and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In any event, insurance coverage would not address the reputational damage that could result from a security incident.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Data privacy is also subject to frequently changing laws, rules and regulations in the various jurisdictions in which we operate. Such initiatives around the country could increase the cost of developing, implementing or securing our servers and require us to allocate more resources to improved technologies, adding to our IT and compliance costs. Our Board of Directors is briefed periodically on cybersecurity and risk management issues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 No material cybersecurity incidents have occurred during the year ended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adverse tax, legal and other consequences if the employment status of providers on our platform is challenged.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often uncertainty in the application of worker classification laws, especially in the medical field where individuals are required to hold professional licenses, and, consequently, there is risk that providers could be deemed to be misclassified under applicable law. We and TPN, structure our relationships with the majority of our respective providers in a manner that we believe results in an independent contractor relationship, not an employee relationship. The tests governing whether a service provider is an independent contractor, or an employee are typically highly fact sensitive and vary by governing law.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our and TPN’s providers are properly characterized as independent contractors, tax or other regulatory authorities may in the future challenge our characterization of these relationships. An actual or alleged misclassification determination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Medicare,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or other liability, and any adverse determination, including potentially the requirement for us to indemnify a user, could also harm our brand, which could materially and adversely affect our business, prospects, financial condition and results of operations. While these risks are mitigated, in part, by our contractual rights of indemnification against third-party claims, such indemnification agreements could be determined to be unenforceable or costly to enforce and indemnification under such agreements may otherwise prove inadequate. As a result, any determination that our and/or TPN’s providers are employees could have a material adverse effect on our business, financial condition and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consumer sentiment or laws, rules or regulations regarding the use of cookies, AI technologies and other tracking technologies and other privacy matters could have a material adverse effect on our ability to generate net revenues and could adversely affect our ability to collect proprietary data on consumer behavior.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evolving EU and UK privacy national laws derived from the ePrivacy Directive. The current national laws that implement the ePrivacy Directive are highly likely to be replaced across the EU (but not directly in the UK) by an EU regulation known as the ePrivacy Regulation which will significantly increase fines for non-compliance.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 trend of increasing enforcement by regulators of the strict approach in recent guidance and decisions which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response to marketplace concerns about the usage of third-party cookies and web beacons to track user behaviors, providers of major browsers have included features that allow users to limit the collection of certain data generally or from specified websites. In addition, various software tools and applications have been developed that can block advertisements from a consumer’s screen or allow consumers to shift the location in which advertising appears on webpages or opt out of display, search and internet-based advertising entirely. These developments, among others, could impair our ability to collect user information, including personal data and usage information, that helps us provide more targeted advertising to our current and prospective consumers, which could adversely affect our business, given our use of cookies and similar technologies to target our marketing and personalize the consumer experience.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will be impaired, and our results of operations and financial condition would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 and assert we are required to collect sales and use taxes.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state taxing authorities may assert that we had economic nexus with their state and were required to collect sales and use or similar taxes with respect to past or future services that we have provided or will provide, which could result in tax assessments and penalties and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federal and state net operating loss carryovers (“NOL”) which are available to reduce future taxable income. The NOL carry-forwards begin to expire in 2032 and may become subject to annual limitation in the event of certain cumulative changes in the ownership interest of significant stockholders over a three-year period in excess of 50%, as defined under I.R.C. Section 382. This could limit the amount of tax attributes that can be utilized annually to offset future taxable income or future tax liabilities. The federal losses generated from 2018 onward do not expire.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we will not generate enough taxable income to use these net operating loss carryforwards before their expiration (or that we will not generate taxable income at all). Under the Tax Cuts and Jobs Act of 2017, U.S. federal net operating losses incurred in 2018 and in future years may be carried forward indefinitely, but the deductibility of such net operating losses is limited. It is uncertain if and to what extent various states will conform to these in federal tax laws. In addition, the federal and state net operating loss carryforwards and certain tax credits may be subject to significant limitations under Section 382 and Section 383 of the Internal Revenue Code, respectively, and similar provisions of state law.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undertaken an analysis of whether we have experienced an “ownership change” for purposes of Section 382 and Section 383 of the Internal Revenue Code or whether there are any limitations on use with respect to our net operating losses and other tax attributes.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and diverse employees could adversely affect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members of senior management. These members of senior management are at-will employees and therefore they may terminate their employment with us at any time with no advance notice. We also rely on our leadership team in the areas of research and development, marketing, clinical operations, and general and administrative functions. From time to time, there may be changes in our management team resulting from the hiring or departure of executives, which could disrupt our business. The replacement of one or more of our executive officers or other key employees will likely involve significant time and costs and may significantly delay or prevent the achievement of our business objectives. Our business would also be adversely affected if we fail to adequately plan for succession of our executives and senior management; or if we fail to effectively recruit, integrate, retain and develop key talent and/or align our talent with our business needs, in light of the current rapidly changing environment. While we have employment arrangements with a limited number of key executives, these do not guarantee that the services of these or suitable successor executives will continue to be available to us.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high-technology industries, job candidates often consider the value of the stock options or other equity instruments they are to receive in connection with their employment. Volatility in the price of our stock may, therefore, adversely affect our ability to attract or retain highly skilled personnel. Failure to attract new personnel or failure to retain and motivate our current personnel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seek to acquire or invest in businesses, software-based products and services or technologies that we believe could complement or expand our solution, enhance our technical capabilities or otherwise offer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 Additionally, the pursuit of potential acquisitions may divert the attention of management and cause us to incur various expenses in identifying, investigating and pursuing suitable acquisitions, whether or not they are consummated.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as a result of unanticipated costs or liabilities, difficulty converting the customers of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business onto our platform and contract terms, diversion of management’s attention from other business concerns and employee retention issues, among other reasons.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conduct telehealth and teletherapy services through our network of providers in a particular jurisdiction is directly dependent upon the applicable laws governing remote care, the practice of medicine and healthcare delivery in general in such location, which are subject to changing political, regulatory and other influences. With respect to telehealth and teletherapy services, in the past, state licensing boards have established new rules or interpreted existing rules in a manner that has limited or restricted our ability to conduct our business as it was conducted in other states. Some of these actions have resulted in the suspension or modification of our telehealth and teletherapy operations in 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the law in every jurisdiction in which we operate, on an ongoing basis, and we cannot provide assurance that our activities and arrangements, if challenged, will be found to be in compliance with the law.</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it is possible that the laws and rules governing the practice of medicine and therapy, including telehealth and prescribing medication online, in one or more jurisdictions may change in a manner deleterious to our business. For instance, a few states have imposed different, and, in some cases, additional, standards regarding the provision of services via telehealth and teletherapy. Some states impose strict standards on using telehealth and teletherapy to prescribe certain classes of controlled substances that 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an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government regulations may result in increased costs or adversely affect our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We have identified what we believe are the areas of government regulation that, if changed, would be costly to us. These include rules governing the practice of medicine by physicians and other licensed professionals;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customers, members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expanding additional resources to monitor developments in applicable rules and ensure compliance. The failure to adequately comply with these future laws and regulations may delay or possibly prevent some of our products or services from being offered to members and customers, or their members and patients, which could have a material adverse effect on our business, financial condition and results of operations.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increasing pressure for businesses to use AI to streamline processes and remain competitive. It is expected that laws and regulations around the use of AI and machine learning tools will increase over the next few years but it is unknown at this time what these laws and regulations will address and how and whether they will be adopted globally. As we introduce AI or machine learning into our information technology systems, we could become subject to these new regulations, which may be difficult to comply with. Some of our competitors may not be required to comply, which would put us at a competitive disadvantage. In addition, we may find we do not have the right employee set for the advancement of our AI and machine learning initiatives or that we have not provided the appropriate training to our staff.</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customers are found to violate state laws prohibiting the corporate practice of medicine or fee splitting.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various agreements with Talkspace Provider Network, PA ("TPN"), a Texas professional association entity, which in turn contracts with our other affiliated professional entities ("PC entities"), physicians, therapists, and other licensed professionals for clinical and professional services provided to our members. There is a risk that U.S. state authorities in some jurisdictions may find that these contractual relationships with professional entities, physicians and other healthcare providers providing telehealth and teletherapy violate laws prohibiting the corporate practice of medicine (and other professional services) and professional fee splitting. These laws generally prohibit the practice of medicine by lay persons or entities and prohibit us from employing physicians and certain licensed professionals, directing the clinical practice of physicians and certain licensed professionals, holding an ownership interest in an entity that employs physicians and certain licensed professionals or from engaging in certain financial arrangements, such as splitting professional fees with physicians and certain licensed professionals. The laws are intended to prevent unlicensed persons or entities from interfering with or inappropriately influencing a healthcare provider’s professional judgment. The extent to which each state considers particular actions or contractual relationships to constitute improper influence of professional judgment varies across the states and is subject to change and to evolving interpretations by state boards of medicine and professional counselors and therapists, and state attorneys general, among others. As such, we must monitor our compliance with applicable laws in every jurisdiction in which we operate on an ongoing basis and we cannot guarantee that subsequent interpretation of the corporate practice of medicine or fee splitting laws will not circumscribe our business operations.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TPN contracts with therapists and other licensed professionals or enters into agreements with the PC entities, physicians, therapists and other licensed professionals for the clinical and professional services provided to our members. We do not own TPN or the PC entities; TPN and the PC entities are 100% owned by an independent licensed physician qualified to own TPN and such professional entities in the respective states of incorporation. A material change in our relationship with TPN or among TPN and the contracted professional entities, whether resulting from a dispute among the entities, a change in government regulation, or the loss of these affiliations, could impair our ability to provide services to members as we intend under the transitioned structure and could have a material adverse effect on our business, financial condition, and results of operations.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 corporate practice of medicine doctrines also often impose penalties on physicians themselves for aiding the corporate practice of medicine, which could discourage physicians from participating in our network of providers. Due to the prevalence of the corporate practice of medicine doctrine in states where we conduct our business, we have entered into various agreements with TPN. One such agreement is a management services agreement with TPN, pursuant to which TPN reserves exclusive control and responsibility for all aspects of the practice of medicine and the delivery of medical services and we provide non-clinical management and administrative services in exchange for a management fee. The PC entities, physicians, therapists and other licensed professionals who provide clinical and professional services to our members through contracts with TPN, also retain exclusive control and responsibility for all aspects of medical services provided to our members. Although we seek to substantially comply with applicable state prohibitions on the corporate practice of medicine and fee splitting, state officials who administer these laws or other third parties may successfully challenge our organization and contractual arrangements with our providers once implemented. If such a claim were successful, we could be subject to civil and criminal penalties and could be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required to restructure or terminate the applicable contractual arrangements. A determination that these arrangements violate state statutes, or our inability to successfully restructure our relationships with our providers to comply with these statutes, could eliminate customers located in certain states from the market for our services. Furthermore, these arrangements could subject us to additional scrutiny by federal and state regulatory bodies regarding federal and state fraud and abuse laws. Any scrutiny, investigation, adverse determination or litigation with regard to our arrangements with TPN and the PC entities could have a material adverse effect on our business,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on us of ongoing healthcare legislation and other changes in the healthcare industry and in healthcare spending is currently unknown, but may adversely affect our business, financial condition and results of operations.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impact on us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The ACA made major changes in how healthcare is delivered and reimbursed, and it increased access to health insurance benefits to the uninsured and underinsured population of the United States.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It is uncertain the extent to which any such changes may impact our business or financial condition.</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up to 2% per fiscal year pursuant to the Budget Control Act of 2011 and subsequent laws, which began in 2013 and will remain in effect through 2030,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2022, the No Surprises Act went into effect to prevent surprise medical bills to non-federal healthcare program patients. Such changes in the regulatory environment may also result in changes to our payer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third-party payers will pay for healthcare products and services, which could adversely affect our business, financial condition and results of operations.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Reimbursement from federal and/or state healthcare programs could expose our business to broadly applicable fraud and abuse laws and other healthcare laws and regulations that would regulate the business. As we enter the teen behavioral health market, we will encounter parental consent rules and regulations that vary by state, creating another level of compliance risks. The U.S. healthcare industry is heavily regulated and closely scrutinized by federal and state governments. Comprehensive statutes and regulations govern the manner in which we and our affiliated professional entities may provide and bill for services and collect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reimbursement from governmental programs and private payers, our contractual relationships with TPN and its corresponding relationship with its contracted providers, vendors and customers, our marketing activities and other aspects of our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summary of the potential applicable U.S. federal and state healthcare laws, see, “Item 1. Business – U.S. Regulation.”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 if in the future we provide services reimbursable by government healthcare programs,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ourselves against it, could cause us to incur significant legal expenses, divert our management’s attention from the operation of our business and result in adverse publicity.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by us, our employees, affiliates, partners or others with whom we work to comply with applicable laws and regulations could result in administrative, civil, commercial or criminal liabilities, including exclusion from participation in government healthcare programs, including Medicare and Medicaid. Any such penalties could have a material adverse effect on our reputation, our ability to compete for other contracts and our financial position, results of operations and/or cash flows.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customer base and member bases and revenue.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privacy and security of personal information stored, maintained, received or transmitted electronically is an enforcement priority in the United States and internationally. While we strive to comply with all applicable privacy and security laws and regulations, as well as our own posted privacy policies and legal standards for privacy, any failure or perceived failure to comply with such requirements may result in proceedings or actions against us by government entities or private parties, or could cause us to lose customers or members, any of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 information or other privacy-related matters, even if unfounded and even if we are in compliance with applicable laws, could damage our reputation and harm our business.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govern collection, storage, dissemination, use, retention, transfer, disposal, security and confidentiality of personal information, including but, not limited to, HIPAA; U.S. state privacy, security and breach notification and healthcare information laws; the California Consumer Protection Act (“CCPA”); and other data protection laws.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requires us to maintain policies and procedures governing PHI that are used or disclosed, and to implement administrative, physical and technical safeguards to protect PHI, including PHI maintained, used and disclosed in electronic form. Ongoing implementation and oversight of these measures involves significant time, effort and expense.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HIPAA also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Further, if a breach affects 500 patients or more, it must be reported to the U.S. Department of Health and Human Services Office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Entities that are found to be in violation of HIPAA as the result of a breach of unsecured PHI or following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and HIPAA's standards have been used as the basis for duty of care in state civil suits such as those for negligence or recklessness in the misuse or breach of PHI. Any such penalties or lawsuits could harm our business, financial condition, results of operations and prospects.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HIPAA, the U.S. federal government and various states and governmental agencies have adopted or are considering adopting various laws, regulations and standards regarding the collection, use, retention, security, disclosure, transfer and other processing of sensitive and personal information, to which we are or may become subject. For example, California implemented the California Consumer Privacy Act, or CCPA, which came into effect in 2020, and the California Privacy Rights Act (“CPRA”), which came into effect on January 1, 2023, which we are subject. The CCPA imposes obligations and restrictions on businesses regarding their collection, use, processing, retaining and sharing of personal information and provides new and enhanced data privacy rights to California residents. Protected health information that is subject to HIPAA is excluded from the CCPA; however, information we hold about individual residents of California that is not subject to HIPAA would be subject to the CCPA. The CPRA significantly amends and expands the CCPA, including by providing consumers with additional rights with respect to their personal information. The CPRA also creates a new state agency that will be vested with authority to implement and enforce the CCPA and the CPRA. We expect states to continue to enact legislation similar to the CCPA and CPRA that provides consumers with new privacy rights and increases the privacy and security obligations of entities handling certain personal information of such consumers. Laws similar to the CCPA and CPRA have passed in Virginia and Colorado, and have been proposed in other states and at the federal level, reflecting a trend toward more stringent privacy legislation in the United States.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we are subject to certain other state laws such as the California Confidentiality of Medical Information Act, which imposes restrictive requirements regulating the use and disclosure of health information and other personal information. Such laws and regulations are not necessarily preempted by HIPAA, particularly if a state affords greater protection to individuals than HIPAA. Where state laws are more protective, we have to comply with the stricter provisions. Further, in addition to fines and penalties imposed upon violators, some of these state laws, such as the CCPA, also afford private rights of action to individuals who believe their personal information has been misused.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aggregate, state-based data privacy and security laws and regulations may impact our business. All of these evolving compliance and operational requirements impose significant costs that are likely to increase over time, may require us to modify our data processing practices and policies, divert resources from other initiatives and projects could restrict the way services involving data are offered and could subject us to additional liabilities, all of which may adversely affect our results of operations, business, and financial condition.</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there are numerous foreign laws, regulations and directives regarding privacy and the collection, storage, transmission, use, processing, disclosure and protection of personal information, the scope of which is continually evolving and subject to differing interpretations. If we provide services to users outside the United States, we may be subject to such laws, regulations, directives and obligations in relation to processing of personal information, and we may be subject to significant consequences, including penalties, fines and contractual liability, for our failure to comply. We are subject to the EU GDPR and the UK data privacy regime consisting primarily of the UK General Data Protection Regulation and the UK Data Protection Act 2018 (the “UK GDPR”) (the EU GDPR and the UK GDPR, collectively the “GDPR”), which impose a strict data protection compliance regime including stringent data protection requirements. EU Member States and the UK are also able to legislate separately on sensitive data (i.e., mental health), and we must comply with these local laws where we offer our services.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EEA and the UK, including to the United States.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We will be required to implement the revised standard contractual clauses within the relevant time frames. The revised standard contractual clauses apply only to the transfer of personal data outside of the EEA and not the UK; the UK’s Information Commissioner’s Office launched a public consultation on its draft revised data transfers mechanisms in August 2021. We continue to monitor updates and we may be required to implement new or revised documentation and processes in relation to our data transfers subject to the UK GDPR, within the relevant time frames. As supervisory authorities issue further guidance on data export mechanisms, including circumstances where the standard contractual clauses cannot be used, and/or start taking enforcement action, we could suffer additional costs, complaints and/or regulatory investigations or fines, and/or if we are otherwise unable to transfer personal information between and among countries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regions in which we operate, it could affect the manner in which we provide our services, the geographical location or segregation of our relevant systems and operations, and could adversely affect our financial results.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relationship between the UK and the EU in relation to certain aspects of data protection law, particularly transfers of personal data, remains unclear following the UK’s departure from the EU on January 1, 2021,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requirements of the GDPR may result in fines of up to €20,000,000/ £17.5 million or up to 4% of our total worldwide annual revenue for the preceding financial year, whichever is higher. In addition,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publish statements to our customers and members that describe how we handle and protect personal information. If federal or state regulatory authorities or private litigants consider any portion of these statements to be inaccurate, incomplete, or not fully implemented, we may be subject to claims of deceptive practices or other violation of law, which could lead to significant liabilities and consequences, including, without limitation, costs of responding to investigations, defending against litigation, settling claims and complying with regulatory or court orders.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business activities can be subject to challenge under one or more of such laws. The applicability,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and of processing of health data generally, which has led to a number of investigations, prosecutions, convictions and settlements in the healthcare industry. Any such investigations, prosecutions, convictions or settlements could result in significant financial penalties, damage to our brand and reputation, and a loss of customers and/or members, any of which could have an adverse effect on our business.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significant change to applicable laws, regulations or industry practices regarding the collection, use, retention, security or disclosure of our users’ personal information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users' personal information data or develop new services and features. Any of the foregoing could harm our competitive position,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have limited international operations, we may be or may become subject to compliance obligations under anti-corruption laws and regulations imposed by governmental authorities around the world with jurisdiction over our operations. As a U.S. corporation, we are subject to the regulations imposed by the FCPA, which generally prohibits U.S. companies and their intermediaries from making improper payments to foreign officials for the purpose of obtaining or maintaining business. As a result, the Company faces the risk that an unauthorized payment or offer of payment could be made by one of its employees or intermediaries, even if such parties are not always subject to the Company’s control or are not themselves subject to the FCPA or other similar laws to which the Company may be subject. Any allegation or determination that the Company has violated the FCPA (or any other applicable anti-bribery laws in countries in which the Company does business, including the U.K. Bribery Act 2010) could have a material adverse effect on the Company’s business, financial position, results of operations, cash flows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enforce or defend our intellectual property rights could impair our ability to protect our technology and our brand.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maintain, protect and enforce our intellectual property and other proprietary rights. We rely upon a combination of trademark, patent and trade secret laws, as well as license and access agreements and other contractual provisions, to protect our intellectual property rights. These laws, procedures and agreements provide only limited protection and any of our intellectual property rights may be challenged, invalidated, circumvented, infringed, diluted or misappropriated.</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customers or members or the public, of the source code to such proprietary software. Any such disclosure would have a negative effect on our business and the value of our proprietary software.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challenge the validity of our trademarks and patents or oppose trademark and patent applications. Companies with other patents could require us to stop using or pay to use required technology.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our trademarks, trade name and brand names to distinguish our products and services from the products and services of our competitors, and we have registered or applied to register many of these trademarks. In the event that our trademarks are successfully challenged, we could be forced to rebrand products or services, which could result in time and expense to re-program our software and websites, loss of brand recognition, and could require us to devote resources to advertising and marketing new brands.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applied for, and intend to continue to apply for, patents relating to our software and technology. Such applications may not result in the issuance of any patents, and any patents that may be issued may not provide adequate protection from competition. Furthermore, because the issuance of a patent is not conclusive as to its inventorship, scope, validity or enforceability, it is possible that patents issued to us may be challenged successfully and found to be invalid or unenforceable in the future. If we are unable to secure or maintain patent coverage, our technology could become subject to competition from the sale of similar competing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Competitors may also be able to design around our now held or later issued patents. Changes in either the patent laws or interpretation of the patent laws in the United States and other countries may diminish the value of such patents or narrow the scope of our patent protection. If these developments were to occur, we could face increased competition.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patents issued to us relating to our software and technology may be infringed by the products or processes of others.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any claim of infringement of another party’s intellectual property rights.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could become a party to intellectual property litigation and other infringement proceedings. The cost to us of any intellectual property litigation or other infringement or misappropriation proceeding, even if resolved in our favor, could be substantial. Some of our would-be competitors may sustain the costs of such litigation more effectively than we can because of their greater financial resources.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customers using our solution have misappropriated, misused or otherwise infringed other parties’ intellectual property rights, particularly as the number of competitors in our market grows and the functionality of applications amongst competitors overlaps. Our existing, or any future, litigation, whether or not successful, could be extremely costly to defend, divert our management’s time, attention and resources, damage our reputation and brand and substantially harm our business.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Additionally, in connection with such litigation, our use of such intellectual property could be temporarily or permanently enjoined, forcing us to stop using such intellectual property altogether. Even if we are successful in defending against such claims, litigation could result in substantial costs and be a distraction to management and other employees.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most instances, we have agreed to indemnify our customers against certain third-party claims, which may include claims that our solution infringes the intellectual property rights of such third parties. Our business could be adversely affected by any significant disputes between us and our customers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7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offering or using technologies that incorporate the challenged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make substantial payments or undertake any of the other actions noted above as a result of any intellectual property infringement claims against us or any obligation to indemnify our customers for such claims, such payments or costs could have a material adverse effect on our business, financial condition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software may not operate properly, which could damage our reputation, give rise to claims against us or divert application of our resources from other purposes, any of which could harm our business, financial condition and results of operations.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customer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expectations in terms of performance, customers could assert liability claims against us or attempt to cancel their contracts with us. This could damage our reputation and impair our ability to attract or maintain customers. Moreover, data services are complex and those we offer have in the past contained, and may in the future develop or contain, undetected defects or errors. Material performance problems, defects or errors in our existing or new software-based products and services may arise in the future and may result from the interface of our solution with systems and data that we did not develop and the function of which is outside of our control or from issues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customers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a transaction or arrangement or may need to purchase such rights at a premium.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OUR WARRANTS AND OPERATING AS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our ability to produce accurate and timely financial statements could be impaired, which may adversely affect investor confidence in us and, as a result, the value of our common stock.</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establish and maintain internal controls over financial reporting and, pursuant to Section 404 of the Sarbanes-Oxley Act, we are required to provide a report by management on, among other things, the effectiveness of our internal control over financial reporting for our annual reports on Form 10-K filed with the SEC. In addition, Section 404 of the Sarbanes-Oxley Act also generally requires an attestation from our independent registered public accounting firm on the effectiveness of our internal control over financial reporting.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maintain internal control over financial reporting could limit our ability to prevent or detect a misstatement of our financial results, limit our ability to report financial information on a timely and accurate basis, lead to a loss of investor confidence and have a negative impact on the trading price of our common stock and could subject us to sanctions or investigations by Nasdaq, the SEC or other regulatory authorities. A failure to implement and maintain effective control systems could also restrict our future access to the capital markets.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the Company’s internal control over financial reporting may not prevent or detect misstatements because of its inherent limitations, including the possibility of human error, the circumventions or overriding of controls or fraud. Even effective internal controls can provide only reasonable assurance with respect to the preparation and fair presentation of financial statements. The existence of a material weakness could result in errors in the Company’s financial statements that could result in a restatement of financial statements, which could cause the Company to fail to meet its reporting obligations, lead to a loss of investor confidence and have a negative impact on the trading price of the Company’s common stock.</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contain certain provisions, including anti-takeover provisions that limit the ability of stockholders to take certain actions and could delay or discourage takeover attempts that stockholders may consider favorable.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organizational documents and the Delaware General Corporation Law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our organizational documents include the following provisions or features that may make the acquisition of our company more difficult:</w:t>
      </w:r>
    </w:p>
    <w:p>
      <w:pPr>
        <w:spacing w:after="0" w:line="81"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permitted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transactions are not “corporate opportunities” and the Identified Persons (as defined in the Certificate of Incorporation) are not subject to the doctrine of corporate opportunity and such Identified Persons do not have any fiduciary duty to refrain from engaging directly or indirectly in the same or similar business activities or lines of business as us;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governed by Section 203 of the DGCL and, instead, our Certificate of Incorporation includes a provision that is substantially similar to Section 203 of the DGCL, and acknowledges that certain stockholders cannot be “interested stockholders” (as defined in the Certificate of Incorporation);</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ability to amend the bylaws, which may allow our board of directors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board of directors or management.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requires,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the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provisions do not apply to claims arising under the Securities Act, the Exchange Act or other federal securities laws for which there is exclusive federal or concurrent federal and state jurisdiction.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 provided, however, that our stockholders will not be deemed to have waived our compliance with the federal securities laws and the rules and regulations thereunder. The enforceability of similar choice of forum provisions in other companies’ organizational documents has been challenged in legal proceedings, and it is possible that, in connection with claims arising under federal securities laws, a court could find the choice of forum provisions contained in the Certificate of Incorporation to be inapplicable or unenforceable.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the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resales of our common stock may cause the market price of our securities to drop significantly, even if our business is doing well.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restrictions on resale end and registration statements (to provide for the resale of such shares from time to time) are available for use, the sale or possibility of sale of these shares could have the effect of increasing the volatility in our share price or the market price of our common stock could decline if the holders of currently restricted shares sell them or are perceived by the market as intending to sell them.</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issue additional common stock or other equity securities without the approval of investors, including for among other purposes to raise capital or pay for an acquisition, which would dilute investors’ ownership interests and may depress the market price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investor's percentage of ownership in the Company may be diluted in the future.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with any publicly traded company, an investor’s percentage ownership in the Company may be diluted in the future because of equity issuances for acquisitions, capital markets transactions, or other circumstances, including the equity awards that the Company has and will continue to grant its directors, officers and employees. Certain holders also have outstanding warrants to purchase shares of common stock that are exercisable in accordance with the terms of the Warrant Agreement governing those securities. To the extent such warrants are exercised, additional shares of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public warrants will ever be in the money prior to their expiration, and as such, the warrants may expire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and future agreements and financing instruments, business prospects and such other factors as our board of directors deems relevant.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 Agreement provides that the terms of the warrants may be amended without the consent of any holder for, among other things, the purpose of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common stock purchasable upon exercise of a warrant.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 This choice-of-forum provision may limit a warrant holder’s ability to bring a claim in a judicial forum that it finds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our common stock equals or exceeds $18.00 per share (as adjusted for stock splits, stock recapitalizations,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securities may be volatile.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securities may fluctuate due to a variety of factors, including:</w:t>
      </w:r>
    </w:p>
    <w:p>
      <w:pPr>
        <w:spacing w:after="0" w:line="117"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services or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existing or any future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securities available for public sale;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or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geopolitical industry and market conditions;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and warrants regardless of our operating performance.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or downturns in the general economy or the industries in which our customers operate could disproportionately affect the demand for our solution and negatively impact our results of operations.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 worldwide economic and geopolitical conditions have experienced significant volatility during the last ten years, and market volatility and uncertainty remain widespread, making it potentially very difficult for our customers and us to accurately forecast and plan future business activities. The demand for our service is dependent on the general economy, which is in turn affected by geopolitical conditions and the stability of the global credit markets. The ongoing and potential future impacts of escalating global conflicts, including those between Russia and Ukraine, the Israel/Hamas war in the Middle East, as well as rising tensions between China and Taiwan, has heightened global economic and geopolitical uncertainty. During challenging economic times, our customers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customers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Relatedly, while we have a small back-office presence in Israel, none of our primary operations in the U.S. are dependent on those operations and we can use other locations and employees to fully supplement the work conducted in Israel.</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in order to execute our business plans, which may not be available on terms acceptable to us, or at all.</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cash and cash equivalents on hand, together with cash we expect to generate from future operations, will be sufficient to meet our working capital and capital expenditure requirements in the near future.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our operating results and financial condition.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changes in tax laws and have additional tax liabilities. We are subject to changes in tax laws, treaties or regulations and the interpretation or enforcement thereof in the United States and in jurisdictions in which we or any of our subsidiaries operate or are organized, and any such changes could have a material effect on our results of operations and liquidity. In October 2021, the Group of 20 endorsed a new global minimum tax rate for large multinational companies, which also has the support of a large number of countries and territories responsible for the overwhelming majority of global economic output. To take effect, the minimum tax would need to be implemented by each jurisdiction. In January 2025, the U.S. effectively pulled out of the global minimum tax rate program, although the exact implications of this action are unknown at this time</w:t>
      </w:r>
      <w:r>
        <w:rPr>
          <w:rFonts w:ascii="Times New Roman" w:cs="Times New Roman" w:eastAsia="Times New Roman" w:hAnsi="Times New Roman"/>
          <w:sz w:val="18"/>
          <w:szCs w:val="18"/>
          <w:color w:val="FF0000"/>
        </w:rPr>
        <w: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in the United States. Among other provisions, the IRA includes a 15% corporate minimum tax rate applied to certain large corporations and a 1% excise tax on corporate stock repurchases made after December 31, 2022. The IRA did not have a material impact to the Company thus far.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which is expensive, time-consuming and could divert management attention.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payor audits, investigations, and claims that arise in the ordinary course of business such as claims brought by our customers in connection with commercial disputes or employment claims made by our current or former associates. Litigation disputes, including the disputes we are currently facing, could cause us to incur unforeseen expenses, result in content unavailability, and otherwise occupy a significant amount of our management’s time and attention, any of which could negatively affect our business operations and financial position. While the ultimate outcome of investigations, inquiries, information requests and legal proceedings is difficult to predict, such matters can be expensive, time-consuming and distracting, and adverse resolutions or settlements of those matters may result in, among other things,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modification of our business practices, reputational harm or costs and significant payments, any of which could negatively affect our business operations and financial position.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our business.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securities price or trading volume could decline. While we expect to receive research analyst coverage, if no analysts commence coverage of us, the market price and volume for our securities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experience losses or liability not covered by insurance.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risks that are inherent in the provision of virtual behavioral healthcare. If customers, members or other individuals assert liability claims against us, any ensuing litigation, regardless of outcome, could result in a substantial cost to us, divert management’s attention from operations, and decrease market acceptance of our solution. We attempt to limit our liability to customers and members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 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recognizes the importance of assessing, identifying, and managing material risks associated with cybersecurity threats as a vital component to the success of our business. We have established policies and processes for assessing, identifying, and managing the material risk from cybersecurity threats which may include, among other things, operational risks; fraud; extortion; harm to our business, employees or customers; violation of privacy or security laws and other litigation and legal risk; and reputational risks.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routinely assess material risks from cybersecurity threats, which include unauthorized access to our information systems that may result in adverse effects on the confidentiality, integrity, or availability of such systems or any information residing therein. Our process for identifying and assessing material risks from cybersecurity threats operates alongside our broader overall risk assessment process, covering all company risks. For additional information regarding risks from cybersecurity threats, please refer to Item 1A, “Risk Factors,” in this annual report on Form 10-K.</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 cybersecurity specific risk assessment process, which helps identify residual risk from cybersecurity threats. Our risk assessments include the identification of reasonably foreseeable internal and external information security and cybersecurity risks, the likelihood that such events may occur and the impact or potential damage that could result from such risks. The assessments examine the adequacy of our policies, procedures, systems, and the safeguards in place to manage and mitigate the identified risks. The impact of these assessments is the refinement of existing safeguards and the implementation of new safeguards to improve our cybersecurity protections; reasonably address any identified gaps in existing safeguards; and ensure that we regularly monitor the effectiveness of those safeguards.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above processes, we engage with a third-party to review our information security program and related cybersecurity safeguards to help identify areas for continued focus, improvement, and/or compliance. Along with these third parties we ensure that the appropriate personnel collaborate with subject matter specialists, as necessary, to gather insights for identifying and assessing material cybersecurity threat risks, their impact and potential mitigations. We have implemented the following activities (among others) to mitigate risk:</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risk assessments to identify and assess cybersecurity risks and vulnerabilities in our information technology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checks prior to hire;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Encryption of data at rest and in transit;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Logging and event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to monitor for malicious activity and anomalous behavior;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Malware protection and restricting connections to malicious websites;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loss protection mechanisms;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penetration testing and internal vulnerability assessments;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assessments of our third-party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by internal and external audit of the effectiveness of information security-related internal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 emerging data protection laws and implement changes to our processes designed to comply as needed;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information security risk insurance that provides protection against the potential losses arising from a cybersecurity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incident response plan, as implemented by management, coordinates the activities we take to prepare for, detect, contain, eradicate, and recover from cybersecurity incidents as well as to comply with potentially applicable legal obligations and mitigate brand and reputational damage. The incident response plan also outlines the appropriate communication flow and response for certain categories of potential cybersecurity incidents. The Chief Technology Officer escalates material events, including to the Chief Executive Officer and Board.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require all employees to participate in cybersecurity awareness, privacy, security training annually and provide mechanisms to report potential threats.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use a third-party phishing awareness vendor to increase employee awareness of cybersecurity threats.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Third-party risks are included within our broader overall risk assessment process, as well as our cybersecurity-specific risk identification program. In addition, cybersecurity considerations affect the selection and oversight of our third-party service providers and we continually monitor cybersecurity threat risks identified through such diligence.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guarantee that our policies and procedures will be effective. Although our risk factors include further detail about the material cybersecurity risks we face and how a cybersecurity incident may affect our business strategy, results of operations or financial condition, we believe that risks from prior cybersecurity threats, including as a result of any previous cybersecurity incident, have not materially affected our business to date. We can provide no assurances that there will not be incidents in the future or that they will not materially affect us, including our business strategy, results of operations or financial condition. See “Item 1A. Risk Factors” for further information about these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increasing focus for our Board and management. Our Audit Committee is responsible for the oversight of risks from cybersecurity threats. At least quarterly, and more frequently as relevant, the Audit Committee receives an overview from management covering topics such as security posture, results from third-party assessments, progress towards pre-determined risk-mitigation-related goals, and material cybersecurity threat risks or incidents and developments, as well as the steps management has taken to respond to such risks.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Members of the Audit Committee are also encouraged to regularly engage in ad hoc conversations with management on cybersecurity-related news and discuss any updates to our cybersecurity risk management and strategy programs. Material cybersecurity risks are also considered during separate Board meeting discussions of important matters like risk management, and other relevant matters. Management or the Audit Committee will provide a comprehensive update to the Board on cybersecurity threats and risk mitigation generally at least annually, and more frequently as relevant.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information security and cybersecurity program is managed by our Chief Information Security Officer (CISO) and our Chief Technology Officer (CTO). The CISO and the Senior Director Information Security are responsible for our overall security and assessing and managing cybersecurity risks and threats. The CISO has over 20 years of information security, privacy, auditing and compliance experience and holds numerous certifications. The Senior Director of Information Security has over 15 years of experience in information security, and holds numerous certifications. The CTO has over 20 years of experience and leads our Company’s information systems and technological advancements. The SVP of Engineering has over 20 years of experience in IT and has specialized knowledge in systems and network infrastructure. The Director of Site Reliability Engineering and Security has nine years of experience and has principal responsibility for our network operations and system administration.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members of management are informed about and monitor the prevention, mitigation, detection, and remediation of cybersecurity incidents through their management of, and participation in, the cybersecurity risk management and strategy processes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headquarters are located in New York, NY. As of December 31, 2024, the majority of the Company’s employees are working remotely.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limited operations outside the United States. The Company has one foreign subsidiary located in Israel which leases its operating facilities under a month-to-month operating lease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view any of its leased facilities as material to its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no material pending legal proceedings as of December 31, 2024, however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See Note 8, “Commitments and Contingencies,” in the notes to consolidated financial statements included in Part II, Item 8 of this Annual Report on Form 10-K, which is incorporated herein by reference.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23, 2021, Talkspace, Inc.'s common stock and warrants began trading on the Nasdaq under the symbols “TALK” and “TALKW,”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that time, there was no public market for our common stock or warrants.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168,849,591 shares of common stock issued and outstanding, and 12,757,500 Private Placement Warrants and 20,722,500 Public Warrants to purchase the Company’s common stock at an exercise price of $11.50 per share. As of December 31, 2024, there were 9,725,095 and 7,027,075 shares underlying outstanding stock options and non-vested restricted stock units,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10, 2025, there were 67 holders of record of our common stock and 12 holders of record of our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of directors. Our ability to declare dividends may be limited by the terms of financing or other agreements entered into by us or our subsidiaries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stock-based compensation plan under which the Company may grant cash and equity incentive awards to officers, employees, directors, consultants and service providers and one employee stock purchase plan under which employees of the Company and its participating subsidiaries are provided with the opportunity to purchase Talkspace common stock at a discount through accumulated payroll deductions during successive offering periods. See Note 10 “Stock-based Compensation,” in the notes to the consolidated financial statements and Part III, Item 12, which incorporates information by reference to the definitive Proxy Statement for our 2025 Annual Meeting of Stockholders, for further details.</w:t>
      </w:r>
    </w:p>
    <w:p>
      <w:pPr>
        <w:spacing w:after="0" w:line="179" w:lineRule="exact"/>
        <w:rPr>
          <w:sz w:val="20"/>
          <w:szCs w:val="20"/>
          <w:color w:val="auto"/>
        </w:rPr>
      </w:pPr>
    </w:p>
    <w:p>
      <w:pPr>
        <w:ind w:right="4840"/>
        <w:spacing w:after="0" w:line="469" w:lineRule="auto"/>
        <w:rPr>
          <w:sz w:val="20"/>
          <w:szCs w:val="20"/>
          <w:color w:val="auto"/>
        </w:rPr>
      </w:pPr>
      <w:r>
        <w:rPr>
          <w:rFonts w:ascii="Times New Roman" w:cs="Times New Roman" w:eastAsia="Times New Roman" w:hAnsi="Times New Roman"/>
          <w:sz w:val="18"/>
          <w:szCs w:val="18"/>
          <w:b w:val="1"/>
          <w:bCs w:val="1"/>
          <w:color w:val="auto"/>
        </w:rPr>
        <w:t xml:space="preserve">Recent Sales of Unregistered Securities; Use of Proceeds from Registered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by the Company of shares of its Common Stock during the fourth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73025</wp:posOffset>
            </wp:positionV>
            <wp:extent cx="93980" cy="4711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47117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73025</wp:posOffset>
            </wp:positionV>
            <wp:extent cx="93980" cy="4711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47117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73025</wp:posOffset>
            </wp:positionV>
            <wp:extent cx="93980" cy="4711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47117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Purchased as</w:t>
            </w:r>
          </w:p>
        </w:tc>
        <w:tc>
          <w:tcPr>
            <w:tcW w:w="260" w:type="dxa"/>
            <w:vAlign w:val="bottom"/>
          </w:tcPr>
          <w:p>
            <w:pPr>
              <w:spacing w:after="0"/>
              <w:rPr>
                <w:sz w:val="11"/>
                <w:szCs w:val="11"/>
                <w:color w:val="auto"/>
              </w:rPr>
            </w:pPr>
          </w:p>
        </w:tc>
        <w:tc>
          <w:tcPr>
            <w:tcW w:w="19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Approximate Dollar Value of</w:t>
            </w: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 of Publicly</w:t>
            </w:r>
          </w:p>
        </w:tc>
        <w:tc>
          <w:tcPr>
            <w:tcW w:w="260" w:type="dxa"/>
            <w:vAlign w:val="bottom"/>
          </w:tcPr>
          <w:p>
            <w:pPr>
              <w:spacing w:after="0"/>
              <w:rPr>
                <w:sz w:val="11"/>
                <w:szCs w:val="11"/>
                <w:color w:val="auto"/>
              </w:rPr>
            </w:pPr>
          </w:p>
        </w:tc>
        <w:tc>
          <w:tcPr>
            <w:tcW w:w="19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that May Yet Be</w:t>
            </w:r>
          </w:p>
        </w:tc>
      </w:tr>
      <w:tr>
        <w:trPr>
          <w:trHeight w:val="12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500" w:type="dxa"/>
            <w:vAlign w:val="bottom"/>
          </w:tcPr>
          <w:p>
            <w:pPr>
              <w:jc w:val="right"/>
              <w:ind w:right="57"/>
              <w:spacing w:after="0" w:line="128" w:lineRule="exact"/>
              <w:rPr>
                <w:sz w:val="20"/>
                <w:szCs w:val="20"/>
                <w:color w:val="auto"/>
              </w:rPr>
            </w:pPr>
            <w:r>
              <w:rPr>
                <w:rFonts w:ascii="Times New Roman" w:cs="Times New Roman" w:eastAsia="Times New Roman" w:hAnsi="Times New Roman"/>
                <w:sz w:val="13"/>
                <w:szCs w:val="13"/>
                <w:b w:val="1"/>
                <w:bCs w:val="1"/>
                <w:color w:val="auto"/>
              </w:rPr>
              <w:t>Total Number of Shares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 Price Paid</w:t>
            </w:r>
          </w:p>
        </w:tc>
        <w:tc>
          <w:tcPr>
            <w:tcW w:w="220" w:type="dxa"/>
            <w:vAlign w:val="bottom"/>
          </w:tcPr>
          <w:p>
            <w:pPr>
              <w:spacing w:after="0"/>
              <w:rPr>
                <w:sz w:val="11"/>
                <w:szCs w:val="11"/>
                <w:color w:val="auto"/>
              </w:rPr>
            </w:pPr>
          </w:p>
        </w:tc>
        <w:tc>
          <w:tcPr>
            <w:tcW w:w="15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Announced Plans or</w:t>
            </w:r>
          </w:p>
        </w:tc>
        <w:tc>
          <w:tcPr>
            <w:tcW w:w="260" w:type="dxa"/>
            <w:vAlign w:val="bottom"/>
          </w:tcPr>
          <w:p>
            <w:pPr>
              <w:spacing w:after="0"/>
              <w:rPr>
                <w:sz w:val="11"/>
                <w:szCs w:val="11"/>
                <w:color w:val="auto"/>
              </w:rPr>
            </w:pPr>
          </w:p>
        </w:tc>
        <w:tc>
          <w:tcPr>
            <w:tcW w:w="192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Purchased Under the Program</w:t>
            </w: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0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Programs</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or Plan</w:t>
            </w:r>
          </w:p>
        </w:tc>
        <w:tc>
          <w:tcPr>
            <w:tcW w:w="130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(in Thousands) </w:t>
            </w:r>
            <w:r>
              <w:rPr>
                <w:rFonts w:ascii="Times New Roman" w:cs="Times New Roman" w:eastAsia="Times New Roman" w:hAnsi="Times New Roman"/>
                <w:sz w:val="16"/>
                <w:szCs w:val="16"/>
                <w:b w:val="1"/>
                <w:bCs w:val="1"/>
                <w:color w:val="auto"/>
                <w:vertAlign w:val="superscript"/>
              </w:rPr>
              <w:t>(1)</w:t>
            </w:r>
          </w:p>
        </w:tc>
      </w:tr>
      <w:tr>
        <w:trPr>
          <w:trHeight w:val="115"/>
        </w:trPr>
        <w:tc>
          <w:tcPr>
            <w:tcW w:w="2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2"/>
              </w:rPr>
              <w:t>Period</w:t>
            </w:r>
          </w:p>
        </w:tc>
        <w:tc>
          <w:tcPr>
            <w:tcW w:w="390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top w:val="single" w:sz="8" w:color="auto"/>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1160" w:type="dxa"/>
            <w:vAlign w:val="bottom"/>
            <w:tcBorders>
              <w:top w:val="single" w:sz="8" w:color="auto"/>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540" w:type="dxa"/>
            <w:vAlign w:val="bottom"/>
            <w:tcBorders>
              <w:top w:val="single" w:sz="8" w:color="auto"/>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top w:val="single" w:sz="8" w:color="auto"/>
              <w:bottom w:val="single" w:sz="8" w:color="CFF0FC"/>
            </w:tcBorders>
            <w:shd w:val="clear" w:color="auto" w:fill="CFF0FC"/>
          </w:tcPr>
          <w:p>
            <w:pPr>
              <w:spacing w:after="0"/>
              <w:rPr>
                <w:sz w:val="10"/>
                <w:szCs w:val="10"/>
                <w:color w:val="auto"/>
              </w:rPr>
            </w:pPr>
          </w:p>
        </w:tc>
        <w:tc>
          <w:tcPr>
            <w:tcW w:w="1180" w:type="dxa"/>
            <w:vAlign w:val="bottom"/>
            <w:tcBorders>
              <w:top w:val="single" w:sz="8" w:color="auto"/>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r>
      <w:tr>
        <w:trPr>
          <w:trHeight w:val="129"/>
        </w:trPr>
        <w:tc>
          <w:tcPr>
            <w:tcW w:w="4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color w:val="auto"/>
              </w:rPr>
              <w:t>October 1, 2024 to October 31, 2024</w:t>
            </w:r>
          </w:p>
        </w:tc>
        <w:tc>
          <w:tcPr>
            <w:tcW w:w="1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280" w:type="dxa"/>
            <w:vAlign w:val="bottom"/>
            <w:gridSpan w:val="3"/>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November 1, 2024 to November 30, 2024</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2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December 1, 2024 to December 31, 2024</w:t>
            </w:r>
          </w:p>
        </w:tc>
        <w:tc>
          <w:tcPr>
            <w:tcW w:w="1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962,367</w:t>
            </w:r>
          </w:p>
        </w:tc>
        <w:tc>
          <w:tcPr>
            <w:tcW w:w="3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220" w:type="dxa"/>
            <w:vAlign w:val="bottom"/>
          </w:tcPr>
          <w:p>
            <w:pPr>
              <w:spacing w:after="0"/>
              <w:rPr>
                <w:sz w:val="11"/>
                <w:szCs w:val="11"/>
                <w:color w:val="auto"/>
              </w:rPr>
            </w:pPr>
          </w:p>
        </w:tc>
        <w:tc>
          <w:tcPr>
            <w:tcW w:w="1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962,367</w:t>
            </w:r>
          </w:p>
        </w:tc>
        <w:tc>
          <w:tcPr>
            <w:tcW w:w="880" w:type="dxa"/>
            <w:vAlign w:val="bottom"/>
            <w:gridSpan w:val="2"/>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29,001</w:t>
            </w:r>
          </w:p>
        </w:tc>
        <w:tc>
          <w:tcPr>
            <w:tcW w:w="120" w:type="dxa"/>
            <w:vAlign w:val="bottom"/>
          </w:tcPr>
          <w:p>
            <w:pPr>
              <w:spacing w:after="0"/>
              <w:rPr>
                <w:sz w:val="11"/>
                <w:szCs w:val="11"/>
                <w:color w:val="auto"/>
              </w:rPr>
            </w:pPr>
          </w:p>
        </w:tc>
      </w:tr>
      <w:tr>
        <w:trPr>
          <w:trHeight w:val="168"/>
        </w:trPr>
        <w:tc>
          <w:tcPr>
            <w:tcW w:w="4280" w:type="dxa"/>
            <w:vAlign w:val="bottom"/>
            <w:tcBorders>
              <w:bottom w:val="single" w:sz="8" w:color="CFF0FC"/>
            </w:tcBorders>
            <w:gridSpan w:val="3"/>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962,367</w:t>
            </w:r>
          </w:p>
        </w:tc>
        <w:tc>
          <w:tcPr>
            <w:tcW w:w="2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962,367</w:t>
            </w:r>
          </w:p>
        </w:tc>
        <w:tc>
          <w:tcPr>
            <w:tcW w:w="2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The Share Repurchase Program will remain in effect until the total authorized dollar amount of shares is repurchased or August 1, 2026.</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and retired an aggregate of 3,911,259 shares of its common stock for a total consideration of $11.0 million ($2.81 per share). As of December 31, 2024, $29.0 million remained available under the Share Repurchase Program.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purchases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repurchased will be retired. The program does not obligate the Company to repurchase any dollar amount or number of shares, and may be modified, suspended, or discontinued at any time at the Company’s discretion without prior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and table illustrate the cumulative total return from June 23, 2021 through December 31, 2024, for (i) our common stock, (ii) the Standard &amp; Poor’s 500 Index, (iii) the Standard &amp; Poor’s 500 Healthcare Index and (iv) the Russell 2000 Composite Index. The graph and the table assume that $100 was invested on June 23, 2021 in each of our common stock, the Standard &amp; Poor’s 500 Index, the Standard &amp; Poor’s 500 Healthcare Index and the Russell 2000 Composite Index, and that any dividends were reinvested. The comparisons reflected in the graph and table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93980</wp:posOffset>
            </wp:positionV>
            <wp:extent cx="4474845" cy="3694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74845"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as to “Talkspace,” the “Company,” “we,” “us” or “our” refer to the business of Talkspace, Inc. and its consolidated subsidiaries.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financial statements and the related notes contained in this Annual Report. This discussion contains forward-looking statements that reflect our plans, estimates, and beliefs that involve risks and uncertainties. As a result of many factors, such as those discussed in the “Risk Factors” and “Forward-Looking Statements” sections and elsewhere in this Annual Report, our actual results may differ materially from those anticipated in these forward-looking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section is to discuss and analyze our consolidated financial condition, liquidity and capital resources and results of operations for the years ended December 31, 2024 and 2023. For a discussion of our results of operations, liquidity and capital resources for the year ended December 31, 2022, see “Management's Discussion and Analysis of Financial Condition and Results of Operations” in Part II, Item 7 of our Annual Report on Form 10-K for the fiscal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is a healthcare company offering its members convenient and affordable access to a fully-credentialed network of highly qualified providers. We are a leading virtual behavioral healthcare company connecting millions of patients with licensed mental health providers across a wide and growing spectrum of care through virtual psychotherapy and psychiatry. We created a purpose-built platform to address the vast, unmet and growing demand for behavioral health services of our members. Through its platform, Talkspace serves:</w:t>
      </w:r>
    </w:p>
    <w:p>
      <w:pPr>
        <w:spacing w:after="0" w:line="72" w:lineRule="exact"/>
        <w:rPr>
          <w:sz w:val="20"/>
          <w:szCs w:val="20"/>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(commercial and government) and employee assistance programs (“Payor”) who offer their members access to our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(“DTE”) comprised of enterprises who offer their enterprise members access to our platform while their enterprise is under an active contract with Talkspace,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our platform.</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our revenues were $187.6 million compared to $150.0 million for the year ended December 31, 2023. As of December 31, 2024, we had approximately 179.4 million eligible lives through our Payor and DTE customers compared to 131.0 million eligible lives as of December 31, 2023. As of December 31, 2024, we had approximately 7,200 Consumer active members compared to 11,700 Consumer active members as of December 31, 2023. For the year ended December 31, 2024, our clinicians completed 1,229,200 sessions related to members covered under our Payor customers compared to 850,600 completed sessions for the year ended December 31, 2023. Please refer to the “Key Business Metrics” section below for a description of eligible lives and consumer active members.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Fluctuations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results may fluctuate from period-to-period as a result of a variety of factors, many of which are outside of our control, including, without limitation, the factors described in this section. Most of our revenue in any given quarter is derived from contracts entered into with our customers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 Our subscription model also makes it difficult for us to rapidly increase our total revenue through additional sales in any period, as revenue from new customers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which is how the chief operating decision maker (“CODM”), who is the Chief Executive Officer, reviews financial performance and allocates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560" w:type="dxa"/>
            <w:vAlign w:val="bottom"/>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customers or otherwise indicated)</w:t>
            </w:r>
          </w:p>
        </w:tc>
        <w:tc>
          <w:tcPr>
            <w:tcW w:w="2560" w:type="dxa"/>
            <w:vAlign w:val="bottom"/>
            <w:tcBorders>
              <w:bottom w:val="single" w:sz="8" w:color="auto"/>
            </w:tcBorders>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1700" w:type="dxa"/>
            <w:vAlign w:val="bottom"/>
            <w:tcBorders>
              <w:bottom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Number of eligible lives at year end </w:t>
            </w:r>
            <w:r>
              <w:rPr>
                <w:rFonts w:ascii="Times New Roman" w:cs="Times New Roman" w:eastAsia="Times New Roman" w:hAnsi="Times New Roman"/>
                <w:sz w:val="18"/>
                <w:szCs w:val="18"/>
                <w:i w:val="1"/>
                <w:iCs w:val="1"/>
                <w:color w:val="auto"/>
              </w:rPr>
              <w:t>(in millions)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completed Payor sessions during the year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health plan customers at year end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enterprise customers at year end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Consumer active members at year end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7520" w:type="dxa"/>
            <w:vAlign w:val="bottom"/>
          </w:tcPr>
          <w:p>
            <w:pPr>
              <w:spacing w:after="0"/>
              <w:rPr>
                <w:sz w:val="24"/>
                <w:szCs w:val="24"/>
                <w:color w:val="auto"/>
              </w:rPr>
            </w:pPr>
          </w:p>
        </w:tc>
        <w:tc>
          <w:tcPr>
            <w:tcW w:w="2560" w:type="dxa"/>
            <w:vAlign w:val="bottom"/>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520" w:type="dxa"/>
            <w:vAlign w:val="bottom"/>
          </w:tcPr>
          <w:p>
            <w:pPr>
              <w:spacing w:after="0"/>
              <w:rPr>
                <w:sz w:val="15"/>
                <w:szCs w:val="15"/>
                <w:color w:val="auto"/>
              </w:rPr>
            </w:pPr>
          </w:p>
        </w:tc>
        <w:tc>
          <w:tcPr>
            <w:tcW w:w="2560" w:type="dxa"/>
            <w:vAlign w:val="bottom"/>
            <w:tcBorders>
              <w:bottom w:val="single" w:sz="8" w:color="auto"/>
            </w:tcBorders>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Unique Payor active members during the period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Eligible Lives: </w:t>
      </w:r>
      <w:r>
        <w:rPr>
          <w:rFonts w:ascii="Times New Roman" w:cs="Times New Roman" w:eastAsia="Times New Roman" w:hAnsi="Times New Roman"/>
          <w:sz w:val="18"/>
          <w:szCs w:val="18"/>
          <w:color w:val="auto"/>
        </w:rPr>
        <w:t>We consider eligible lives “eligible” if such persons are eligible to receive treatment on the Talkspace platform, in the case of our Payor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at an agreed upon reimbursement rate through insurance under a health insurance plan or an employee assistance program. There may be instances where a person may be covered through multiple solutions. In these instances, the person is counted each time they are covered in the eligible lives calculation, which may cause this amount to reflect a higher number of eligible lives than we actually serve.</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Consumer Active Members: </w:t>
      </w:r>
      <w:r>
        <w:rPr>
          <w:rFonts w:ascii="Times New Roman" w:cs="Times New Roman" w:eastAsia="Times New Roman" w:hAnsi="Times New Roman"/>
          <w:sz w:val="18"/>
          <w:szCs w:val="18"/>
          <w:color w:val="auto"/>
        </w:rPr>
        <w:t>We consider consumer members “active” commencing on the date such member initiates contact with a provider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until the term of their monthly, quarterly or bi-annual subscription plan expires, unless terminated early.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Unique Payor Active Members: </w:t>
      </w:r>
      <w:r>
        <w:rPr>
          <w:rFonts w:ascii="Times New Roman" w:cs="Times New Roman" w:eastAsia="Times New Roman" w:hAnsi="Times New Roman"/>
          <w:sz w:val="18"/>
          <w:szCs w:val="18"/>
          <w:color w:val="auto"/>
        </w:rPr>
        <w:t>Represents unique users who had a session completed during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revenues from services provided to individuals who are qualified to receive access to the Company's services through our arrangements with health insurance plans, employee assistance programs and enterprises. We also generate revenues from the sale of monthly, quarterly, bi-annual and annual membership subscriptions to the Company's therapy platform as well as supplementary a la carte offerings directly to the Consumer through a subscription plan. See Note 2, “Summary of Significant Accounting Policies and Estimates” in the notes to the consolidated financial statements for further details.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growth is generated from a combination of increasing our eligible covered lives through contracting with health insurance plans and employee assistance programs, increasing utilization within eligible covered lives, expanding enterprise customers, and increasing membership subscriptions.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is comprised primarily of therapist payments. Cost of revenues is largely driven by the number of sessions and the size of our provider network that is required to service the growth of our Payor and DTE customers, in addition to the growth of our customer base.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 as well as pricing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consist of research and development, clinical operations, sales and marketing, and general and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and software-related costs. Research and development expenses exclude amounts reflected as capitalized internal-use software development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provider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customers to generate greater awareness and utilization of our platform among our Payor and DTE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certain executives, finance, accounting, legal, compliance and human resources functions, as well as professional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income, net includes the impact from (i) interest earned on cash equivalents invested in money market accounts, U.S. treasury securities and commercial paper, and investments in marketable securities, (ii) non-cash changes in the fair value of our warrant liabilities, and (iii) other financial expenses in connection with bank charges.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on income consists primarily of foreign income taxes related to income generated by our subsidiary organized under the laws of Israel. Taxes on income were immaterial for the years ended December 31, 2024, 2023 and 2022.</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for the years ended December 31, 2024 and 2023 and the dollar and percentage change between the respective years: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60" w:type="dxa"/>
            <w:vAlign w:val="bottom"/>
            <w:gridSpan w:val="3"/>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41"/>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20"/>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81"/>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Payor revenue</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124,339</w:t>
            </w:r>
          </w:p>
        </w:tc>
        <w:tc>
          <w:tcPr>
            <w:tcW w:w="3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80,823</w:t>
            </w:r>
          </w:p>
        </w:tc>
        <w:tc>
          <w:tcPr>
            <w:tcW w:w="3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DTE revenue</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38,466</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33,614</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 revenue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24,788</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(10,820 )</w:t>
            </w:r>
          </w:p>
        </w:tc>
        <w:tc>
          <w:tcPr>
            <w:tcW w:w="3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(30.4 )</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187,593</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150,045</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37,548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101,757</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75,665</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85,836</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74,380</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10,510</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17,571</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(7,061 )</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(40.2 )</w:t>
            </w:r>
          </w:p>
        </w:tc>
        <w:tc>
          <w:tcPr>
            <w:tcW w:w="0" w:type="dxa"/>
            <w:vAlign w:val="bottom"/>
          </w:tcPr>
          <w:p>
            <w:pPr>
              <w:spacing w:after="0"/>
              <w:rPr>
                <w:sz w:val="1"/>
                <w:szCs w:val="1"/>
                <w:color w:val="auto"/>
              </w:rPr>
            </w:pPr>
          </w:p>
        </w:tc>
      </w:tr>
      <w:tr>
        <w:trPr>
          <w:trHeight w:val="20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Clinical operations, net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50,654</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52,544</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(1,890 )</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22,627</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21,315</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90,333</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97,589</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(7,256 )</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40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(4,497 )</w:t>
            </w:r>
          </w:p>
        </w:tc>
        <w:tc>
          <w:tcPr>
            <w:tcW w:w="46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(23,209 )</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income, net</w:t>
            </w:r>
          </w:p>
        </w:tc>
        <w:tc>
          <w:tcPr>
            <w:tcW w:w="4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(5,739 )</w:t>
            </w:r>
          </w:p>
        </w:tc>
        <w:tc>
          <w:tcPr>
            <w:tcW w:w="4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(4,245 )</w:t>
            </w:r>
          </w:p>
        </w:tc>
        <w:tc>
          <w:tcPr>
            <w:tcW w:w="4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(1,494 )</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(18,964 )</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(124 )</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(56.9 )</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3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(19,182 )</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2024 compared to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increased by $37.5 million, or 25.0%, to $187.6 million for the year ended December 31, 2024 from $150.0 million for the year ended December 31, 2023. The increase was principally due to a 53.8% increase in Payor revenue driven by a higher number of completed Payor sessions, and 14.4% growth in DTE revenue, partially offset by a 30.4% decline in Consumer subscription revenue. Revenue from our Payor customers increased by $43.5 million, or 53.8% to $124.3 million for the year ended December 31, 2024 from $80.8 million for the year ended December 31, 2023. Revenue from our DTE customers increased by $4.9 million, or 14.4% to $38.5 million for the year ended December 31, 2024 from $33.6 million for the year ended December 31, 2023. Consumer member subscriptions revenue decreased by $10.8 million, or 30.4%, to $24.8 million for the year ended December 31, 2024 from $35.6 million for the year ended December 31, 2023, due to the Company's intentional and strategic decision to optimize and focus marketing efforts on attracting Payor members. While we no longer have marketing resources dedicated solely to the Consumer category, it continues to have a positive contribution to our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revenues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increased by $26.1 million or 34.5%, to $101.8 million for the year ended December 31, 2024 from $75.7 million for the year ended December 31, 2023, primarily due to increased hours worked by therapists as a result of increased Payor sessions.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$11.5 million, or 15.4%, to $85.8 million for the year ended December 31, 2024 from $74.4 million for the year ended December 31, 2023. Gross margin was 45.8% for the year ended December 31, 2024, compared to 49.6% during the year ended December 31, 2023. The increase in gross profit was primarily driven by an increase in revenues partially offset by an increase in cost of revenues to service more members and sessions. The decline in gross margin was driven by a shift in revenue mix towards Payor.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Overall, our operating expenses for the year ended December 31, 2024 have decreased by $7.3 million or 7.4% to $90.3 million from $97.6 million compared to the year ended December 31, 2023, primarily due to our efforts to achieve greater operational efficiency.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$7.1 million, or 40.2%, to $10.5 million for the year ended December 31, 2024 from $17.6 million for the year ended December 31, 2023, primarily due to a decrease in employee-related costs, inclusive of non-cash stock compensation expense and the exclusion of amounts reflected as capitalized internal-use software development costs. Capitalized internal-use software development costs were $6.1 million for the year ended December 31, 2024 and were immaterial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operations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increased by $0.4 million, or 6.2%, to $6.5 million for the year ended December 31, 2024 from $6.1 million for the year ended December 31, 2023, primarily due to an increase in employee-related costs, inclusive of non-cash stock compensation expense, partially offset by a decrease in third-party subcontractor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$1.9 million, or 3.6%, to $50.6 million for the year ended December 31, 2024 from $52.5 million for the year ended December 31, 2023. The decrease in sales and marketing expenses was primarily driven by a decrease in subcontractor costs and employee-related costs, inclusive of non-cash stock compensation expense, partially offset by an increase in direct marketing and promotional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$1.3 million, or 6.2%, to $22.6 million for the year ended December 31, 2024 from $21.3 million for the year ended December 31, 2023. The increase in general and administrative expenses for the year ended December 31, 2024 was primarily due to an increase in severance costs and professional fees, partially offset by a decrease in third-party subcontractor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income, net was $5.7 million for the year ended December 31, 2024, compared to financial income, net of $4.2 million for the year ended December 31, 2023. For the year ended December 31, 2024, financial income, net, primarily consisted of $6.0 million of interest income from our money market accounts and marketable securities. For the year ended December 31, 2023, financial income, net, primarily consisted of $5.3 million of interest income from our money market accounts partially offset by $0.9 million in non-cash losses resulting from the remeasurement of warrant liabilities. The increase in financial income, net of $1.5 million or 35.2% for the year ended December 31, 2024, was primarily due to an increase in interest earned from our money market accounts and marketable securities and a decrease in non-cash losses resulting from the remeasurement of warrant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on income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on income consists primarily of foreign income taxes related to income generated by our subsidiary organized under the laws of Israel. Taxes on income were immaterial for the years ending December 31, 2024 and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2023 compared to December 31, 2022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 results for the year ended December 31, 2023 compared to the year ended December 31, 2022, please refer to the “Management's Discussion and Analysis of Financial Condition and Results of Operations” in Part II, Item 7 of our Annual Report on Form 10-K for the fiscal year ended December 31, 2023 filed on March 13,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income (loss) before income taxes, net income (loss), income (loss) per share, or any other performance measures derived in accordance with U.S. GAAP. When evaluating our performance, you should consider adjusted EBITDA alongside other financial performance measures, including our net income (loss) and other GAAP results.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reconciliation is provided below for adjusted EBITDA to net income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 We do not provide a forward-looking reconciliation of adjusted EBITDA guidance as the amount and significance of the reconciling items required to develop meaningful comparable GAAP financial measures cannot be estimated at this time without unreasonable efforts. These reconciling items could be meaningful.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calculate adjusted EBITDA as net income (loss) adjusted to exclude (i) depreciation and amortization, (ii) interest and other expenses (income), net,</w:t>
      </w:r>
    </w:p>
    <w:p>
      <w:pPr>
        <w:spacing w:after="0" w:line="27" w:lineRule="exact"/>
        <w:rPr>
          <w:sz w:val="20"/>
          <w:szCs w:val="20"/>
          <w:color w:val="auto"/>
        </w:rPr>
      </w:pPr>
    </w:p>
    <w:p>
      <w:pPr>
        <w:ind w:firstLine="8"/>
        <w:spacing w:after="0" w:line="260" w:lineRule="auto"/>
        <w:tabs>
          <w:tab w:leader="none" w:pos="3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 and expense, (iv) stock-based compensation expense, and (v) certain non-recurring expenses that we believe do not represent our on-going operations, where applicable.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income (loss),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(19,182 )</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income, net</w:t>
            </w:r>
          </w:p>
        </w:tc>
        <w:tc>
          <w:tcPr>
            <w:tcW w:w="4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(5,739 )</w:t>
            </w:r>
          </w:p>
        </w:tc>
        <w:tc>
          <w:tcPr>
            <w:tcW w:w="5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(4,245 )</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Non-recurring expenses</w:t>
            </w: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3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3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(13,529 )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$76.7 million of cash and cash equivalents ($123.9 million as of December 31, 2023), and $41.1 million in marketable securities which we use to finance our operations and support a variety of growth initiatives and investments. We had no debt as of December 31, 2024.</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healthcare services. Additionally, we may in the future enter into arrangements to acquire or invest in complementary businesses, services and technologies.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next twelve months and thereafter for the foreseeable future using available cash and cash equivalent balances as of December 31, 2024.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The Share Repurchase Program will remain in effect until the total authorized dollar amount of shares is repurchased or August 1, 2026.</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and retired an aggregate of 3,911,259 shares of its common stock for a total consideration of $11.0 million ($2.81 per share). As of December 31, 2024, $29.0 million remained available under the Share Repurchase Program.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purchases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repurchased will be retired. The program does not obligate the Company to repurchase any dollar amount or number of shares, and may be modified, suspended, or discontinued at any time at the Company’s discretion without prior notice.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years ended December 31, 2024 and 2023:</w:t>
      </w:r>
    </w:p>
    <w:p>
      <w:pPr>
        <w:spacing w:after="0" w:line="111"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(16,393 )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(46,732 )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(12,188 )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(47,216 )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(14,637 )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net cash provided by operating activities was driven primarily by positive cash flows from operations for the year ended December 31, 2024 primarily due to net income for the year ended December 31, 2024 compared to net loss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net cash used in investing activities was driven primarily by purchases of marketable securities and an increase in capitalized internal-use software development costs during the year ended December 31, 2024 compared to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financing activities was driven primarily by the purchase of $11.0 million of outstanding shares of the Company’s common stock under the Share Repurchase Program and an increase in taxes paid related to vested stock-based awards during the year ended December 31, 2024 compared to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did not have any short-term or long-term debt, or significant long-term liabilities. As of December 31, 2024, we have a non-material long-term operating lease for our office space in New York, 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there were no material legal proceedings, claims or litigation. 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requiring us to indemnify customers against liabilities if there is a breach of a customer’s data or if our service infringes a third party’s intellectual property rights. To date, we have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accounting policies are essential to understanding and interpreting the financial results reported on the consolidated financial statements. The significant accounting policies used in the preparation of the Company's consolidated financial statements are summarized in Note 2, “Summary of Significant Accounting Policies and Estimates” in the notes to the consolidated financial statements. Certain of those policies are considered to be particularly important to the presentation of the Company's financial results because they require management to make difficult, complex or subjective judgments, often as a result of matters that are inherently uncertain. The following is a discussion of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revenues in accordance with ASC 606, “Revenue from Contracts with Customers”. Revenues are recognized when the Company satisfies its performance obligation to perform its defined contractual obligations to provide virtual behavioral healthcare services. The transaction price is determined based on the consideration to which the Company will be entitled in exchange for the service rendered. To the extent the transaction price includes variable consideration, the Company estimates the amount of variable consideration that is included in the transaction price at contract inception and reassesses this estimate at each reporting date. Variable consideration is included in the transaction price if it is probable that a significant reversal of cumulative revenue recognized will not occur when the uncertainty associated with the variable consideration is subsequently resolved. The Company determines its estimate of variable consideration primarily based on actual historical collection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Internal-use Software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costs related to software acquired, developed, or modified solely to meet our internal requirements with no substantive plans to market such software at the time of development. In accordance with ASC 350-40, Internal Use Software, software development activities generally consist of three stages (i) the preliminary project stage, (ii) the application development stage, and (iii) the post-implementation operational stage. Costs incurred during the preliminary project stage and during the post-implementation operational stage are expensed as incurred. Eligible costs incurred during the application development stage of the project are capitalized and are amortized on a straight-line basis over the software’s estimated useful life, generally 3 years. Maintenance costs are expensed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Compensation costs for share-based awards are measured at the fair value on the grant date and recognized as expense using the straight-line method for service-based awards over the requisite service period. The fair value of stock options is determined using the Black-Scholes-Merton option pricing model. The option-pricing model requires a number of assumptions, of which the most significant is the expected stock price volatility and the expected option term. Expected volatility is calculated based upon the Company's historical share price movements as well as similar traded companies’ historical share price movements as adequate historical experience is not available to provide a reasonable estimate based only on the Company's share price.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and Estimates” in the notes to the consolidated financial statements for information regarding recent accounting developments and their impact on our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stock-based compensation, revenue recognition, business strategy, plans and market growth.</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and other such statements we publicly make from time 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2024.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and the documents that we reference herein and have filed as exhibits to this Annual Report on Form 10-K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or any forward-looking statements we may publicly make from time-to-time, whether as a result of any new information, future events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had cash and cash equivalents totaling $76.7 million and $41.1 million in marketable securities, which are held for a variety of growth initiatives and investments as well as working capital purposes. We do not have any indebtedness for borrowed money outstanding.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that a hypothetical increase or decrease of 100 basis points in interest rates would have a material effect on our business, financial condition or results of operations. However, our earnings on cash equivalents are subject to market risk due to changes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a substantial majority of our revenue from customer arrangements has been denominated in U.S. dollars. We have limited operations outside the United States. Accordingly, we believe we do not have a material exposure to foreign currency risk. In the future, we may choose to focus on international expansion, which may increase our exposure to foreign currency exchange risk.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Borders>
              <w:bottom w:val="single" w:sz="8" w:color="0000EE"/>
            </w:tcBorders>
          </w:tcPr>
          <w:p>
            <w:pPr>
              <w:spacing w:after="0"/>
              <w:rPr>
                <w:sz w:val="17"/>
                <w:szCs w:val="17"/>
                <w:color w:val="auto"/>
              </w:rPr>
            </w:pPr>
          </w:p>
        </w:tc>
        <w:tc>
          <w:tcPr>
            <w:tcW w:w="8360" w:type="dxa"/>
            <w:vAlign w:val="bottom"/>
            <w:gridSpan w:val="8"/>
          </w:tcPr>
          <w:p>
            <w:pPr>
              <w:spacing w:after="0"/>
              <w:rPr>
                <w:sz w:val="17"/>
                <w:szCs w:val="17"/>
                <w:color w:val="auto"/>
              </w:rPr>
            </w:pPr>
          </w:p>
        </w:tc>
        <w:tc>
          <w:tcPr>
            <w:tcW w:w="1560" w:type="dxa"/>
            <w:vAlign w:val="bottom"/>
          </w:tcPr>
          <w:p>
            <w:pPr>
              <w:spacing w:after="0"/>
              <w:rPr>
                <w:sz w:val="17"/>
                <w:szCs w:val="17"/>
                <w:color w:val="auto"/>
              </w:rPr>
            </w:pPr>
          </w:p>
        </w:tc>
      </w:tr>
      <w:tr>
        <w:trPr>
          <w:trHeight w:val="884"/>
        </w:trPr>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60" w:type="dxa"/>
            <w:vAlign w:val="bottom"/>
          </w:tcPr>
          <w:p>
            <w:pPr>
              <w:spacing w:after="0"/>
              <w:rPr>
                <w:sz w:val="24"/>
                <w:szCs w:val="24"/>
                <w:color w:val="auto"/>
              </w:rPr>
            </w:pPr>
          </w:p>
        </w:tc>
      </w:tr>
      <w:tr>
        <w:trPr>
          <w:trHeight w:val="540"/>
        </w:trPr>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60" w:type="dxa"/>
            <w:vAlign w:val="bottom"/>
            <w:gridSpan w:val="8"/>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560" w:type="dxa"/>
            <w:vAlign w:val="bottom"/>
          </w:tcPr>
          <w:p>
            <w:pPr>
              <w:spacing w:after="0"/>
              <w:rPr>
                <w:sz w:val="24"/>
                <w:szCs w:val="24"/>
                <w:color w:val="auto"/>
              </w:rPr>
            </w:pPr>
          </w:p>
        </w:tc>
      </w:tr>
      <w:tr>
        <w:trPr>
          <w:trHeight w:val="392"/>
        </w:trPr>
        <w:tc>
          <w:tcPr>
            <w:tcW w:w="1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9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15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65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Income for the years ended December 31, 2024, 2023 and 2022</w:t>
            </w:r>
          </w:p>
        </w:tc>
        <w:tc>
          <w:tcPr>
            <w:tcW w:w="2940" w:type="dxa"/>
            <w:vAlign w:val="bottom"/>
            <w:gridSpan w:val="4"/>
          </w:tcPr>
          <w:p>
            <w:pPr>
              <w:spacing w:after="0"/>
              <w:rPr>
                <w:sz w:val="17"/>
                <w:szCs w:val="17"/>
                <w:color w:val="auto"/>
              </w:rPr>
            </w:pPr>
          </w:p>
        </w:tc>
        <w:tc>
          <w:tcPr>
            <w:tcW w:w="15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60" w:type="dxa"/>
            <w:vAlign w:val="bottom"/>
          </w:tcPr>
          <w:p>
            <w:pPr>
              <w:spacing w:after="0"/>
              <w:rPr>
                <w:sz w:val="17"/>
                <w:szCs w:val="17"/>
                <w:color w:val="auto"/>
              </w:rPr>
            </w:pPr>
          </w:p>
        </w:tc>
        <w:tc>
          <w:tcPr>
            <w:tcW w:w="82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2024, 2023 and 2022</w:t>
            </w:r>
          </w:p>
        </w:tc>
        <w:tc>
          <w:tcPr>
            <w:tcW w:w="1260" w:type="dxa"/>
            <w:vAlign w:val="bottom"/>
          </w:tcPr>
          <w:p>
            <w:pPr>
              <w:spacing w:after="0"/>
              <w:rPr>
                <w:sz w:val="17"/>
                <w:szCs w:val="17"/>
                <w:color w:val="auto"/>
              </w:rPr>
            </w:pPr>
          </w:p>
        </w:tc>
        <w:tc>
          <w:tcPr>
            <w:tcW w:w="15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60" w:type="dxa"/>
            <w:vAlign w:val="bottom"/>
          </w:tcPr>
          <w:p>
            <w:pPr>
              <w:spacing w:after="0"/>
              <w:rPr>
                <w:sz w:val="17"/>
                <w:szCs w:val="17"/>
                <w:color w:val="auto"/>
              </w:rPr>
            </w:pPr>
          </w:p>
        </w:tc>
        <w:tc>
          <w:tcPr>
            <w:tcW w:w="9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15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9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5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9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5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101"/>
        </w:trPr>
        <w:tc>
          <w:tcPr>
            <w:tcW w:w="160" w:type="dxa"/>
            <w:vAlign w:val="bottom"/>
          </w:tcPr>
          <w:p>
            <w:pPr>
              <w:spacing w:after="0"/>
              <w:rPr>
                <w:sz w:val="24"/>
                <w:szCs w:val="24"/>
                <w:color w:val="auto"/>
              </w:rPr>
            </w:pPr>
          </w:p>
        </w:tc>
        <w:tc>
          <w:tcPr>
            <w:tcW w:w="3120" w:type="dxa"/>
            <w:vAlign w:val="bottom"/>
            <w:tcBorders>
              <w:top w:val="single" w:sz="8" w:color="0000FF"/>
            </w:tcBorders>
            <w:gridSpan w:val="3"/>
          </w:tcPr>
          <w:p>
            <w:pPr>
              <w:spacing w:after="0"/>
              <w:rPr>
                <w:sz w:val="24"/>
                <w:szCs w:val="24"/>
                <w:color w:val="auto"/>
              </w:rPr>
            </w:pPr>
          </w:p>
        </w:tc>
        <w:tc>
          <w:tcPr>
            <w:tcW w:w="346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763"/>
        </w:trPr>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Talkspace, Inc.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Talkspace, Inc. (the Company) as of December 31, 2024 and 2023, the related consolidated statements of income, comprehensive income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framework)and our report dated March 12,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Estimation of transaction price and variable consideration for revenue recognition</w:t>
      </w:r>
    </w:p>
    <w:p>
      <w:pPr>
        <w:spacing w:after="0" w:line="67" w:lineRule="exact"/>
        <w:rPr>
          <w:sz w:val="20"/>
          <w:szCs w:val="20"/>
          <w:color w:val="auto"/>
        </w:rPr>
      </w:pPr>
    </w:p>
    <w:p>
      <w:pPr>
        <w:jc w:val="both"/>
        <w:ind w:left="40" w:right="40" w:firstLine="1472"/>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2 of the consolidated financial statements, the Company recognizes revenues from contracted insurance payors </w:t>
      </w:r>
      <w:r>
        <w:rPr>
          <w:rFonts w:ascii="Times New Roman" w:cs="Times New Roman" w:eastAsia="Times New Roman" w:hAnsi="Times New Roman"/>
          <w:sz w:val="18"/>
          <w:szCs w:val="18"/>
          <w:i w:val="1"/>
          <w:iCs w:val="1"/>
          <w:color w:val="auto"/>
        </w:rPr>
        <w:t xml:space="preserve">Description of the </w:t>
      </w:r>
      <w:r>
        <w:rPr>
          <w:rFonts w:ascii="Times New Roman" w:cs="Times New Roman" w:eastAsia="Times New Roman" w:hAnsi="Times New Roman"/>
          <w:sz w:val="18"/>
          <w:szCs w:val="18"/>
          <w:color w:val="auto"/>
        </w:rPr>
        <w:t>and employee assistance organizations (“Payor”) at a point in time based on contracted rates, net of implicit price concessions, as</w:t>
      </w:r>
    </w:p>
    <w:p>
      <w:pPr>
        <w:jc w:val="both"/>
        <w:ind w:left="1520" w:right="40" w:hanging="1479"/>
        <w:spacing w:after="0" w:line="255" w:lineRule="auto"/>
        <w:tabs>
          <w:tab w:leader="none" w:pos="15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virtual therapy or psychiatry session is rendered ("payor revenues"). The Company estimates the amount of variable consideration that is included in the transaction price mainly by estimating claims denials by insurance payor, primarily based on actual historical collection experience by insurance payor. For the year ended December 31, 2024, payor revenues were $124.3 million.</w:t>
      </w:r>
    </w:p>
    <w:p>
      <w:pPr>
        <w:spacing w:after="0" w:line="132" w:lineRule="exact"/>
        <w:rPr>
          <w:sz w:val="20"/>
          <w:szCs w:val="20"/>
          <w:color w:val="auto"/>
        </w:rPr>
      </w:pPr>
    </w:p>
    <w:p>
      <w:pPr>
        <w:jc w:val="both"/>
        <w:ind w:left="1520" w:right="40"/>
        <w:spacing w:after="0" w:line="266" w:lineRule="auto"/>
        <w:rPr>
          <w:sz w:val="20"/>
          <w:szCs w:val="20"/>
          <w:color w:val="auto"/>
        </w:rPr>
      </w:pPr>
      <w:r>
        <w:rPr>
          <w:rFonts w:ascii="Times New Roman" w:cs="Times New Roman" w:eastAsia="Times New Roman" w:hAnsi="Times New Roman"/>
          <w:sz w:val="18"/>
          <w:szCs w:val="18"/>
          <w:color w:val="auto"/>
        </w:rPr>
        <w:t>Auditing management's determination of transaction price including variable consideration was complex and judgmental due to significant data inputs and subjective assumptions utilized in the process. In determining transaction price, management develops estimates based on actual historical collection experience by insurance payor.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24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for estimating the amount of variable consideration that is included in the transaction price, including management’s review of the assumptions used, results of calculations and assessment of the underlying data.</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test the estimate of variable consideration, our audit procedures also included, among others, assessing the methodology used and testing the underlying data used by the Company in its analysis. We compared the collection rates used by management to historical collection trends and evaluated whether changes in the Company’s business model, payors mix, and other factors would affect the estimate of variable consideration. We assessed the historical accuracy of management’s estimate and performed sensitivity analysis to evaluate the changes in variable consideration that would result from changes in the expected collection rates used and the corresponding effect on revenues.</w:t>
      </w:r>
    </w:p>
    <w:p>
      <w:pPr>
        <w:spacing w:after="0" w:line="200" w:lineRule="exact"/>
        <w:rPr>
          <w:sz w:val="20"/>
          <w:szCs w:val="20"/>
          <w:color w:val="auto"/>
        </w:rPr>
      </w:pPr>
    </w:p>
    <w:p>
      <w:pPr>
        <w:sectPr>
          <w:pgSz w:w="11900" w:h="16838" w:orient="portrait"/>
          <w:cols w:equalWidth="0" w:num="2">
            <w:col w:w="1300" w:space="220"/>
            <w:col w:w="968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Talkspace, Inc.</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Talkspace, Inc.'s internal control over financial reporting as of December 31, 2024, based on criteria established in Internal Control— Integrated Framework issued by the Committee of Sponsoring Organizations of the Treadway Commission (2013 framework) (the COSO criteria). In our opinion, Talkspace, Inc. (the Company) maintained, in all material respects, effective internal control over financial reporting as of December 31, 2024, based on the COSO criteria.</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Talkspace, Inc. as of December 31, 2024 and 2023, the related consolidated statements of income, comprehensive income (loss), stockholders’ equity and cash flows for each of the three years in the period ended December 31, 2024, and the related notes and our report dated March 12, 2025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130,182</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138,677</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19,023</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of $0.0001 par value — Authorized: 1,000,000,000 shares at December 31, 2024 and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 Issued and outstanding: 168,849,591 and 168,428,856 shares at December 31, 2024 and 2023,</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386,612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389,014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(269,236 )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(270,384 )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117,395</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138,677</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142,221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-2999740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-2708275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-2691130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-1851025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-1567815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187,593</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119,567</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75,665</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59,229</w:t>
            </w:r>
          </w:p>
        </w:tc>
        <w:tc>
          <w:tcPr>
            <w:tcW w:w="100" w:type="dxa"/>
            <w:vAlign w:val="bottom"/>
          </w:tcPr>
          <w:p>
            <w:pPr>
              <w:spacing w:after="0"/>
              <w:rPr>
                <w:sz w:val="18"/>
                <w:szCs w:val="18"/>
                <w:color w:val="auto"/>
              </w:rPr>
            </w:pPr>
          </w:p>
        </w:tc>
      </w:tr>
      <w:tr>
        <w:trPr>
          <w:trHeight w:val="210"/>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74,380</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operations,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52,544</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72,842</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18"/>
                <w:szCs w:val="18"/>
                <w:color w:val="auto"/>
              </w:rPr>
            </w:pPr>
          </w:p>
        </w:tc>
      </w:tr>
      <w:tr>
        <w:trPr>
          <w:trHeight w:val="209"/>
        </w:trPr>
        <w:tc>
          <w:tcPr>
            <w:tcW w:w="6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90,333</w:t>
            </w: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97,589</w:t>
            </w:r>
          </w:p>
        </w:tc>
        <w:tc>
          <w:tcPr>
            <w:tcW w:w="3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143,496</w:t>
            </w:r>
          </w:p>
        </w:tc>
        <w:tc>
          <w:tcPr>
            <w:tcW w:w="100" w:type="dxa"/>
            <w:vAlign w:val="bottom"/>
            <w:tcBorders>
              <w:top w:val="single" w:sz="8" w:color="CFF0FC"/>
            </w:tcBorders>
          </w:tcPr>
          <w:p>
            <w:pPr>
              <w:spacing w:after="0"/>
              <w:rPr>
                <w:sz w:val="18"/>
                <w:szCs w:val="18"/>
                <w:color w:val="auto"/>
              </w:rPr>
            </w:pPr>
          </w:p>
        </w:tc>
      </w:tr>
      <w:tr>
        <w:trPr>
          <w:trHeight w:val="210"/>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(4,497 )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(23,209 )</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(83,158 )</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income, net</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(5,739 )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(4,245 )</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(3,740 )</w:t>
            </w:r>
          </w:p>
        </w:tc>
      </w:tr>
      <w:tr>
        <w:trPr>
          <w:trHeight w:val="20"/>
        </w:trPr>
        <w:tc>
          <w:tcPr>
            <w:tcW w:w="6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(18,964 )</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(79,418 )</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r>
      <w:tr>
        <w:trPr>
          <w:trHeight w:val="24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(19,182 )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(79,672 )</w:t>
            </w:r>
          </w:p>
        </w:tc>
      </w:tr>
      <w:tr>
        <w:trPr>
          <w:trHeight w:val="197"/>
        </w:trPr>
        <w:tc>
          <w:tcPr>
            <w:tcW w:w="62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(0.51 )</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(0.51 )</w:t>
            </w:r>
          </w:p>
        </w:tc>
      </w:tr>
      <w:tr>
        <w:trPr>
          <w:trHeight w:val="198"/>
        </w:trPr>
        <w:tc>
          <w:tcPr>
            <w:tcW w:w="62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used in computing basic and diluted</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Basic</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168,906,900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165,039,920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156,885,256</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Diluted</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176,495,872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165,039,920</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156,885,256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-2673985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-2673985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-1842770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-1842770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-985520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-968375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-985520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-968375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 dollars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(19,182 )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(79,672 )</w:t>
            </w: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 in unrealized gains on marketable debt securities</w:t>
            </w:r>
          </w:p>
        </w:tc>
        <w:tc>
          <w:tcPr>
            <w:tcW w:w="9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(19,182 )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(79,672 )</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-316230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-316230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January 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152,862,447</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363,788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(171,530 )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192,273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5,331,634</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2,960,949</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(362 )</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(362 )</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(79,672 )</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(79,672 )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161,155,030</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378,722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(251,202 )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4,592,195</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2,681,631</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(810 )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(810 )</w:t>
            </w: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(19,182 )</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(19,182 )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168,428,856</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389,014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(270,384 )</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118,646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1,710,285</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2,621,709</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(3,196 )</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(3,195 )</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 for retirement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(3,911,259 )</w:t>
            </w: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(11,003 )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(11,003 )</w:t>
            </w: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168,849,591</w:t>
            </w:r>
          </w:p>
        </w:tc>
        <w:tc>
          <w:tcPr>
            <w:tcW w:w="200" w:type="dxa"/>
            <w:vAlign w:val="bottom"/>
          </w:tcPr>
          <w:p>
            <w:pPr>
              <w:spacing w:after="0"/>
              <w:rPr>
                <w:sz w:val="17"/>
                <w:szCs w:val="17"/>
                <w:color w:val="auto"/>
              </w:rPr>
            </w:pP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386,612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(269,236 )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-1722120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-1722120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-1722120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-1722120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-1722120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-161925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-161925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-161925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-161925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-161925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an amount lower than $1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89"/>
        </w:trPr>
        <w:tc>
          <w:tcPr>
            <w:tcW w:w="20" w:type="dxa"/>
            <w:vAlign w:val="bottom"/>
            <w:shd w:val="clear" w:color="auto" w:fill="CFF0FC"/>
          </w:tcPr>
          <w:p>
            <w:pPr>
              <w:spacing w:after="0"/>
              <w:rPr>
                <w:sz w:val="16"/>
                <w:szCs w:val="16"/>
                <w:color w:val="auto"/>
              </w:rPr>
            </w:pPr>
          </w:p>
        </w:tc>
        <w:tc>
          <w:tcPr>
            <w:tcW w:w="6300" w:type="dxa"/>
            <w:vAlign w:val="bottom"/>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28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8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tcBorders>
              <w:top w:val="single" w:sz="8" w:color="CFF0FC"/>
            </w:tcBorders>
          </w:tcPr>
          <w:p>
            <w:pPr>
              <w:spacing w:after="0"/>
              <w:rPr>
                <w:sz w:val="18"/>
                <w:szCs w:val="18"/>
                <w:color w:val="auto"/>
              </w:rPr>
            </w:pPr>
          </w:p>
        </w:tc>
        <w:tc>
          <w:tcPr>
            <w:tcW w:w="480" w:type="dxa"/>
            <w:vAlign w:val="bottom"/>
            <w:tcBorders>
              <w:top w:val="single" w:sz="8" w:color="CFF0FC"/>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FF0FC"/>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(19,182 )</w:t>
            </w:r>
          </w:p>
        </w:tc>
        <w:tc>
          <w:tcPr>
            <w:tcW w:w="320" w:type="dxa"/>
            <w:vAlign w:val="bottom"/>
            <w:tcBorders>
              <w:top w:val="single" w:sz="8" w:color="CFF0FC"/>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(79,672 )</w:t>
            </w:r>
          </w:p>
        </w:tc>
      </w:tr>
      <w:tr>
        <w:trPr>
          <w:trHeight w:val="198"/>
        </w:trPr>
        <w:tc>
          <w:tcPr>
            <w:tcW w:w="6320" w:type="dxa"/>
            <w:vAlign w:val="bottom"/>
            <w:gridSpan w:val="6"/>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3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30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(3,131 )</w:t>
            </w:r>
          </w:p>
        </w:tc>
      </w:tr>
      <w:tr>
        <w:trPr>
          <w:trHeight w:val="216"/>
        </w:trPr>
        <w:tc>
          <w:tcPr>
            <w:tcW w:w="20" w:type="dxa"/>
            <w:vAlign w:val="bottom"/>
            <w:shd w:val="clear" w:color="auto" w:fill="CFF0FC"/>
          </w:tcPr>
          <w:p>
            <w:pPr>
              <w:spacing w:after="0"/>
              <w:rPr>
                <w:sz w:val="18"/>
                <w:szCs w:val="18"/>
                <w:color w:val="auto"/>
              </w:rPr>
            </w:pPr>
          </w:p>
        </w:tc>
        <w:tc>
          <w:tcPr>
            <w:tcW w:w="630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(534 )</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(4,126 )</w:t>
            </w:r>
          </w:p>
        </w:tc>
      </w:tr>
      <w:tr>
        <w:trPr>
          <w:trHeight w:val="216"/>
        </w:trPr>
        <w:tc>
          <w:tcPr>
            <w:tcW w:w="20" w:type="dxa"/>
            <w:vAlign w:val="bottom"/>
            <w:shd w:val="clear" w:color="auto" w:fill="CFF0FC"/>
          </w:tcPr>
          <w:p>
            <w:pPr>
              <w:spacing w:after="0"/>
              <w:rPr>
                <w:sz w:val="18"/>
                <w:szCs w:val="18"/>
                <w:color w:val="auto"/>
              </w:rPr>
            </w:pPr>
          </w:p>
        </w:tc>
        <w:tc>
          <w:tcPr>
            <w:tcW w:w="630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(1,346 )</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(350 )</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(968 )</w:t>
            </w:r>
          </w:p>
        </w:tc>
      </w:tr>
      <w:tr>
        <w:trPr>
          <w:trHeight w:val="216"/>
        </w:trPr>
        <w:tc>
          <w:tcPr>
            <w:tcW w:w="20" w:type="dxa"/>
            <w:vAlign w:val="bottom"/>
            <w:shd w:val="clear" w:color="auto" w:fill="CFF0FC"/>
          </w:tcPr>
          <w:p>
            <w:pPr>
              <w:spacing w:after="0"/>
              <w:rPr>
                <w:sz w:val="18"/>
                <w:szCs w:val="18"/>
                <w:color w:val="auto"/>
              </w:rPr>
            </w:pPr>
          </w:p>
        </w:tc>
        <w:tc>
          <w:tcPr>
            <w:tcW w:w="630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(decrease) in deferred revenues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(1,286 )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(2,831 )</w:t>
            </w:r>
          </w:p>
        </w:tc>
      </w:tr>
      <w:tr>
        <w:trPr>
          <w:trHeight w:val="216"/>
        </w:trPr>
        <w:tc>
          <w:tcPr>
            <w:tcW w:w="20" w:type="dxa"/>
            <w:vAlign w:val="bottom"/>
          </w:tcPr>
          <w:p>
            <w:pPr>
              <w:spacing w:after="0"/>
              <w:rPr>
                <w:sz w:val="18"/>
                <w:szCs w:val="18"/>
                <w:color w:val="auto"/>
              </w:rPr>
            </w:pPr>
          </w:p>
        </w:tc>
        <w:tc>
          <w:tcPr>
            <w:tcW w:w="63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(Decrease) increase in accrued expenses and other current liabilities</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(4,437 )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(4,034 )</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30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(155 )</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3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(16,393 )</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(61,077 )</w:t>
            </w:r>
          </w:p>
        </w:tc>
      </w:tr>
      <w:tr>
        <w:trPr>
          <w:trHeight w:val="189"/>
        </w:trPr>
        <w:tc>
          <w:tcPr>
            <w:tcW w:w="20" w:type="dxa"/>
            <w:vAlign w:val="bottom"/>
            <w:shd w:val="clear" w:color="auto" w:fill="CFF0FC"/>
          </w:tcPr>
          <w:p>
            <w:pPr>
              <w:spacing w:after="0"/>
              <w:rPr>
                <w:sz w:val="16"/>
                <w:szCs w:val="16"/>
                <w:color w:val="auto"/>
              </w:rPr>
            </w:pPr>
          </w:p>
        </w:tc>
        <w:tc>
          <w:tcPr>
            <w:tcW w:w="6300" w:type="dxa"/>
            <w:vAlign w:val="bottom"/>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278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520" w:type="dxa"/>
            <w:vAlign w:val="bottom"/>
            <w:tcBorders>
              <w:top w:val="single" w:sz="8" w:color="CFF0FC"/>
            </w:tcBorders>
            <w:gridSpan w:val="2"/>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(41,118 )</w:t>
            </w: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380" w:type="dxa"/>
            <w:vAlign w:val="bottom"/>
            <w:tcBorders>
              <w:top w:val="single" w:sz="8" w:color="CFF0FC"/>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FF0FC"/>
          </w:tcPr>
          <w:p>
            <w:pPr>
              <w:spacing w:after="0"/>
              <w:rPr>
                <w:sz w:val="18"/>
                <w:szCs w:val="18"/>
                <w:color w:val="auto"/>
              </w:rPr>
            </w:pPr>
          </w:p>
        </w:tc>
        <w:tc>
          <w:tcPr>
            <w:tcW w:w="630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(5,443 )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(141 )</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(46,732 )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(141 )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r>
      <w:tr>
        <w:trPr>
          <w:trHeight w:val="169"/>
        </w:trPr>
        <w:tc>
          <w:tcPr>
            <w:tcW w:w="6320" w:type="dxa"/>
            <w:vAlign w:val="bottom"/>
            <w:tcBorders>
              <w:top w:val="single" w:sz="8" w:color="CFF0FC"/>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630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(3,195 )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(810 )</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(853 )</w:t>
            </w:r>
          </w:p>
        </w:tc>
      </w:tr>
      <w:tr>
        <w:trPr>
          <w:trHeight w:val="216"/>
        </w:trPr>
        <w:tc>
          <w:tcPr>
            <w:tcW w:w="20" w:type="dxa"/>
            <w:vAlign w:val="bottom"/>
            <w:shd w:val="clear" w:color="auto" w:fill="CFF0FC"/>
          </w:tcPr>
          <w:p>
            <w:pPr>
              <w:spacing w:after="0"/>
              <w:rPr>
                <w:sz w:val="18"/>
                <w:szCs w:val="18"/>
                <w:color w:val="auto"/>
              </w:rPr>
            </w:pPr>
          </w:p>
        </w:tc>
        <w:tc>
          <w:tcPr>
            <w:tcW w:w="630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(11,003 )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Payments from reverse capitalization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(645 )</w:t>
            </w: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(12,188 )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FF0FC"/>
          </w:tcPr>
          <w:p>
            <w:pPr>
              <w:spacing w:after="0"/>
              <w:rPr>
                <w:sz w:val="18"/>
                <w:szCs w:val="18"/>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3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(47,216 )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(14,637 )</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(59,711 )</w:t>
            </w:r>
          </w:p>
        </w:tc>
      </w:tr>
      <w:tr>
        <w:trPr>
          <w:trHeight w:val="216"/>
        </w:trPr>
        <w:tc>
          <w:tcPr>
            <w:tcW w:w="632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1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4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5"/>
        </w:trPr>
        <w:tc>
          <w:tcPr>
            <w:tcW w:w="632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cash flow data:</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3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9"/>
              </w:rPr>
              <w:t>Non-cash investing activity:</w:t>
            </w:r>
          </w:p>
        </w:tc>
        <w:tc>
          <w:tcPr>
            <w:tcW w:w="4260" w:type="dxa"/>
            <w:vAlign w:val="bottom"/>
            <w:tcBorders>
              <w:bottom w:val="single" w:sz="8" w:color="CFF0FC"/>
            </w:tcBorders>
            <w:gridSpan w:val="4"/>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6"/>
        </w:trPr>
        <w:tc>
          <w:tcPr>
            <w:tcW w:w="63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8"/>
                <w:szCs w:val="18"/>
                <w:color w:val="auto"/>
              </w:rPr>
            </w:pPr>
          </w:p>
        </w:tc>
      </w:tr>
      <w:tr>
        <w:trPr>
          <w:trHeight w:val="216"/>
        </w:trPr>
        <w:tc>
          <w:tcPr>
            <w:tcW w:w="63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capitalized in internal-use software costs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-3102610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-3102610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-2253615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-2253615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-1413510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-1413510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-1130935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-1130935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its inception, the Company has connected millions of patients with licensed behavioral health providers across a wide and growing spectrum of care through virtual psychotherapy and psychiatry.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three wholly-owned subsidiaries and holds variable interest in one professional association and various professional corporations, which have been established pursuant to the requirements of their respective domestic jurisdiction governing the corporate practice of medicine. These entities are considered Variable Interest Entities (“VIEs”). See Note 13, “Variable Interest Entities,” for further details.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conformity with U.S. generally accepted accounting principles (“U.S. GAAP”). In management’s opinion, the consolidated financial statements reflect all adjustments of a normal recurring nature that are necessary for a fair presentation of the results for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consolidated financial statements. The Company’s significant estimates and assumptions used in these consolidated financial statements include, but are not limited to, the recognition of revenue, stock-based compensation awards and internal-use software costs.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consolidates all subsidiaries in which it has a controlling financial interest, as well as any VIEs where the Company is deemed to be the primary beneficiary. Intercompany transactions and balances have been eliminated in the preparation of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Talkspace provides virtual behavioral healthcare services through its online platform for one-on-one therapy delivered via messaging, audio and video. The Company's the chief operating decision maker (“CODM”) is the Chief Executive Officer, who manages the Company by reviewing consolidated results. Accordingly, the Company operates as one operating and reportable segment.</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CODM uses the Company’s consolidated net income (loss) to assess the financial performance of the Company and allocate resources. Since the Company operates in one operating segment, financial information, including consolidated net income (loss) information evaluated by the CODM can be found in the consolidated statements of income. Other financial information regarding the Company's operating segment is presented elsewhere in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assets are managed on a consolidated basis. For total asset information please refer to the consolidated balance sheets included within the consolidated financial statements. Most of the Company's long-lived tangible assets, as well as the Company's operating lease right-of-use asset are located in the United States with an immaterial portion located in Israel.</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all of the Company’s revenues were generated from customers located in the United States. For the types of services from which the reportable segment derives its revenues please refer to Note 3, “Revenue Recognition”.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repurchases its common stock from time to time pursuant to a board-authorized share repurchase program. Stock repurchases are accounted under ASC 505-30, Treasury Stock. The Company's policy is to retire all stock repurchased immediately after the transaction is completed. The Company records the amounts repurchased in excess of par value as a reduction to additional paid in capital. See Note 9, “Capital Stock,”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operations are based in the United States. Most of the Company’s revenues and costs are denominated in United States dollars (“dollar”). The Company’s management believes that the dollar is the primary currency of the economic environment in which the Company and each of its subsidiaries operate. Thus, the dollar is the Company’s functional and reporting currency.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non-dollar denominated transactions and balances have been re-measured into the functional currency in accordance with ASC 830, “Foreign Currency Matters”. These transactions were not material for the years ended December 31, 2024,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the date acquired. The Company’s cash and cash equivalents generally consist of bank deposits and investments in money market funds, U.S. treasury securities and commercial paper.</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are invested in major banks in the United States. Generally, these cash and cash equivalents and deposits may be redeemed upon demand. The Company deposits may exceed federally insured limits, however management believes that the financial institutions that hold the Company’s and its subsidiaries’ cash and cash equivalents are institutions with high credit standing, and accordingly, minimal credit risk exists with respect to these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invests excess cash primarily in U.S. treasury securities, U.S. government securities, corporate debt securities, certificates of deposit and commercial paper. These investments represent investments of cash which are available to support current operations as such the Company classifies all marketable securities that have effective maturities of three months or less from the date of purchase as cash equivalents and those with effective maturities of greater than three months, including highly liquid securities with maturities beyond twelve months, as marketable securities within current assets on the consolidated balance sheets. As the Company may sell these investments prior to their effective maturities, these investments are classified and accounted for as available for sale securities. The Company determines the appropriate classification of these investments at the time of purchase and reevaluates such designation at each balance sheet date.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carries these at fair value and determines any realized gains or losses on the sale of these investments on a specific identification method, and includes such gains or losses in financial income, net, in the consolidated statements of income. Unrealized gains and losses are excluded from earnings and reported as a component of other comprehensive income (loss).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each reporting period, the Company evaluates whether declines in fair value below carrying value are due to expected credit losses, as well as the ability and intent to hold the investment until a forecasted recovery occurs, in accordance with ASC 326. Allowance for credit losses on available for sale debt securities are recognized as a charge in financial income, net, in the consolidated statements of income. See Note 5, “Fair Value Measurements,” for further details.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average useful life used for the Company's fixed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27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Average Useful Life (years)</w:t>
            </w:r>
          </w:p>
        </w:tc>
      </w:tr>
      <w:tr>
        <w:trPr>
          <w:trHeight w:val="21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2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Fixed assets are stated at cost, net of accumulated depreciation. Depreciation is calculated using the straight-line method over the average useful lives of the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costs related to software acquired, developed, or modified solely to meet its internal requirements with no substantive plans to market such software at the time of development. In accordance with ASC 350-40, Internal Use Software, software development activities generally consist of three stages (i) the preliminary project stage, (ii) the application development stage, and (iii) the post-implementation operational stage. Costs incurred during the preliminary project stage and during the post-implementation operational stage are expensed as incurred. Eligible costs incurred during the application development stage of the project are capitalized and are amortized on a straight-line basis over the software’s estimated useful life, generally 3 years. Maintenance costs are expensed as incurred. Capitalized costs include employee-related costs, inclusive of non-cash stock compensation expense for employees who are directly associated with and who devote time to software projects. See Note 6, “Fixed Assets, net,”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its leases in accordance with ASC 842, “Leases”. The right-of-use (“ROU”) asset represents the Company’s right to use an underlying asset for the lease term and the lease liability represents an obligation to make payments based on the present value of lease payments over the lease term. The Company uses incremental borrowing rates based on the estimated rate of interest for collateralized borrowing over a similar term of the lease payments at commencement date. The lease term includes options to extend or terminate the lease when it is reasonably certain these will be exercised.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not to record operating lease ROU assets and lease liabilities for leases with an initial term of 12 months or less. The Company also elected the practical expedient to not separate lease and non-lease components for its leases. The Company's lease assets and liabilities were immaterial as of December 31, 2024 and 2023. The Company's ROU lease asset is included within other long-term assets and the related lease liability is included within other long-term liabilities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Acquired identifiable finite-lived intangible assets are amortized on a straight-line basis over the estimated useful lives of the assets. The basis of amortization approximates the pattern in which the assets are utilized, over their estimated useful lives. The Company routinely reviews the remaining estimated useful lives of finite-lived intangible assets. The Company's intangible assets are included within other long-term assets on the consolidated balance sheets. See Note 4, “Intangible Assets, net” for further details.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Intangible Assets subject to Amortization, including ROU Lease Asset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Fixed assets, internal-use software, intangible assets and ROU lease assets are reviewed for impairment in accordance with ASC 360, “Accounting for the Impairment or Disposal of Long-Lived Assets”, whenever events or changes in circumstances indicate that the carrying amount of an asset group may not be recoverable. If indicators are present, management performs a recoverability test by comparing the sum of the estimated undiscounted future cash flows attributable to the asset to its carrying amount. If the undiscounted cash flows used in the test for recoverability are less than the carrying amount of the asset, the impairment to be recognized is measured by the amount by which the carrying amount of the asset exceeds the fair value of the asset. There were no impairment charges for the years ended December 31, 2024, 2023 or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when the Company satisfies its performance obligation to perform its defined contractual obligations to provide virtual behavioral healthcare services. Revenue is recognized in an amount that reflects the consideration that the Company will be entitled in exchange for the service rendered. To the extent the transaction price includes variable consideration, the Company estimates the amount of variable consideration that is included in the transaction price. Variable consideration is included in the transaction price to the extent it is probable that a significant reversal of cumulative revenue recognized will not occur when the uncertainty associated with the variable consideration is subsequently resolved.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its platform, Talkspace serves:</w:t>
      </w:r>
    </w:p>
    <w:p>
      <w:pPr>
        <w:spacing w:after="0" w:line="117" w:lineRule="exact"/>
        <w:rPr>
          <w:sz w:val="20"/>
          <w:szCs w:val="20"/>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(commercial and government) and employee assistance programs (“Payor”) who offer their insured members access to our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(“DTE”) comprised of enterprises who offer their enterprise members access to our platform while their enterprise is under an active contract with Talkspace,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our platform.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Payor</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contracts with health insurance plans and employee assistance programs to provide therapy and psychiatry services to their eligible members. Revenue is recognized at a point in time, as virtual therapy or psychiatry sessions are rendered. The transaction price is determined based on contracted rates and includes variable consideration in the form of implicit price concessions. The Company determines the total transaction price, including an estimate of variable consideration, at contract inception and reassesses this estimate at each reporting date. The Company estimates the amount of variable consideration that is included in the transaction price primarily based on actual historical collection experience for each Payor. Revenue is presented net of implicit price concessions. Contracts include annual evergreen clauses and generally may be terminated by either party typically upon a minimum 60-day advance notice.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DTE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contracts with enterprises to provide access to the Company's therapist platform for their enterprise members, primarily based on a per-member-per-month (“PMPM”) or paid-per-use (“PPU”) basis or as a fixed monthly fee. To the extent the transaction price includes variable consideration, revenue is recognized using the variable consideration allocation exception, or, if the allocation exception is not met, the Company recognizes revenue ratably over the period based on estimates of the variable consideration to the extent it is probable that a significant reversal of cumulative revenue recognized will not occur when the uncertainty associated with the variable consideration is subsequent resolved. The majority of the contracts typically range in length from one to three years and are generally non-cancelable during the initial contractual term.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also generates revenues from the sale of monthly, quarterly, bi-annual and annual membership subscriptions to the Company's therapy platform as well as supplementary a la carte offerings directly to individual consumers through a subscription plan. The Company recognizes consumer revenues ratably over the subscription period, beginning when therapy services commence. The Company recognizes revenues from supplementary a la carte offerings at a point in time, as virtual therapy sessions are rendered. Members may cancel their subscription at any time and will receive a pro-rata refund for the subscription price. The transaction price from member subscription revenue and supplementary a la carte offerings includes variable consideration in the form of refunds. Revenue is presented net of refunds. The Company estimates the refund liability for the variable consideration portion of the transaction price primarily based on historical experience. The refund liability is recorded within the “Accrued expenses and other current liabilities” line item in the consolidated balance sheets. The refund liability was immaterial as of December 31, 2024 and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“Revenue Recognition,” for further details.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receivables are stated net of credit losses allowance. The Company’s methodology for estimating credit loss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See Note 3, “Revenue Recognition,”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revenues when cash payments from customers are received in advance of the Company's performance obligations to provide services. As of December 31, 2024 and 2023, deferred revenue related mainly to Consumer subscriptions. The Company expects to satisfy the majority of its performance obligations associated with deferred revenue within one year or less. See Note 3, “Revenue Recognition,”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if these costs are determined to be recoverable. Capitalized contract costs are expensed over the life the contract. As of December 31, 2024 and 2023, capitalized contract costs were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Compensation costs for share-based awards are measured at the fair value on the grant date and recognized as expense using the straight-line method for service-based awards over the requisite service period. The Company recognizes forfeitures of awards as they occur.</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stock options is determined using the Black-Scholes-Merton option pricing model. The option-pricing model requires a number of assumptions, of which the most significant is the expected stock price volatility and the expected option term. Expected volatility is calculated based upon the Company's historical share price movements as well as similar traded companies’ historical share price movements as adequate historical experience is not available to provide a reasonable estimate based only on the Company's share price.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calculated based on the yield from U.S. Treasury zero-coupon bonds with an equivalent term. The Company has historically not paid dividends and has no foreseeable plans to pay dividends. The fair value of restricted stock units is measured as the grant-date closing price of the Company’s common stock. See Note 10, “Stock-based Compensation,” for further details.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include third-party software subscription services, third-party independent research, participation in trade shows, brand messaging and costs of communications materials to generate greater awareness and utilization of our platform among Payor and DTE customers. Advertising costs are expensed as incurred and were $26.1 million, $25.2 million and $37.8 million for the years ended December 31,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a 401(k) plan that qualifies as a deferred compensation arrangement under Section 401 of the Internal Revenue Code. All U.S. employees over the age of 21 are eligible to participate in the plan. The Company contributes 100% of eligible employee’s elective deferral up to 4% of eligible earnings. The Company's matching contributions to participants’ accounts were immaterial for the years ended December 31, 2024, 2023 and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applies ASC 820, “Fair Value Measurements and Disclosures”. Under this standard, fair value is defined as the price that would be received to sell an asset or paid to transfer a liability (i.e., the “exit price”) in an orderly transaction between market participants at the measurement date. Accounting guidance for the fair value measurement establishes a framework for measuring fair value, establishes a fair value measurement hierarchy, and requires certain fair value measurement disclosures. The fair value hierarchy established by this accounting guidance prioritizes the inputs used in valuation techniques into the following three categories (highest to lowest priority):</w:t>
      </w:r>
    </w:p>
    <w:p>
      <w:pPr>
        <w:spacing w:after="0" w:line="75" w:lineRule="exact"/>
        <w:rPr>
          <w:sz w:val="20"/>
          <w:szCs w:val="20"/>
          <w:color w:val="auto"/>
        </w:rPr>
      </w:pPr>
    </w:p>
    <w:p>
      <w:pPr>
        <w:ind w:left="380"/>
        <w:spacing w:after="0"/>
        <w:tabs>
          <w:tab w:leader="none" w:pos="122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w:t>
      </w:r>
    </w:p>
    <w:p>
      <w:pPr>
        <w:spacing w:after="0" w:line="117" w:lineRule="exact"/>
        <w:rPr>
          <w:sz w:val="20"/>
          <w:szCs w:val="20"/>
          <w:color w:val="auto"/>
        </w:rPr>
      </w:pPr>
    </w:p>
    <w:p>
      <w:pPr>
        <w:ind w:left="380" w:right="2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54" w:lineRule="exact"/>
        <w:rPr>
          <w:sz w:val="20"/>
          <w:szCs w:val="20"/>
          <w:color w:val="auto"/>
        </w:rPr>
      </w:pPr>
    </w:p>
    <w:p>
      <w:pPr>
        <w:ind w:left="380"/>
        <w:spacing w:after="0"/>
        <w:tabs>
          <w:tab w:leader="none" w:pos="122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that are significant to the fair value of the assets or liabilities.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marketable securities are recorded at fair value and are generally classified within Level 1 or Level 2 of the fair value hierarchy using quoted market prices or quotes from market makers or broker-dealers. Marketable securities classified within Level 1 are valued based on quoted market prices in active markets and consist of money market funds and commercial paper. Level 2 marketable securities primarily consist of investment grade and high-yield corporate debt, U.S. Treasury securities, U.S. Government securities, certificates of deposit and commercial paper. Financial instruments classified as Level 2 are valued based on quoted market prices for similar assets of liabilities or quoted prices in markets that are not active; or other inputs that are observable or can be corroborated by observable market data for substantially the full term of the assets or liabilities.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2021, the Company assumed and also issued Private Placement Warrants. Private Placement Warrants are accounted for as liabilities in accordance with ASC 815-40 and are presented within warrant liabilities in the accompanying consolidated balance sheets. The warrants were measured at fair value at inception and thereafter on a recurring, quarterly basis, with changes in fair value presented within financial income, net, in the consolidated statements of income. Private Placement Warrants are classified within Level 3 in the fair value hierarchy. These warrants were valued using the Black-Scholes-Merton Model, which is considered to be a Level 3 fair value measurement. 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 See Note 5, “Fair Value Measurements,”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The net deferred tax assets assume sufficient future earnings for their realization, as well as the continued application of currently enacted tax rates. Included in net deferred tax assets is a valuation allowance for deferred tax assets, where management believes it is more-likely-than-not that the deferred tax assets will not be realized in the relevant jurisdiction. If the Company determines that a deferred tax asset will not be realizable, an adjustment to the deferred tax asset will result in a reduction of net earnings at that time. Accrued interest and penalties are included within the related tax asset or liability in the accompanying consolidated financial statements.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provisions in ASC 740 and the guidance related to accounting for uncertainty in income taxes. 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Company's policy is to recognize interest related to unrecognized tax benefits as interest expense and penalties in income tax expense.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provide deferred tax liabilities when it intends to reinvest earnings of a foreign subsidiary indefinitely or if distributed, no tax liability will be imposed. Undistributed earnings of a foreign subsidiary and unrecognized deferred tax liability related to such earnings are immaterial as of December 31, 2024 and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did not record any provision for uncertain tax positions. The Company does not anticipate that the assessment will significantly increase or decrease within the next 12 months. No accrued interest or penalties were accrued as of December 31, 2024 and 2023. See Note 12, “Income Tax Expense,”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basic net income (loss) per share is calculated by dividing net income (loss) attributable to ordinary shareholders by the weighted-average number of shares of common stock outstanding for the period, without consideration of potentially dilutive securities. The diluted net income (loss) per share is calculated by giving effect to all potentially dilutive securities outstanding for the period using the treasury stock method or the if-converted method based on the nature of such securities. Diluted net income (loss) per share is the same as basic net income (loss) per share in periods when the effects of potentially dilutive shares of shares of common stock are anti-dilutive. See Note 11, “Net Income (Loss) per Share,” for further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Recently Adopted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Standards Updates (“ASU”) issued by the Financial Accounting Standards Board (“FASB”) have been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2023- 07,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to improve reportable segment disclosures, primarily through enhanced disclosures about significant segment expenses. This ASU applies to all public entities, including those with a single reportable segment. The revised guidance will require disclosure of significant segment expenses that are regularly provided to the CODM, the title and position of the CODM and how the CODM uses the reported measures of segment profit or loss in assessing segment performance, among other requirements. This ASU is effective for fiscal years beginning after December 15, 2023, and for interim periods within fiscal years beginning after December 15, 2024, with early adoption permitted. The Company adopted this ASU during the year ended December 31, 2024 on a retrospective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ASUs issued by the FASB have not yet been adopted by the Company:</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This ASU is effective for fiscal years beginning after December 15, 2024, with early adoption permitted. The Company is currently evaluating ASU 2023-09 to determine the impact it may have on its consolidated financial statements and related disclosures.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Income Statement (Topic 220):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to improve the disclosures of a public business entity’s expenses and address requests from investors for more detailed information about the types of expenses in commonly presented expense captions. This guidance is effective for fiscal years beginning after December 15, 2026, and interim periods after December 15, 2027. The Company is currently evaluating ASU 2024-03 to determine the impact it may have on its consolidated financial statements and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consolidated revenues from sales to unaffiliated customers disaggregated by revenue source: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Payor</w:t>
            </w:r>
          </w:p>
        </w:tc>
        <w:tc>
          <w:tcPr>
            <w:tcW w:w="34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124,339</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80,823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12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DTE</w:t>
            </w: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33,614</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5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35,608</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55,158</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187,593</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150,045</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5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-1216660</wp:posOffset>
            </wp:positionV>
            <wp:extent cx="596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-1216660</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-1216660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three customers represented 10% or more of the Company's consolidated revenues and these amounts were approximately $27.6 million, $25.3 million and $22.7 million. For the year ended December 31, 2023 and 2022, two customers represented 10% or more of total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accounts receivable, net, related to revenue from DTE customers of $6.0 million and $7.8 million at December 31, 2024 and December 31, 2023, respectively. As of December 31, 2024 and 2023, the balance of accounts receivable, net, related to revenue from Payor customers was $3.6 million and $2.4 million, respectively. Credit losses related to these receivables were immaterial for the years ended December 31, 2024, 2023 and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and 2023, the Company recognized revenues of $2.0 million and $2.8 million, respectively, that were included in deferred revenues at the beginning of the year. As of December 31, 2024, deferred revenue mainly related to the Company’s Consumer subscription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is comprised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with finite live:</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technology</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320" w:type="dxa"/>
            <w:vAlign w:val="bottom"/>
          </w:tcPr>
          <w:p>
            <w:pPr>
              <w:spacing w:after="0"/>
              <w:rPr>
                <w:sz w:val="18"/>
                <w:szCs w:val="18"/>
                <w:color w:val="auto"/>
              </w:rPr>
            </w:pP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(1,862 )</w:t>
            </w:r>
          </w:p>
        </w:tc>
        <w:tc>
          <w:tcPr>
            <w:tcW w:w="6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(1,415 )</w:t>
            </w: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320" w:type="dxa"/>
            <w:vAlign w:val="bottom"/>
            <w:tcBorders>
              <w:top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was $0.4 million for the year ended December 31, 2024 ($0.7 million and $0.9 million for the years ended December 31, 2023 and 2022, respectively) and was included in cost of revenues in the Company’s consolidated statements of income for the periods presented.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that will be charged to expense over the remaining life of the intangible asset as of December 31, 2024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3000" w:type="dxa"/>
            <w:vAlign w:val="bottom"/>
            <w:tcBorders>
              <w:bottom w:val="single" w:sz="8" w:color="auto"/>
            </w:tcBorders>
          </w:tcPr>
          <w:p>
            <w:pPr>
              <w:jc w:val="right"/>
              <w:ind w:right="2095"/>
              <w:spacing w:after="0"/>
              <w:rPr>
                <w:sz w:val="20"/>
                <w:szCs w:val="20"/>
                <w:color w:val="auto"/>
              </w:rPr>
            </w:pPr>
            <w:r>
              <w:rPr>
                <w:rFonts w:ascii="Times New Roman" w:cs="Times New Roman" w:eastAsia="Times New Roman" w:hAnsi="Times New Roman"/>
                <w:sz w:val="14"/>
                <w:szCs w:val="14"/>
                <w:color w:val="auto"/>
              </w:rPr>
              <w:t>December 31,</w:t>
            </w:r>
          </w:p>
        </w:tc>
        <w:tc>
          <w:tcPr>
            <w:tcW w:w="4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00" w:type="dxa"/>
            <w:vAlign w:val="bottom"/>
            <w:shd w:val="clear" w:color="auto" w:fill="CFF0FC"/>
          </w:tcPr>
          <w:p>
            <w:pPr>
              <w:jc w:val="right"/>
              <w:ind w:right="2355"/>
              <w:spacing w:after="0"/>
              <w:rPr>
                <w:sz w:val="20"/>
                <w:szCs w:val="20"/>
                <w:color w:val="auto"/>
              </w:rPr>
            </w:pPr>
            <w:r>
              <w:rPr>
                <w:rFonts w:ascii="Times New Roman" w:cs="Times New Roman" w:eastAsia="Times New Roman" w:hAnsi="Times New Roman"/>
                <w:sz w:val="18"/>
                <w:szCs w:val="18"/>
                <w:color w:val="auto"/>
              </w:rPr>
              <w:t>2025</w:t>
            </w:r>
          </w:p>
        </w:tc>
        <w:tc>
          <w:tcPr>
            <w:tcW w:w="5860" w:type="dxa"/>
            <w:vAlign w:val="bottom"/>
            <w:gridSpan w:val="3"/>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00" w:type="dxa"/>
            <w:vAlign w:val="bottom"/>
          </w:tcPr>
          <w:p>
            <w:pPr>
              <w:jc w:val="right"/>
              <w:ind w:right="2355"/>
              <w:spacing w:after="0"/>
              <w:rPr>
                <w:sz w:val="20"/>
                <w:szCs w:val="20"/>
                <w:color w:val="auto"/>
              </w:rPr>
            </w:pPr>
            <w:r>
              <w:rPr>
                <w:rFonts w:ascii="Times New Roman" w:cs="Times New Roman" w:eastAsia="Times New Roman" w:hAnsi="Times New Roman"/>
                <w:sz w:val="18"/>
                <w:szCs w:val="18"/>
                <w:color w:val="auto"/>
              </w:rPr>
              <w:t>2026</w:t>
            </w: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00" w:type="dxa"/>
            <w:vAlign w:val="bottom"/>
            <w:tcBorders>
              <w:bottom w:val="single" w:sz="8" w:color="CFF0FC"/>
            </w:tcBorders>
            <w:shd w:val="clear" w:color="auto" w:fill="CFF0FC"/>
          </w:tcPr>
          <w:p>
            <w:pPr>
              <w:jc w:val="right"/>
              <w:ind w:right="2355"/>
              <w:spacing w:after="0"/>
              <w:rPr>
                <w:sz w:val="20"/>
                <w:szCs w:val="20"/>
                <w:color w:val="auto"/>
              </w:rPr>
            </w:pPr>
            <w:r>
              <w:rPr>
                <w:rFonts w:ascii="Times New Roman" w:cs="Times New Roman" w:eastAsia="Times New Roman" w:hAnsi="Times New Roman"/>
                <w:sz w:val="18"/>
                <w:szCs w:val="18"/>
                <w:color w:val="auto"/>
              </w:rPr>
              <w:t>2027</w:t>
            </w:r>
          </w:p>
        </w:tc>
        <w:tc>
          <w:tcPr>
            <w:tcW w:w="46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6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8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-1216660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other current assets, accounts payable, and accrued liabilities approximate fair value because of the relatively short-term nature of the underlying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Marketable Securities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cash equivalents and marketable securities by significant investment category as of December 31, 2024 and December 31,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gridSpan w:val="12"/>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Adjusted 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0"/>
                <w:szCs w:val="10"/>
                <w:color w:val="auto"/>
              </w:rPr>
            </w:pPr>
          </w:p>
        </w:tc>
        <w:tc>
          <w:tcPr>
            <w:tcW w:w="10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9"/>
                <w:szCs w:val="9"/>
                <w:color w:val="auto"/>
              </w:rPr>
            </w:pPr>
          </w:p>
        </w:tc>
        <w:tc>
          <w:tcPr>
            <w:tcW w:w="10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6"/>
              </w:rPr>
              <w:t>Basis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level 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69,287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level 2</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117,808</w:t>
            </w:r>
          </w:p>
        </w:tc>
        <w:tc>
          <w:tcPr>
            <w:tcW w:w="2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12"/>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Adjusted 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0"/>
                <w:szCs w:val="10"/>
                <w:color w:val="auto"/>
              </w:rPr>
            </w:pPr>
          </w:p>
        </w:tc>
        <w:tc>
          <w:tcPr>
            <w:tcW w:w="10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9"/>
                <w:szCs w:val="9"/>
                <w:color w:val="auto"/>
              </w:rPr>
            </w:pPr>
          </w:p>
        </w:tc>
        <w:tc>
          <w:tcPr>
            <w:tcW w:w="10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6"/>
              </w:rPr>
              <w:t>Basis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-2185035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-2185035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-2185035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-2185035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-2185035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-1345565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-1345565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-1345565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-1345565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-1345565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-170815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Maturities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remaining contractual maturities of our marketable securities as of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5"/>
                <w:szCs w:val="15"/>
                <w:color w:val="auto"/>
              </w:rPr>
            </w:pPr>
          </w:p>
        </w:tc>
        <w:tc>
          <w:tcPr>
            <w:tcW w:w="2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834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440" w:type="dxa"/>
            <w:vAlign w:val="bottom"/>
            <w:tcBorders>
              <w:top w:val="single" w:sz="8" w:color="auto"/>
              <w:bottom w:val="single" w:sz="8" w:color="auto"/>
            </w:tcBorders>
          </w:tcPr>
          <w:p>
            <w:pPr>
              <w:jc w:val="right"/>
              <w:ind w:right="997"/>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3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on a recurring basis for the years ended December 31, 2024 and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inputs utilized in determining the fair value of the Private Placement Warrants as of December 31, 2024 and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280" w:type="dxa"/>
            <w:vAlign w:val="bottom"/>
          </w:tcPr>
          <w:p>
            <w:pPr>
              <w:spacing w:after="0"/>
              <w:rPr>
                <w:sz w:val="12"/>
                <w:szCs w:val="12"/>
                <w:color w:val="auto"/>
              </w:rPr>
            </w:pPr>
          </w:p>
        </w:tc>
        <w:tc>
          <w:tcPr>
            <w:tcW w:w="2320" w:type="dxa"/>
            <w:vAlign w:val="bottom"/>
            <w:tcBorders>
              <w:bottom w:val="single" w:sz="8" w:color="auto"/>
            </w:tcBorders>
          </w:tcPr>
          <w:p>
            <w:pPr>
              <w:jc w:val="center"/>
              <w:ind w:left="9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3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28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(1)</w:t>
            </w:r>
          </w:p>
        </w:tc>
        <w:tc>
          <w:tcPr>
            <w:tcW w:w="2320" w:type="dxa"/>
            <w:vAlign w:val="bottom"/>
            <w:shd w:val="clear" w:color="auto" w:fill="CFF0FC"/>
          </w:tcPr>
          <w:p>
            <w:pPr>
              <w:jc w:val="center"/>
              <w:ind w:left="954"/>
              <w:spacing w:after="0"/>
              <w:rPr>
                <w:sz w:val="20"/>
                <w:szCs w:val="20"/>
                <w:color w:val="auto"/>
              </w:rPr>
            </w:pPr>
            <w:r>
              <w:rPr>
                <w:rFonts w:ascii="Times New Roman" w:cs="Times New Roman" w:eastAsia="Times New Roman" w:hAnsi="Times New Roman"/>
                <w:sz w:val="18"/>
                <w:szCs w:val="18"/>
                <w:color w:val="auto"/>
                <w:w w:val="99"/>
              </w:rPr>
              <w:t>0%</w:t>
            </w:r>
          </w:p>
        </w:tc>
        <w:tc>
          <w:tcPr>
            <w:tcW w:w="4640" w:type="dxa"/>
            <w:vAlign w:val="bottom"/>
            <w:gridSpan w:val="3"/>
            <w:shd w:val="clear" w:color="auto" w:fill="CFF0FC"/>
          </w:tcPr>
          <w:p>
            <w:pPr>
              <w:jc w:val="center"/>
              <w:ind w:left="1194"/>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2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32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rPr>
              <w:t>68.80%</w:t>
            </w:r>
          </w:p>
        </w:tc>
        <w:tc>
          <w:tcPr>
            <w:tcW w:w="4640" w:type="dxa"/>
            <w:vAlign w:val="bottom"/>
            <w:gridSpan w:val="3"/>
          </w:tcPr>
          <w:p>
            <w:pPr>
              <w:jc w:val="center"/>
              <w:ind w:left="1194"/>
              <w:spacing w:after="0"/>
              <w:rPr>
                <w:sz w:val="20"/>
                <w:szCs w:val="20"/>
                <w:color w:val="auto"/>
              </w:rPr>
            </w:pPr>
            <w:r>
              <w:rPr>
                <w:rFonts w:ascii="Times New Roman" w:cs="Times New Roman" w:eastAsia="Times New Roman" w:hAnsi="Times New Roman"/>
                <w:sz w:val="18"/>
                <w:szCs w:val="18"/>
                <w:color w:val="auto"/>
              </w:rPr>
              <w:t>61.10%</w:t>
            </w:r>
          </w:p>
        </w:tc>
      </w:tr>
      <w:tr>
        <w:trPr>
          <w:trHeight w:val="216"/>
        </w:trPr>
        <w:tc>
          <w:tcPr>
            <w:tcW w:w="42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320" w:type="dxa"/>
            <w:vAlign w:val="bottom"/>
            <w:shd w:val="clear" w:color="auto" w:fill="CFF0FC"/>
          </w:tcPr>
          <w:p>
            <w:pPr>
              <w:jc w:val="center"/>
              <w:ind w:left="954"/>
              <w:spacing w:after="0"/>
              <w:rPr>
                <w:sz w:val="20"/>
                <w:szCs w:val="20"/>
                <w:color w:val="auto"/>
              </w:rPr>
            </w:pPr>
            <w:r>
              <w:rPr>
                <w:rFonts w:ascii="Times New Roman" w:cs="Times New Roman" w:eastAsia="Times New Roman" w:hAnsi="Times New Roman"/>
                <w:sz w:val="18"/>
                <w:szCs w:val="18"/>
                <w:color w:val="auto"/>
              </w:rPr>
              <w:t>4.20%</w:t>
            </w:r>
          </w:p>
        </w:tc>
        <w:tc>
          <w:tcPr>
            <w:tcW w:w="4640" w:type="dxa"/>
            <w:vAlign w:val="bottom"/>
            <w:gridSpan w:val="3"/>
            <w:shd w:val="clear" w:color="auto" w:fill="CFF0FC"/>
          </w:tcPr>
          <w:p>
            <w:pPr>
              <w:jc w:val="center"/>
              <w:ind w:left="1174"/>
              <w:spacing w:after="0"/>
              <w:rPr>
                <w:sz w:val="20"/>
                <w:szCs w:val="20"/>
                <w:color w:val="auto"/>
              </w:rPr>
            </w:pPr>
            <w:r>
              <w:rPr>
                <w:rFonts w:ascii="Times New Roman" w:cs="Times New Roman" w:eastAsia="Times New Roman" w:hAnsi="Times New Roman"/>
                <w:sz w:val="18"/>
                <w:szCs w:val="18"/>
                <w:color w:val="auto"/>
                <w:w w:val="98"/>
              </w:rPr>
              <w:t>4.13%</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maturity (years)</w:t>
            </w:r>
          </w:p>
        </w:tc>
        <w:tc>
          <w:tcPr>
            <w:tcW w:w="232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rPr>
              <w:t>1.47</w:t>
            </w:r>
          </w:p>
        </w:tc>
        <w:tc>
          <w:tcPr>
            <w:tcW w:w="4640" w:type="dxa"/>
            <w:vAlign w:val="bottom"/>
            <w:gridSpan w:val="3"/>
          </w:tcPr>
          <w:p>
            <w:pPr>
              <w:jc w:val="center"/>
              <w:ind w:left="1194"/>
              <w:spacing w:after="0"/>
              <w:rPr>
                <w:sz w:val="20"/>
                <w:szCs w:val="20"/>
                <w:color w:val="auto"/>
              </w:rPr>
            </w:pPr>
            <w:r>
              <w:rPr>
                <w:rFonts w:ascii="Times New Roman" w:cs="Times New Roman" w:eastAsia="Times New Roman" w:hAnsi="Times New Roman"/>
                <w:sz w:val="18"/>
                <w:szCs w:val="18"/>
                <w:color w:val="auto"/>
              </w:rPr>
              <w:t>2.47</w:t>
            </w:r>
          </w:p>
        </w:tc>
      </w:tr>
    </w:tbl>
    <w:p>
      <w:pPr>
        <w:spacing w:after="0" w:line="72"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for the years ending December 31, 2024 and 2023.</w:t>
      </w:r>
    </w:p>
    <w:p>
      <w:pPr>
        <w:spacing w:after="0" w:line="43"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is based on the volatility implied by backsolving to the Public Warrants' price as of the valuation date.</w:t>
      </w:r>
    </w:p>
    <w:p>
      <w:pPr>
        <w:spacing w:after="0" w:line="43"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-free interest rate is based on the yield from U.S. Treasury bonds with an equivalent term to the time to maturity of the warrants.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FIXED ASSETS,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Fixed assets, net is included as part of other long-term assets in the consolidated balance sheets. Fixed assets, net as of December 31, 2024 and 2023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5"/>
                <w:szCs w:val="15"/>
                <w:color w:val="auto"/>
              </w:rPr>
            </w:pPr>
          </w:p>
        </w:tc>
        <w:tc>
          <w:tcPr>
            <w:tcW w:w="19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(1,123 )</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(888 )</w:t>
            </w:r>
          </w:p>
        </w:tc>
        <w:tc>
          <w:tcPr>
            <w:tcW w:w="0" w:type="dxa"/>
            <w:vAlign w:val="bottom"/>
          </w:tcPr>
          <w:p>
            <w:pPr>
              <w:spacing w:after="0"/>
              <w:rPr>
                <w:sz w:val="1"/>
                <w:szCs w:val="1"/>
                <w:color w:val="auto"/>
              </w:rPr>
            </w:pPr>
          </w:p>
        </w:tc>
      </w:tr>
      <w:tr>
        <w:trPr>
          <w:trHeight w:val="210"/>
        </w:trPr>
        <w:tc>
          <w:tcPr>
            <w:tcW w:w="708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-453390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capitalized $6.1 million of qualifying internal-use software development costs, net ($0.2 million as of December 31, 2023). Depreciation and amortization expense related to the Company's fixed assets was immaterial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400"/>
        <w:spacing w:after="0" w:line="436" w:lineRule="auto"/>
        <w:rPr>
          <w:sz w:val="20"/>
          <w:szCs w:val="20"/>
          <w:color w:val="auto"/>
        </w:rPr>
      </w:pPr>
      <w:r>
        <w:rPr>
          <w:rFonts w:ascii="Times New Roman" w:cs="Times New Roman" w:eastAsia="Times New Roman" w:hAnsi="Times New Roman"/>
          <w:sz w:val="18"/>
          <w:szCs w:val="18"/>
          <w:b w:val="1"/>
          <w:bCs w:val="1"/>
          <w:color w:val="auto"/>
        </w:rPr>
        <w:t xml:space="preserve">NOTE 7. ACCRUED EXPENSES AND OTHER CURRENT LIABILITIES </w:t>
      </w:r>
      <w:r>
        <w:rPr>
          <w:rFonts w:ascii="Times New Roman" w:cs="Times New Roman" w:eastAsia="Times New Roman" w:hAnsi="Times New Roman"/>
          <w:sz w:val="18"/>
          <w:szCs w:val="18"/>
          <w:color w:val="auto"/>
        </w:rPr>
        <w:t>Accrued expenses and other current liabilities is comprised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7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compensation</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98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5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Severance</w:t>
            </w:r>
          </w:p>
        </w:tc>
        <w:tc>
          <w:tcPr>
            <w:tcW w:w="5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User acquisition</w:t>
            </w:r>
          </w:p>
        </w:tc>
        <w:tc>
          <w:tcPr>
            <w:tcW w:w="5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3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As of December 31, 2024, there were no material pending legal proceedings, claims or litigation.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customers against liabilities if there is a breach of a customer’s data or if the Company’s service infringes a third party’s intellectual property rights. To date, the Company has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authorized capital stock consists of (a) 1,000,000,000 shares of common stock, par value $0.0001 per share; and (b) 100,000,000 shares of preferred stock, par value $0.0001 per share. As of December 31, 2024 there were 12,757,500 Private Placement Warrants and 20,722,500 Public Warrants (12,780,000 Private Placement Warrants and 20,700,000 Public Warrants as of December 31, 2023) to purchase the Company’s common stock at an exercise price of $11.50 per share. No shares of preferred stock were issued or outstanding for any years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firstLine="45"/>
        <w:spacing w:after="0" w:line="282" w:lineRule="auto"/>
        <w:rPr>
          <w:sz w:val="20"/>
          <w:szCs w:val="20"/>
          <w:color w:val="auto"/>
        </w:rPr>
      </w:pPr>
      <w:r>
        <w:rPr>
          <w:rFonts w:ascii="Times New Roman" w:cs="Times New Roman" w:eastAsia="Times New Roman" w:hAnsi="Times New Roman"/>
          <w:sz w:val="18"/>
          <w:szCs w:val="18"/>
          <w:color w:val="auto"/>
        </w:rPr>
        <w:t>of its common stock. The Share Repurchase Program will remain in effect until the earliest (1) the total authorized dollar amount of shares is repurchased or (2) August 1, 2026.</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and retired an aggregate of 3,911,259 shares of its common stock for a total consideration of $11.0 million ($2.81 per share). As of December 31, 2024, $29.0 million remained available under the Share Repurchase Program.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purchases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repurchased will be retired. The program does not obligate the Company to repurchase any dollar amount or number of shares, and may be modified, suspended, or discontinued at any time at the Company’s discretion without prior notice.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grant cash and equity incentive awards to officers, employees, directors, consultants and service providers in order to attract, motivate and retain talent under the Talkspace’s 2021 Incentive Award Plan (the “2021 Plan”).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recognized on a straight-line basis in the Company’s consolidated statements of income over the requisite service period (generally requiring a four-year vesting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options generally vest over a four-year period and are exercisable a maximum period of ten years. A summary of the Company’s stock option activity for the year ended December 31, 2024 is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vMerge w:val="restart"/>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7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center"/>
              <w:ind w:left="27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36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80" w:type="dxa"/>
            <w:vAlign w:val="bottom"/>
          </w:tcPr>
          <w:p>
            <w:pPr>
              <w:jc w:val="center"/>
              <w:ind w:left="298"/>
              <w:spacing w:after="0" w:line="15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3"/>
                <w:szCs w:val="13"/>
                <w:b w:val="1"/>
                <w:bCs w:val="1"/>
                <w:color w:val="auto"/>
              </w:rPr>
              <w:t xml:space="preserve">intrinsic value </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4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11,208,571</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1,013,381</w:t>
            </w:r>
          </w:p>
        </w:tc>
        <w:tc>
          <w:tcPr>
            <w:tcW w:w="280" w:type="dxa"/>
            <w:vAlign w:val="bottom"/>
          </w:tcPr>
          <w:p>
            <w:pPr>
              <w:spacing w:after="0"/>
              <w:rPr>
                <w:sz w:val="18"/>
                <w:szCs w:val="18"/>
                <w:color w:val="auto"/>
              </w:rPr>
            </w:pPr>
          </w:p>
        </w:tc>
        <w:tc>
          <w:tcPr>
            <w:tcW w:w="108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(1,710,285 )</w:t>
            </w:r>
          </w:p>
        </w:tc>
        <w:tc>
          <w:tcPr>
            <w:tcW w:w="1080" w:type="dxa"/>
            <w:vAlign w:val="bottom"/>
            <w:shd w:val="clear" w:color="auto" w:fill="CFF0FC"/>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(786,572 )</w:t>
            </w:r>
          </w:p>
        </w:tc>
        <w:tc>
          <w:tcPr>
            <w:tcW w:w="108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9,725,095</w:t>
            </w:r>
          </w:p>
        </w:tc>
        <w:tc>
          <w:tcPr>
            <w:tcW w:w="2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7,565,044</w:t>
            </w: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-153670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-153670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-153670</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5" w:lineRule="exact"/>
        <w:rPr>
          <w:sz w:val="20"/>
          <w:szCs w:val="20"/>
          <w:color w:val="auto"/>
        </w:rPr>
      </w:pPr>
    </w:p>
    <w:p>
      <w:pPr>
        <w:ind w:left="1020" w:hanging="503"/>
        <w:spacing w:after="0" w:line="261" w:lineRule="auto"/>
        <w:tabs>
          <w:tab w:leader="none" w:pos="10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intrinsic value of options outstanding and options exercisable at end of the year does not include 2,766,728 and 2,519,646, respectively, of stock options that are out of the money.</w:t>
      </w:r>
    </w:p>
    <w:p>
      <w:pPr>
        <w:spacing w:after="0" w:line="2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to employees during the years ended December 31, 2024 was $1.48 per share ($0.74 per share and $0.88 per share for the years ended December 31, 2023 and 2022,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 ended December 31, 2024 was $3.0 million ($2.5 million and $4.2 million for the years ended December 31, 2023 and 2022,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for options granted for the years ended December 31, 2024, 2023 and 2022 was estimated on the date of grant using a Black-Scholes-Merton options pricing model with the following weighted average assumptions: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r>
      <w:tr>
        <w:trPr>
          <w:trHeight w:val="142"/>
        </w:trPr>
        <w:tc>
          <w:tcPr>
            <w:tcW w:w="5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1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1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500" w:type="dxa"/>
            <w:vAlign w:val="bottom"/>
          </w:tcPr>
          <w:p>
            <w:pPr>
              <w:spacing w:after="0"/>
              <w:rPr>
                <w:sz w:val="12"/>
                <w:szCs w:val="12"/>
                <w:color w:val="auto"/>
              </w:rPr>
            </w:pPr>
          </w:p>
        </w:tc>
      </w:tr>
      <w:tr>
        <w:trPr>
          <w:trHeight w:val="210"/>
        </w:trPr>
        <w:tc>
          <w:tcPr>
            <w:tcW w:w="5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9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c>
          <w:tcPr>
            <w:tcW w:w="20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60.81% - 61.65%</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58.63% - 68.40%</w:t>
            </w:r>
          </w:p>
        </w:tc>
        <w:tc>
          <w:tcPr>
            <w:tcW w:w="2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66.80%-86.13%</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3.71%-4.19%</w:t>
            </w:r>
          </w:p>
        </w:tc>
        <w:tc>
          <w:tcPr>
            <w:tcW w:w="19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3.70%-4.22%</w:t>
            </w:r>
          </w:p>
        </w:tc>
        <w:tc>
          <w:tcPr>
            <w:tcW w:w="20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1.76%-4.11%</w:t>
            </w:r>
          </w:p>
        </w:tc>
        <w:tc>
          <w:tcPr>
            <w:tcW w:w="50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5.27 - 6.11</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5.23 - 6.25</w:t>
            </w:r>
          </w:p>
        </w:tc>
        <w:tc>
          <w:tcPr>
            <w:tcW w:w="2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5.07-6.25</w:t>
            </w:r>
          </w:p>
        </w:tc>
        <w:tc>
          <w:tcPr>
            <w:tcW w:w="500" w:type="dxa"/>
            <w:vAlign w:val="bottom"/>
          </w:tcPr>
          <w:p>
            <w:pPr>
              <w:spacing w:after="0"/>
              <w:rPr>
                <w:sz w:val="20"/>
                <w:szCs w:val="20"/>
                <w:color w:val="auto"/>
              </w:rPr>
            </w:pPr>
          </w:p>
        </w:tc>
      </w:tr>
      <w:tr>
        <w:trPr>
          <w:trHeight w:val="846"/>
        </w:trPr>
        <w:tc>
          <w:tcPr>
            <w:tcW w:w="5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6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$2.3 million of total unrecognized compensation cost related to non-vested stock options that are expected to be recognized over a weighted average period of 1.0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Restricted Stock Units (“RSUs”) typically vest over a four-year period. The following table summarizes the activity for RSUs for the year ended December 31, 2024:</w:t>
      </w:r>
    </w:p>
    <w:p>
      <w:pPr>
        <w:spacing w:after="0" w:line="105"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4180" w:type="dxa"/>
            <w:vAlign w:val="bottom"/>
            <w:gridSpan w:val="5"/>
          </w:tcPr>
          <w:p>
            <w:pPr>
              <w:ind w:left="1000"/>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r>
      <w:tr>
        <w:trPr>
          <w:trHeight w:val="134"/>
        </w:trPr>
        <w:tc>
          <w:tcPr>
            <w:tcW w:w="6480" w:type="dxa"/>
            <w:vAlign w:val="bottom"/>
          </w:tcPr>
          <w:p>
            <w:pPr>
              <w:spacing w:after="0"/>
              <w:rPr>
                <w:sz w:val="11"/>
                <w:szCs w:val="11"/>
                <w:color w:val="auto"/>
              </w:rPr>
            </w:pPr>
          </w:p>
        </w:tc>
        <w:tc>
          <w:tcPr>
            <w:tcW w:w="2160" w:type="dxa"/>
            <w:vAlign w:val="bottom"/>
            <w:tcBorders>
              <w:top w:val="single" w:sz="8" w:color="auto"/>
            </w:tcBorders>
            <w:gridSpan w:val="2"/>
          </w:tcPr>
          <w:p>
            <w:pPr>
              <w:jc w:val="center"/>
              <w:ind w:right="220"/>
              <w:spacing w:after="0" w:line="134"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jc w:val="center"/>
              <w:ind w:right="144"/>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1"/>
                <w:szCs w:val="11"/>
                <w:color w:val="auto"/>
              </w:rPr>
            </w:pPr>
          </w:p>
        </w:tc>
      </w:tr>
      <w:tr>
        <w:trPr>
          <w:trHeight w:val="162"/>
        </w:trPr>
        <w:tc>
          <w:tcPr>
            <w:tcW w:w="6480" w:type="dxa"/>
            <w:vAlign w:val="bottom"/>
          </w:tcPr>
          <w:p>
            <w:pPr>
              <w:spacing w:after="0"/>
              <w:rPr>
                <w:sz w:val="14"/>
                <w:szCs w:val="14"/>
                <w:color w:val="auto"/>
              </w:rPr>
            </w:pPr>
          </w:p>
        </w:tc>
        <w:tc>
          <w:tcPr>
            <w:tcW w:w="21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restricted stock</w:t>
            </w:r>
          </w:p>
        </w:tc>
        <w:tc>
          <w:tcPr>
            <w:tcW w:w="220" w:type="dxa"/>
            <w:vAlign w:val="bottom"/>
          </w:tcPr>
          <w:p>
            <w:pPr>
              <w:spacing w:after="0"/>
              <w:rPr>
                <w:sz w:val="14"/>
                <w:szCs w:val="14"/>
                <w:color w:val="auto"/>
              </w:rPr>
            </w:pPr>
          </w:p>
        </w:tc>
        <w:tc>
          <w:tcPr>
            <w:tcW w:w="18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average grant-date</w:t>
            </w:r>
          </w:p>
        </w:tc>
      </w:tr>
      <w:tr>
        <w:trPr>
          <w:trHeight w:val="183"/>
        </w:trPr>
        <w:tc>
          <w:tcPr>
            <w:tcW w:w="6480" w:type="dxa"/>
            <w:vAlign w:val="bottom"/>
          </w:tcPr>
          <w:p>
            <w:pPr>
              <w:spacing w:after="0"/>
              <w:rPr>
                <w:sz w:val="15"/>
                <w:szCs w:val="15"/>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units</w:t>
            </w:r>
          </w:p>
        </w:tc>
        <w:tc>
          <w:tcPr>
            <w:tcW w:w="220" w:type="dxa"/>
            <w:vAlign w:val="bottom"/>
          </w:tcPr>
          <w:p>
            <w:pPr>
              <w:spacing w:after="0"/>
              <w:rPr>
                <w:sz w:val="15"/>
                <w:szCs w:val="15"/>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156"/>
        </w:trPr>
        <w:tc>
          <w:tcPr>
            <w:tcW w:w="64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Nonvested at beginning of year</w:t>
            </w:r>
          </w:p>
        </w:tc>
        <w:tc>
          <w:tcPr>
            <w:tcW w:w="19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8,984,827</w:t>
            </w:r>
          </w:p>
        </w:tc>
        <w:tc>
          <w:tcPr>
            <w:tcW w:w="2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1.30</w:t>
            </w:r>
          </w:p>
        </w:tc>
        <w:tc>
          <w:tcPr>
            <w:tcW w:w="100" w:type="dxa"/>
            <w:vAlign w:val="bottom"/>
            <w:shd w:val="clear" w:color="auto" w:fill="CFF0FC"/>
          </w:tcPr>
          <w:p>
            <w:pPr>
              <w:spacing w:after="0"/>
              <w:rPr>
                <w:sz w:val="13"/>
                <w:szCs w:val="13"/>
                <w:color w:val="auto"/>
              </w:rPr>
            </w:pPr>
          </w:p>
        </w:tc>
      </w:tr>
      <w:tr>
        <w:trPr>
          <w:trHeight w:val="162"/>
        </w:trPr>
        <w:tc>
          <w:tcPr>
            <w:tcW w:w="6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Granted</w:t>
            </w:r>
          </w:p>
        </w:tc>
        <w:tc>
          <w:tcPr>
            <w:tcW w:w="1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3,142,300</w:t>
            </w:r>
          </w:p>
        </w:tc>
        <w:tc>
          <w:tcPr>
            <w:tcW w:w="220" w:type="dxa"/>
            <w:vAlign w:val="bottom"/>
          </w:tcPr>
          <w:p>
            <w:pPr>
              <w:spacing w:after="0"/>
              <w:rPr>
                <w:sz w:val="14"/>
                <w:szCs w:val="14"/>
                <w:color w:val="auto"/>
              </w:rPr>
            </w:pPr>
          </w:p>
        </w:tc>
        <w:tc>
          <w:tcPr>
            <w:tcW w:w="2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2.87</w:t>
            </w:r>
          </w:p>
        </w:tc>
        <w:tc>
          <w:tcPr>
            <w:tcW w:w="100" w:type="dxa"/>
            <w:vAlign w:val="bottom"/>
          </w:tcPr>
          <w:p>
            <w:pPr>
              <w:spacing w:after="0"/>
              <w:rPr>
                <w:sz w:val="14"/>
                <w:szCs w:val="14"/>
                <w:color w:val="auto"/>
              </w:rPr>
            </w:pPr>
          </w:p>
        </w:tc>
      </w:tr>
      <w:tr>
        <w:trPr>
          <w:trHeight w:val="162"/>
        </w:trPr>
        <w:tc>
          <w:tcPr>
            <w:tcW w:w="64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Vested</w:t>
            </w:r>
          </w:p>
        </w:tc>
        <w:tc>
          <w:tcPr>
            <w:tcW w:w="21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(3,776,287 )</w:t>
            </w:r>
          </w:p>
        </w:tc>
        <w:tc>
          <w:tcPr>
            <w:tcW w:w="2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1.71</w:t>
            </w:r>
          </w:p>
        </w:tc>
        <w:tc>
          <w:tcPr>
            <w:tcW w:w="100" w:type="dxa"/>
            <w:vAlign w:val="bottom"/>
            <w:shd w:val="clear" w:color="auto" w:fill="CFF0FC"/>
          </w:tcPr>
          <w:p>
            <w:pPr>
              <w:spacing w:after="0"/>
              <w:rPr>
                <w:sz w:val="14"/>
                <w:szCs w:val="14"/>
                <w:color w:val="auto"/>
              </w:rPr>
            </w:pPr>
          </w:p>
        </w:tc>
      </w:tr>
      <w:tr>
        <w:trPr>
          <w:trHeight w:val="162"/>
        </w:trPr>
        <w:tc>
          <w:tcPr>
            <w:tcW w:w="6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Forfeited</w:t>
            </w:r>
          </w:p>
        </w:tc>
        <w:tc>
          <w:tcPr>
            <w:tcW w:w="21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(1,323,765 )</w:t>
            </w:r>
          </w:p>
        </w:tc>
        <w:tc>
          <w:tcPr>
            <w:tcW w:w="2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spacing w:after="0"/>
              <w:rPr>
                <w:sz w:val="14"/>
                <w:szCs w:val="14"/>
                <w:color w:val="auto"/>
              </w:rPr>
            </w:pPr>
          </w:p>
        </w:tc>
      </w:tr>
      <w:tr>
        <w:trPr>
          <w:trHeight w:val="156"/>
        </w:trPr>
        <w:tc>
          <w:tcPr>
            <w:tcW w:w="64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Nonvested at end of year</w:t>
            </w:r>
          </w:p>
        </w:tc>
        <w:tc>
          <w:tcPr>
            <w:tcW w:w="19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7,027,075</w:t>
            </w:r>
          </w:p>
        </w:tc>
        <w:tc>
          <w:tcPr>
            <w:tcW w:w="2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1.73</w:t>
            </w:r>
          </w:p>
        </w:tc>
        <w:tc>
          <w:tcPr>
            <w:tcW w:w="100" w:type="dxa"/>
            <w:vAlign w:val="bottom"/>
            <w:tcBorders>
              <w:bottom w:val="single" w:sz="8" w:color="CFF0FC"/>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 ended December 31, 2024 was $10.4 million ($5.0 million and $3.7 million for the years ended December 31, 2023 and 2022, respectively).</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$11.1 million of total unrecognized compensation cost related to non-vested RSUs that are expected to be recognized over a weighted average period of 1.5 years.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share-based compensation expense related to stock options and RSUs included in the respective components of operating expenses in the consolidated statements of income:</w:t>
      </w:r>
    </w:p>
    <w:p>
      <w:pPr>
        <w:spacing w:after="0" w:line="101"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modified certain equity awards in connection with certain key executives' separation from the Company and recognized $1.2 million of additional stock-based compensation expense as a result of these modifications.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INCOME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common stockholders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66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(19,182 )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(79,672 )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income (loss) per share: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168,906,900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165,039,920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156,885,256</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7,588,972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176,495,872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165,039,920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156,885,256</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(0.12 )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(0.51 )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(0.51 )</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460" w:type="dxa"/>
            <w:vAlign w:val="bottom"/>
          </w:tcPr>
          <w:p>
            <w:pPr>
              <w:spacing w:after="0"/>
              <w:rPr>
                <w:sz w:val="24"/>
                <w:szCs w:val="24"/>
                <w:color w:val="auto"/>
              </w:rPr>
            </w:pPr>
          </w:p>
        </w:tc>
        <w:tc>
          <w:tcPr>
            <w:tcW w:w="566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following were excluded from the calculation of diluted net income per share since each would have had an anti-dilutive effect: 437,694 stock options, 40,149 restricted stock units, 12,757,500 Private Placement Warrants and 20,722,500 Public Warrants to purchase the Company’s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following were excluded from the calculation of diluted loss per share since each would have had an anti-dilutive effect given the Company’s net loss: 11,208,573 stock options, 8,984,827 restricted stock units, 12,780,000 Private Placement Warrants and 20,700,000 Public Warrants to purchase the Company’s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following were excluded from the calculation of diluted loss per share since each would have had an anti-dilutive effect given the Company’s net loss: 17,526,326 stock options, 9,127,051 restricted stock units, 12,780,000 Private Placement Warrants and 20,700,000 Public Warrants to purchase the Company’s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and various states and foreign jurisdictions. The Company assessed its uncertain tax positions and determined that it has no uncertain tax positions at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statutory income tax rate to the Company’s effective income tax rate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(18,964 )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(79,418 )</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4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4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4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taxes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(3,982 )</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(16,678 )</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effective tax rate due to: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(164 )</w:t>
            </w: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(4,079 )</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40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4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(648 )</w:t>
            </w:r>
          </w:p>
        </w:tc>
        <w:tc>
          <w:tcPr>
            <w:tcW w:w="42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(373 )</w:t>
            </w:r>
          </w:p>
        </w:tc>
        <w:tc>
          <w:tcPr>
            <w:tcW w:w="4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(6,669 )</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(38 )</w:t>
            </w: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Actual income taxes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-170815</wp:posOffset>
            </wp:positionV>
            <wp:extent cx="12001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1200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taxes is attributable to the following tax jurisdictions: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(19,576 )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(79,788 )</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(18,964 )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(79,418 )</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are comprised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4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4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4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(121 )</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4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4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(121 )</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-873760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-873760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-316230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-316230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6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70,373</w:t>
            </w:r>
          </w:p>
        </w:tc>
        <w:tc>
          <w:tcPr>
            <w:tcW w:w="2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 gross deferred tax assets, net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(73,978 )</w:t>
            </w:r>
          </w:p>
        </w:tc>
        <w:tc>
          <w:tcPr>
            <w:tcW w:w="5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(74,016 )</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(long term):</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(166 )</w:t>
            </w:r>
          </w:p>
        </w:tc>
        <w:tc>
          <w:tcPr>
            <w:tcW w:w="5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100" w:type="dxa"/>
            <w:vAlign w:val="bottom"/>
            <w:tcBorders>
              <w:top w:val="single" w:sz="8" w:color="CFF0FC"/>
            </w:tcBorders>
          </w:tcPr>
          <w:p>
            <w:pPr>
              <w:ind w:left="960"/>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-728345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Realization of the future tax benefits is dependent on the Company’s ability to generate sufficient taxable income within the carryforward period. A valuation allowance is provided for deferred tax assets when it is “more likely than not” that some portion of the deferred tax asset will not be realized. Because of the Company’s recent history of operating losses, management believes the recognition of the deferred tax assets arising from the above-mentioned future tax benefits is currently not more likely than not to be realized and, accordingly, has provided a full valuation allowance. A valuation allowance has been recorded for the net deferred tax assets at December 31, 2024 and 2023.</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a full valuation allowance on its net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Management considered the Company’s cumulative loss in recent years as significant negative evidence. Based upon a review of the four sources of income identified within ASC 740, management determined that the negative evidence outweighed the positive evidence and that a full valuation allowance on the net deferred tax assets will be maintained. Management will continue to assess the realizability of our deferred tax assets going forward and will adjust the valuation allowance as needed. The Company’s valuation allowance decrease was immaterial for the year ended December 31, 2024; the decrease was primarily due to decreases in its net operating loss carryforwards.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has federal and state net operating loss carryovers (“NOL”) of approximately $279.8 million and $239.0 million, respectively, which are available to reduce future taxable income. The NOL carryforwards begin to expire in 2032 and may become subject to annual limitation in the event of certain cumulative changes in the ownership interest of significant stockholders over a three-year period in excess of 50%, as defined under I.R.C. Section 382.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could limit the amount of tax attributes that can be utilized annually to offset future taxable income or future tax liabilities. The federal losses generated from 2018 onward do not expire.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U.S. federal and state and Israeli income taxes with varying statutes of limitations. The Company is not currently under examination by any income tax authority, nor has it been notified that an examination is contemplated. The Company is no longer subject to U.S. federal, state or local income tax examinations by the tax authorities for years before 2019. The Israel subsidiary tax assessments filed by the Company through the year 2019 are considered closed.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VARIABLE INTEREST ENTITIES (“VIEs”)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2022, the Company completed a transition with respect to its relationship with its providers, transitioning to a structure whereby Talkspace LLC has entered into various agreements with a Texas professional association entity (Talkspace Provider Network, PA or “TPN”), which in turn contracts with our other affiliated professional entities ("PC entities"), physicians, therapists, and other licensed professionals for clinical and professional services provided to the Company's members. Talkspace LLC is party to various Management Services Agreements (“MSAs”) with TPN as well as the PC entities as part of this transition. The Company believes the transition to a structure where it operates under various MSAs with professional associations and professional corporations authorized by state law to contract with affiliated professionals to deliver teletherapy services to its members, helps ensure the Company is able to comply with all applicable regulatory requirements, including the corporate practice of medicine and fee-splitting laws, that are necessarily implicated by engaging in telehealth care that can only be delivered by physicians. The Company is continuing to transition its current agreements with its customers, members and other business partners to TPN or the PC entities, where applicable.</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MSAs, Talkspace LLC is the managing entity (the “Manager”) and provides management and administrative resources and services essential to the operations of TPN and the PC entities and receives a management fee for these services and reimbursement of expenses incurred. TPN and the PC entities in turn have the obligation under the MSAs to engage all licensed physicians and other health professionals to provide behavioral healthcare services to the Company's members. In addition, to the extent that TPN or the PC entities lack sufficient funds to meet their obligations, the Manager may, at its sole discretion, advance funds to TPN or the PC entities to cover these obligations. Such advances would be considered loans made by Manager and should be repaid as per the terms of the management agreement. No such advances have been made by the Manager to TPN or the PC entities as of December 31, 2024 and 2023.</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holds a variable interest in TPN and the PC entities. The Company evaluates whether an entity in which it has a variable interest is considered a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direct the activities of the entity that most significantly impact the entity's economic performance through voting rights and a right to receive the expected residual returns of the entity or an obligation to absorb the expected losses of the entity).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and liabilities of the VIEs as of December 31, 2024 and 2023. The assets and liabilities in the table below are presented prior to consolidation and thus a portion of these assets and liabilities are eliminated in consolidation.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3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3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6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4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-1516380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-1499235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-1216660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1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this report, an evaluation was carried out by certain members of Company management, with the participation of the Chief Executive Officer and our Chief Financial Officer of the effectiveness of the Company’s disclosure controls and procedures (as defined in Securities and Exchange Commission’s (“SEC”) Rules 13a-15(e) and 15d-15(e) under the Securities Exchange Act of 1934, as amended (“Exchange Act”)), as of December 31, 2024. Disclosure controls and procedures are designed to ensure that information required to be disclosed in reports filed or submitted under the Exchange Act is recorded, processed, summarized, and reported within the time periods specified in the SEC’s rules and forms, and that such information is accumulated and communicated to management, including the Chief Executive Officer and the Chief Financial Officer, to allow timely decisions regarding required disclosures. Based upon that evaluation, our management, including our Chief Executive Officer and our Chief Financial Officer, concluded that our disclosure controls and procedures were effective as of December 31, 2024.</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also believes that the consolidated financial statements in this Annual Report on Form 10-K present, in all material aspects, the company’s financial condition as reported, in conformity with U.S. Generally Accepted Accounting Principles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consolidated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of and with the participation of our management, including our Chief Executive Officer and Chief Financial Officer, we assessed the effectiveness of our internal control over financial reporting as of December 31, 2024, using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upon that evaluation, our management concluded that our internal control over financial reporting was effective as of December 31, 2024.</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Kost Forer Gabbay &amp; Kasierer, a member of EY Global, which audited our consolidated financial statements included in this Form 10-K, has audited the effectiveness of the Company’s internal control over financial reporting as of December 31, 2024, and has issued an attestation, which appears in their report in Item 8 Financial Statements and Supplementary Data of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(as defined in Rules 13a-15(f) and 15d-15(f) of the Exchange Act) that occurred during the fourth quarter of fiscal year 2024 that have materially affected, or are reasonably likely to materially affect, our internal control over financial reporting. We will continue to evaluate each quarter whether there are changes that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2024, no director or officer of the Company adopted or terminated a “Rule 10b5-1 trading arrangement” or “non-Rule 10b5-1 trading arrangement,” as the terms are defined in Item 408(a) of Regulation S-K.</w:t>
      </w:r>
    </w:p>
    <w:p>
      <w:pPr>
        <w:spacing w:after="0" w:line="266" w:lineRule="exact"/>
        <w:rPr>
          <w:sz w:val="20"/>
          <w:szCs w:val="20"/>
          <w:color w:val="auto"/>
        </w:rPr>
      </w:pPr>
    </w:p>
    <w:p>
      <w:pPr>
        <w:ind w:right="312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Policy Prohibiting Insider Trading and Related Procedures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applicable to our directors, officers, employees, and other covered persons, and have implemented processes for the Company, that we believe are reasonably designed to promote compliance with insider trading laws, rules and regulations, and the Nasdaq Stock Market LLC listing standards. Our insider trading policy is filed as Exhibit 19.1 to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26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1400" w:right="20" w:hanging="374"/>
        <w:spacing w:after="0" w:line="282" w:lineRule="auto"/>
        <w:tabs>
          <w:tab w:leader="none" w:pos="14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listed in the Index to Consolidated Financial Statements and Supplemental Data filed as part of this Form 10-K. See Item 8 (pages 59 to 80)</w:t>
      </w:r>
    </w:p>
    <w:p>
      <w:pPr>
        <w:spacing w:after="0" w:line="107" w:lineRule="exact"/>
        <w:rPr>
          <w:rFonts w:ascii="Times New Roman" w:cs="Times New Roman" w:eastAsia="Times New Roman" w:hAnsi="Times New Roman"/>
          <w:sz w:val="18"/>
          <w:szCs w:val="18"/>
          <w:color w:val="auto"/>
        </w:rPr>
      </w:pPr>
    </w:p>
    <w:p>
      <w:pPr>
        <w:ind w:left="1400" w:hanging="374"/>
        <w:spacing w:after="0" w:line="282" w:lineRule="auto"/>
        <w:tabs>
          <w:tab w:leader="none" w:pos="14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Financial statement schedules are omitted as they are either not required or not applicable, or the information is otherwise included in the consolidated financial statements.</w:t>
      </w:r>
    </w:p>
    <w:p>
      <w:pPr>
        <w:spacing w:after="0" w:line="107" w:lineRule="exact"/>
        <w:rPr>
          <w:rFonts w:ascii="Times New Roman" w:cs="Times New Roman" w:eastAsia="Times New Roman" w:hAnsi="Times New Roman"/>
          <w:sz w:val="18"/>
          <w:szCs w:val="18"/>
          <w:color w:val="auto"/>
        </w:rPr>
      </w:pPr>
    </w:p>
    <w:p>
      <w:pPr>
        <w:ind w:left="1400" w:right="20" w:hanging="374"/>
        <w:spacing w:after="0" w:line="282" w:lineRule="auto"/>
        <w:tabs>
          <w:tab w:leader="none" w:pos="14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which are filed with this Form 10-K or are incorporated herein by reference are set forth in the Exhibit Index (pages 85 to 86)</w:t>
      </w:r>
    </w:p>
    <w:p>
      <w:pPr>
        <w:spacing w:after="0" w:line="1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See the Exhibit Index included hereinafter on pages 85 to 86</w:t>
      </w:r>
    </w:p>
    <w:p>
      <w:pPr>
        <w:spacing w:after="0" w:line="207" w:lineRule="exact"/>
        <w:rPr>
          <w:sz w:val="20"/>
          <w:szCs w:val="20"/>
          <w:color w:val="auto"/>
        </w:rPr>
      </w:pPr>
    </w:p>
    <w:p>
      <w:pPr>
        <w:ind w:left="900" w:right="46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excluded from the annual report to stockholders None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5"/>
                <w:szCs w:val="15"/>
                <w:b w:val="1"/>
                <w:bCs w:val="1"/>
                <w:color w:val="auto"/>
              </w:rPr>
              <w:t>Incorporated by Reference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40" w:type="dxa"/>
            <w:vAlign w:val="bottom"/>
            <w:gridSpan w:val="1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16"/>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gridSpan w:val="3"/>
          </w:tcPr>
          <w:p>
            <w:pPr>
              <w:spacing w:after="0" w:line="155" w:lineRule="exact"/>
              <w:rPr>
                <w:rFonts w:ascii="Times New Roman" w:cs="Times New Roman" w:eastAsia="Times New Roman" w:hAnsi="Times New Roman"/>
                <w:sz w:val="17"/>
                <w:szCs w:val="17"/>
                <w:color w:val="0000FF"/>
                <w:w w:val="90"/>
              </w:rPr>
            </w:pPr>
            <w:hyperlink r:id="rId338">
              <w:r>
                <w:rPr>
                  <w:rFonts w:ascii="Times New Roman" w:cs="Times New Roman" w:eastAsia="Times New Roman" w:hAnsi="Times New Roman"/>
                  <w:sz w:val="17"/>
                  <w:szCs w:val="17"/>
                  <w:color w:val="0000FF"/>
                  <w:w w:val="90"/>
                </w:rPr>
                <w:t>2.</w:t>
              </w:r>
              <w:r>
                <w:rPr>
                  <w:rFonts w:ascii="Times New Roman" w:cs="Times New Roman" w:eastAsia="Times New Roman" w:hAnsi="Times New Roman"/>
                  <w:sz w:val="17"/>
                  <w:szCs w:val="17"/>
                  <w:u w:val="single" w:color="auto"/>
                  <w:color w:val="0000FF"/>
                  <w:w w:val="90"/>
                </w:rPr>
                <w:t>1</w:t>
              </w:r>
            </w:hyperlink>
            <w:r>
              <w:rPr>
                <w:rFonts w:ascii="Times New Roman" w:cs="Times New Roman" w:eastAsia="Times New Roman" w:hAnsi="Times New Roman"/>
                <w:sz w:val="17"/>
                <w:szCs w:val="17"/>
                <w:color w:val="000000"/>
                <w:w w:val="90"/>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40" w:type="dxa"/>
            <w:vAlign w:val="bottom"/>
            <w:gridSpan w:val="27"/>
          </w:tcPr>
          <w:p>
            <w:pPr>
              <w:spacing w:after="0" w:line="155" w:lineRule="exact"/>
              <w:rPr>
                <w:rFonts w:ascii="Times New Roman" w:cs="Times New Roman" w:eastAsia="Times New Roman" w:hAnsi="Times New Roman"/>
                <w:sz w:val="17"/>
                <w:szCs w:val="17"/>
                <w:color w:val="0000FF"/>
              </w:rPr>
            </w:pPr>
            <w:hyperlink r:id="rId338">
              <w:r>
                <w:rPr>
                  <w:rFonts w:ascii="Times New Roman" w:cs="Times New Roman" w:eastAsia="Times New Roman" w:hAnsi="Times New Roman"/>
                  <w:sz w:val="17"/>
                  <w:szCs w:val="17"/>
                  <w:color w:val="0000FF"/>
                </w:rPr>
                <w:t>Agreement and Plan of Merger, dated as of January 12, 2021, by and among Hudson Executive</w:t>
              </w:r>
            </w:hyperlink>
          </w:p>
        </w:tc>
        <w:tc>
          <w:tcPr>
            <w:tcW w:w="5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S-4</w:t>
            </w: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333-252638</w:t>
            </w:r>
          </w:p>
        </w:tc>
        <w:tc>
          <w:tcPr>
            <w:tcW w:w="6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6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2/2/21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20" w:type="dxa"/>
            <w:vAlign w:val="bottom"/>
            <w:tcBorders>
              <w:bottom w:val="single" w:sz="8" w:color="0000FF"/>
            </w:tcBorders>
            <w:gridSpan w:val="26"/>
          </w:tcPr>
          <w:p>
            <w:pPr>
              <w:spacing w:after="0" w:line="183" w:lineRule="exact"/>
              <w:rPr>
                <w:rFonts w:ascii="Times New Roman" w:cs="Times New Roman" w:eastAsia="Times New Roman" w:hAnsi="Times New Roman"/>
                <w:sz w:val="17"/>
                <w:szCs w:val="17"/>
                <w:color w:val="0000FF"/>
              </w:rPr>
            </w:pPr>
            <w:hyperlink r:id="rId338">
              <w:r>
                <w:rPr>
                  <w:rFonts w:ascii="Times New Roman" w:cs="Times New Roman" w:eastAsia="Times New Roman" w:hAnsi="Times New Roman"/>
                  <w:sz w:val="17"/>
                  <w:szCs w:val="17"/>
                  <w:color w:val="0000FF"/>
                </w:rPr>
                <w:t>Investment Corp., Tailwind Merger Sub I, Inc., Tailwind Merger Sub II, LLC, and Groop Internet</w:t>
              </w:r>
            </w:hyperlink>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0" w:type="dxa"/>
            <w:vAlign w:val="bottom"/>
            <w:vMerge w:val="restart"/>
          </w:tcPr>
          <w:p>
            <w:pPr>
              <w:spacing w:after="0"/>
              <w:rPr>
                <w:rFonts w:ascii="Times New Roman" w:cs="Times New Roman" w:eastAsia="Times New Roman" w:hAnsi="Times New Roman"/>
                <w:sz w:val="17"/>
                <w:szCs w:val="17"/>
                <w:color w:val="0000FF"/>
                <w:w w:val="93"/>
              </w:rPr>
            </w:pPr>
            <w:hyperlink r:id="rId339">
              <w:r>
                <w:rPr>
                  <w:rFonts w:ascii="Times New Roman" w:cs="Times New Roman" w:eastAsia="Times New Roman" w:hAnsi="Times New Roman"/>
                  <w:sz w:val="17"/>
                  <w:szCs w:val="17"/>
                  <w:color w:val="0000FF"/>
                  <w:w w:val="93"/>
                </w:rPr>
                <w:t>3.</w:t>
              </w:r>
              <w:r>
                <w:rPr>
                  <w:rFonts w:ascii="Times New Roman" w:cs="Times New Roman" w:eastAsia="Times New Roman" w:hAnsi="Times New Roman"/>
                  <w:sz w:val="17"/>
                  <w:szCs w:val="17"/>
                  <w:u w:val="single" w:color="auto"/>
                  <w:color w:val="0000FF"/>
                  <w:w w:val="93"/>
                </w:rPr>
                <w:t>1</w:t>
              </w:r>
            </w:hyperlink>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20" w:type="dxa"/>
            <w:vAlign w:val="bottom"/>
            <w:tcBorders>
              <w:bottom w:val="single" w:sz="8" w:color="0000FF"/>
            </w:tcBorders>
            <w:gridSpan w:val="9"/>
          </w:tcPr>
          <w:p>
            <w:pPr>
              <w:spacing w:after="0" w:line="183" w:lineRule="exact"/>
              <w:rPr>
                <w:rFonts w:ascii="Times New Roman" w:cs="Times New Roman" w:eastAsia="Times New Roman" w:hAnsi="Times New Roman"/>
                <w:sz w:val="17"/>
                <w:szCs w:val="17"/>
                <w:color w:val="0000FF"/>
                <w:w w:val="99"/>
              </w:rPr>
            </w:pPr>
            <w:hyperlink r:id="rId338">
              <w:r>
                <w:rPr>
                  <w:rFonts w:ascii="Times New Roman" w:cs="Times New Roman" w:eastAsia="Times New Roman" w:hAnsi="Times New Roman"/>
                  <w:sz w:val="17"/>
                  <w:szCs w:val="17"/>
                  <w:color w:val="0000FF"/>
                  <w:w w:val="99"/>
                </w:rPr>
                <w:t>Platform, Inc. (d/b/a Talkspace).</w:t>
              </w:r>
            </w:hyperlink>
          </w:p>
        </w:tc>
        <w:tc>
          <w:tcPr>
            <w:tcW w:w="4520" w:type="dxa"/>
            <w:vAlign w:val="bottom"/>
            <w:gridSpan w:val="18"/>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8-K/A</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6/23/21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vMerge w:val="continue"/>
          </w:tcPr>
          <w:p>
            <w:pPr>
              <w:spacing w:after="0"/>
              <w:rPr>
                <w:sz w:val="15"/>
                <w:szCs w:val="15"/>
                <w:color w:val="auto"/>
              </w:rPr>
            </w:pPr>
          </w:p>
        </w:tc>
        <w:tc>
          <w:tcPr>
            <w:tcW w:w="220" w:type="dxa"/>
            <w:vAlign w:val="bottom"/>
            <w:tcBorders>
              <w:bottom w:val="single" w:sz="8" w:color="0000FF"/>
            </w:tcBorders>
            <w:vMerge w:val="continue"/>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tcBorders>
              <w:bottom w:val="single" w:sz="8" w:color="0000FF"/>
            </w:tcBorders>
            <w:gridSpan w:val="16"/>
          </w:tcPr>
          <w:p>
            <w:pPr>
              <w:spacing w:after="0" w:line="183" w:lineRule="exact"/>
              <w:rPr>
                <w:rFonts w:ascii="Times New Roman" w:cs="Times New Roman" w:eastAsia="Times New Roman" w:hAnsi="Times New Roman"/>
                <w:sz w:val="17"/>
                <w:szCs w:val="17"/>
                <w:color w:val="0000FF"/>
              </w:rPr>
            </w:pPr>
            <w:hyperlink r:id="rId339">
              <w:r>
                <w:rPr>
                  <w:rFonts w:ascii="Times New Roman" w:cs="Times New Roman" w:eastAsia="Times New Roman" w:hAnsi="Times New Roman"/>
                  <w:sz w:val="17"/>
                  <w:szCs w:val="17"/>
                  <w:color w:val="0000FF"/>
                </w:rPr>
                <w:t>Second Amended and Restated Certificate of Incorporation of Talkspace, Inc.</w:t>
              </w:r>
            </w:hyperlink>
          </w:p>
        </w:tc>
        <w:tc>
          <w:tcPr>
            <w:tcW w:w="1420" w:type="dxa"/>
            <w:vAlign w:val="bottom"/>
            <w:gridSpan w:val="11"/>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220" w:type="dxa"/>
            <w:vAlign w:val="bottom"/>
            <w:tcBorders>
              <w:bottom w:val="single" w:sz="8" w:color="0000FF"/>
            </w:tcBorders>
          </w:tcPr>
          <w:p>
            <w:pPr>
              <w:spacing w:after="0" w:line="183" w:lineRule="exact"/>
              <w:rPr>
                <w:rFonts w:ascii="Times New Roman" w:cs="Times New Roman" w:eastAsia="Times New Roman" w:hAnsi="Times New Roman"/>
                <w:sz w:val="17"/>
                <w:szCs w:val="17"/>
                <w:color w:val="0000FF"/>
                <w:w w:val="93"/>
              </w:rPr>
            </w:pPr>
            <w:hyperlink r:id="rId340">
              <w:r>
                <w:rPr>
                  <w:rFonts w:ascii="Times New Roman" w:cs="Times New Roman" w:eastAsia="Times New Roman" w:hAnsi="Times New Roman"/>
                  <w:sz w:val="17"/>
                  <w:szCs w:val="17"/>
                  <w:color w:val="0000FF"/>
                  <w:w w:val="93"/>
                </w:rPr>
                <w:t>3.</w:t>
              </w:r>
              <w:r>
                <w:rPr>
                  <w:rFonts w:ascii="Times New Roman" w:cs="Times New Roman" w:eastAsia="Times New Roman" w:hAnsi="Times New Roman"/>
                  <w:sz w:val="17"/>
                  <w:szCs w:val="17"/>
                  <w:u w:val="single" w:color="auto"/>
                  <w:color w:val="0000FF"/>
                  <w:w w:val="93"/>
                </w:rPr>
                <w:t>2</w:t>
              </w:r>
            </w:hyperlink>
          </w:p>
        </w:tc>
        <w:tc>
          <w:tcPr>
            <w:tcW w:w="20" w:type="dxa"/>
            <w:vAlign w:val="bottom"/>
            <w:tcBorders>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Borders>
              <w:bottom w:val="single" w:sz="8" w:color="0000FF"/>
            </w:tcBorders>
            <w:gridSpan w:val="6"/>
          </w:tcPr>
          <w:p>
            <w:pPr>
              <w:spacing w:after="0" w:line="183" w:lineRule="exact"/>
              <w:rPr>
                <w:rFonts w:ascii="Times New Roman" w:cs="Times New Roman" w:eastAsia="Times New Roman" w:hAnsi="Times New Roman"/>
                <w:sz w:val="17"/>
                <w:szCs w:val="17"/>
                <w:color w:val="0000FF"/>
                <w:w w:val="99"/>
              </w:rPr>
            </w:pPr>
            <w:hyperlink r:id="rId340">
              <w:r>
                <w:rPr>
                  <w:rFonts w:ascii="Times New Roman" w:cs="Times New Roman" w:eastAsia="Times New Roman" w:hAnsi="Times New Roman"/>
                  <w:sz w:val="17"/>
                  <w:szCs w:val="17"/>
                  <w:color w:val="0000FF"/>
                  <w:w w:val="99"/>
                </w:rPr>
                <w:t>Bylaws of Talkspace, Inc.</w:t>
              </w:r>
            </w:hyperlink>
          </w:p>
        </w:tc>
        <w:tc>
          <w:tcPr>
            <w:tcW w:w="4960" w:type="dxa"/>
            <w:vAlign w:val="bottom"/>
            <w:gridSpan w:val="21"/>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8-K/A</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6/23/21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Borders>
              <w:bottom w:val="single" w:sz="8" w:color="0000FF"/>
            </w:tcBorders>
          </w:tcPr>
          <w:p>
            <w:pPr>
              <w:spacing w:after="0" w:line="183" w:lineRule="exact"/>
              <w:rPr>
                <w:rFonts w:ascii="Times New Roman" w:cs="Times New Roman" w:eastAsia="Times New Roman" w:hAnsi="Times New Roman"/>
                <w:sz w:val="17"/>
                <w:szCs w:val="17"/>
                <w:color w:val="0000FF"/>
                <w:w w:val="93"/>
              </w:rPr>
            </w:pPr>
            <w:hyperlink r:id="rId341">
              <w:r>
                <w:rPr>
                  <w:rFonts w:ascii="Times New Roman" w:cs="Times New Roman" w:eastAsia="Times New Roman" w:hAnsi="Times New Roman"/>
                  <w:sz w:val="17"/>
                  <w:szCs w:val="17"/>
                  <w:color w:val="0000FF"/>
                  <w:w w:val="93"/>
                </w:rPr>
                <w:t>4.</w:t>
              </w:r>
              <w:r>
                <w:rPr>
                  <w:rFonts w:ascii="Times New Roman" w:cs="Times New Roman" w:eastAsia="Times New Roman" w:hAnsi="Times New Roman"/>
                  <w:sz w:val="17"/>
                  <w:szCs w:val="17"/>
                  <w:u w:val="single" w:color="auto"/>
                  <w:color w:val="0000FF"/>
                  <w:w w:val="93"/>
                </w:rPr>
                <w:t>1</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tcBorders>
              <w:bottom w:val="single" w:sz="8" w:color="0000FF"/>
            </w:tcBorders>
            <w:gridSpan w:val="19"/>
          </w:tcPr>
          <w:p>
            <w:pPr>
              <w:spacing w:after="0" w:line="183" w:lineRule="exact"/>
              <w:rPr>
                <w:rFonts w:ascii="Times New Roman" w:cs="Times New Roman" w:eastAsia="Times New Roman" w:hAnsi="Times New Roman"/>
                <w:sz w:val="17"/>
                <w:szCs w:val="17"/>
                <w:color w:val="0000FF"/>
              </w:rPr>
            </w:pPr>
            <w:hyperlink r:id="rId341">
              <w:r>
                <w:rPr>
                  <w:rFonts w:ascii="Times New Roman" w:cs="Times New Roman" w:eastAsia="Times New Roman" w:hAnsi="Times New Roman"/>
                  <w:sz w:val="17"/>
                  <w:szCs w:val="17"/>
                  <w:color w:val="0000FF"/>
                </w:rPr>
                <w:t>Warrant Agreement, dated as of June 8, 2020, by and between Continental Stock Transfer &amp;</w:t>
              </w:r>
            </w:hyperlink>
          </w:p>
        </w:tc>
        <w:tc>
          <w:tcPr>
            <w:tcW w:w="380" w:type="dxa"/>
            <w:vAlign w:val="bottom"/>
            <w:gridSpan w:val="8"/>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6/11/20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0" w:type="dxa"/>
            <w:vAlign w:val="bottom"/>
            <w:vMerge w:val="restart"/>
          </w:tcPr>
          <w:p>
            <w:pPr>
              <w:spacing w:after="0"/>
              <w:rPr>
                <w:rFonts w:ascii="Times New Roman" w:cs="Times New Roman" w:eastAsia="Times New Roman" w:hAnsi="Times New Roman"/>
                <w:sz w:val="17"/>
                <w:szCs w:val="17"/>
                <w:color w:val="0000FF"/>
                <w:w w:val="93"/>
              </w:rPr>
            </w:pPr>
            <w:hyperlink r:id="rId342">
              <w:r>
                <w:rPr>
                  <w:rFonts w:ascii="Times New Roman" w:cs="Times New Roman" w:eastAsia="Times New Roman" w:hAnsi="Times New Roman"/>
                  <w:sz w:val="17"/>
                  <w:szCs w:val="17"/>
                  <w:color w:val="0000FF"/>
                  <w:w w:val="93"/>
                </w:rPr>
                <w:t>4.</w:t>
              </w:r>
              <w:r>
                <w:rPr>
                  <w:rFonts w:ascii="Times New Roman" w:cs="Times New Roman" w:eastAsia="Times New Roman" w:hAnsi="Times New Roman"/>
                  <w:sz w:val="17"/>
                  <w:szCs w:val="17"/>
                  <w:u w:val="single" w:color="auto"/>
                  <w:color w:val="0000FF"/>
                  <w:w w:val="93"/>
                </w:rPr>
                <w:t>2</w:t>
              </w:r>
            </w:hyperlink>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920" w:type="dxa"/>
            <w:vAlign w:val="bottom"/>
            <w:tcBorders>
              <w:bottom w:val="single" w:sz="8" w:color="0000EE"/>
            </w:tcBorders>
            <w:gridSpan w:val="15"/>
          </w:tcPr>
          <w:p>
            <w:pPr>
              <w:spacing w:after="0" w:line="183" w:lineRule="exact"/>
              <w:rPr>
                <w:rFonts w:ascii="Times New Roman" w:cs="Times New Roman" w:eastAsia="Times New Roman" w:hAnsi="Times New Roman"/>
                <w:sz w:val="17"/>
                <w:szCs w:val="17"/>
                <w:color w:val="0000FF"/>
              </w:rPr>
            </w:pPr>
            <w:hyperlink r:id="rId341">
              <w:r>
                <w:rPr>
                  <w:rFonts w:ascii="Times New Roman" w:cs="Times New Roman" w:eastAsia="Times New Roman" w:hAnsi="Times New Roman"/>
                  <w:sz w:val="17"/>
                  <w:szCs w:val="17"/>
                  <w:color w:val="0000FF"/>
                </w:rPr>
                <w:t>Trust Company and Hudson Executive Investment Corp.</w:t>
              </w:r>
            </w:hyperlink>
          </w:p>
        </w:tc>
        <w:tc>
          <w:tcPr>
            <w:tcW w:w="2820" w:type="dxa"/>
            <w:vAlign w:val="bottom"/>
            <w:gridSpan w:val="12"/>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333-238583</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6/5/20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83" w:lineRule="exact"/>
              <w:rPr>
                <w:rFonts w:ascii="Times New Roman" w:cs="Times New Roman" w:eastAsia="Times New Roman" w:hAnsi="Times New Roman"/>
                <w:sz w:val="17"/>
                <w:szCs w:val="17"/>
                <w:color w:val="0000FF"/>
              </w:rPr>
            </w:pPr>
            <w:hyperlink r:id="rId342">
              <w:r>
                <w:rPr>
                  <w:rFonts w:ascii="Times New Roman" w:cs="Times New Roman" w:eastAsia="Times New Roman" w:hAnsi="Times New Roman"/>
                  <w:sz w:val="17"/>
                  <w:szCs w:val="17"/>
                  <w:color w:val="0000FF"/>
                </w:rPr>
                <w:t>Specimen Warrant Certificate of the Registrant.</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22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17"/>
                <w:szCs w:val="17"/>
                <w:color w:val="0000FF"/>
                <w:w w:val="93"/>
              </w:rPr>
            </w:pPr>
            <w:hyperlink r:id="rId343">
              <w:r>
                <w:rPr>
                  <w:rFonts w:ascii="Times New Roman" w:cs="Times New Roman" w:eastAsia="Times New Roman" w:hAnsi="Times New Roman"/>
                  <w:sz w:val="17"/>
                  <w:szCs w:val="17"/>
                  <w:color w:val="0000FF"/>
                  <w:w w:val="93"/>
                </w:rPr>
                <w:t>4.</w:t>
              </w:r>
              <w:r>
                <w:rPr>
                  <w:rFonts w:ascii="Times New Roman" w:cs="Times New Roman" w:eastAsia="Times New Roman" w:hAnsi="Times New Roman"/>
                  <w:sz w:val="17"/>
                  <w:szCs w:val="17"/>
                  <w:u w:val="single" w:color="auto"/>
                  <w:color w:val="0000FF"/>
                  <w:w w:val="93"/>
                </w:rPr>
                <w:t>3</w:t>
              </w:r>
            </w:hyperlink>
          </w:p>
        </w:tc>
        <w:tc>
          <w:tcPr>
            <w:tcW w:w="20" w:type="dxa"/>
            <w:vAlign w:val="bottom"/>
            <w:tcBorders>
              <w:top w:val="single" w:sz="8" w:color="0000EE"/>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11"/>
          </w:tcPr>
          <w:p>
            <w:pPr>
              <w:spacing w:after="0" w:line="183" w:lineRule="exact"/>
              <w:rPr>
                <w:rFonts w:ascii="Times New Roman" w:cs="Times New Roman" w:eastAsia="Times New Roman" w:hAnsi="Times New Roman"/>
                <w:sz w:val="17"/>
                <w:szCs w:val="17"/>
                <w:color w:val="0000FF"/>
              </w:rPr>
            </w:pPr>
            <w:hyperlink r:id="rId343">
              <w:r>
                <w:rPr>
                  <w:rFonts w:ascii="Times New Roman" w:cs="Times New Roman" w:eastAsia="Times New Roman" w:hAnsi="Times New Roman"/>
                  <w:sz w:val="17"/>
                  <w:szCs w:val="17"/>
                  <w:color w:val="0000FF"/>
                </w:rPr>
                <w:t>Specimen Common Stock Certificate.</w:t>
              </w:r>
            </w:hyperlink>
          </w:p>
        </w:tc>
        <w:tc>
          <w:tcPr>
            <w:tcW w:w="660" w:type="dxa"/>
            <w:vAlign w:val="bottom"/>
            <w:tcBorders>
              <w:top w:val="single" w:sz="8" w:color="0000FF"/>
            </w:tcBorders>
            <w:gridSpan w:val="2"/>
          </w:tcPr>
          <w:p>
            <w:pPr>
              <w:spacing w:after="0"/>
              <w:rPr>
                <w:sz w:val="15"/>
                <w:szCs w:val="15"/>
                <w:color w:val="auto"/>
              </w:rPr>
            </w:pPr>
          </w:p>
        </w:tc>
        <w:tc>
          <w:tcPr>
            <w:tcW w:w="3480" w:type="dxa"/>
            <w:vAlign w:val="bottom"/>
            <w:gridSpan w:val="14"/>
          </w:tcPr>
          <w:p>
            <w:pPr>
              <w:spacing w:after="0"/>
              <w:rPr>
                <w:sz w:val="15"/>
                <w:szCs w:val="15"/>
                <w:color w:val="auto"/>
              </w:rPr>
            </w:pPr>
          </w:p>
        </w:tc>
        <w:tc>
          <w:tcPr>
            <w:tcW w:w="1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S-4/A   333-252638</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5/20/21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220" w:type="dxa"/>
            <w:vAlign w:val="bottom"/>
            <w:tcBorders>
              <w:bottom w:val="single" w:sz="8" w:color="0000FF"/>
            </w:tcBorders>
          </w:tcPr>
          <w:p>
            <w:pPr>
              <w:spacing w:after="0" w:line="183" w:lineRule="exact"/>
              <w:rPr>
                <w:rFonts w:ascii="Times New Roman" w:cs="Times New Roman" w:eastAsia="Times New Roman" w:hAnsi="Times New Roman"/>
                <w:sz w:val="17"/>
                <w:szCs w:val="17"/>
                <w:color w:val="0000FF"/>
                <w:w w:val="93"/>
              </w:rPr>
            </w:pPr>
            <w:hyperlink r:id="rId344">
              <w:r>
                <w:rPr>
                  <w:rFonts w:ascii="Times New Roman" w:cs="Times New Roman" w:eastAsia="Times New Roman" w:hAnsi="Times New Roman"/>
                  <w:sz w:val="17"/>
                  <w:szCs w:val="17"/>
                  <w:color w:val="0000FF"/>
                  <w:w w:val="93"/>
                </w:rPr>
                <w:t>4.</w:t>
              </w:r>
              <w:r>
                <w:rPr>
                  <w:rFonts w:ascii="Times New Roman" w:cs="Times New Roman" w:eastAsia="Times New Roman" w:hAnsi="Times New Roman"/>
                  <w:sz w:val="17"/>
                  <w:szCs w:val="17"/>
                  <w:u w:val="single" w:color="auto"/>
                  <w:color w:val="0000FF"/>
                  <w:w w:val="93"/>
                </w:rPr>
                <w:t>4</w:t>
              </w:r>
            </w:hyperlink>
          </w:p>
        </w:tc>
        <w:tc>
          <w:tcPr>
            <w:tcW w:w="20" w:type="dxa"/>
            <w:vAlign w:val="bottom"/>
            <w:tcBorders>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bottom w:val="single" w:sz="8" w:color="0000FF"/>
            </w:tcBorders>
            <w:gridSpan w:val="12"/>
          </w:tcPr>
          <w:p>
            <w:pPr>
              <w:spacing w:after="0" w:line="183" w:lineRule="exact"/>
              <w:rPr>
                <w:rFonts w:ascii="Times New Roman" w:cs="Times New Roman" w:eastAsia="Times New Roman" w:hAnsi="Times New Roman"/>
                <w:sz w:val="17"/>
                <w:szCs w:val="17"/>
                <w:color w:val="0000FF"/>
              </w:rPr>
            </w:pPr>
            <w:hyperlink r:id="rId344">
              <w:r>
                <w:rPr>
                  <w:rFonts w:ascii="Times New Roman" w:cs="Times New Roman" w:eastAsia="Times New Roman" w:hAnsi="Times New Roman"/>
                  <w:sz w:val="17"/>
                  <w:szCs w:val="17"/>
                  <w:color w:val="0000FF"/>
                </w:rPr>
                <w:t>Description of Common Stock and Warrants.</w:t>
              </w:r>
            </w:hyperlink>
          </w:p>
        </w:tc>
        <w:tc>
          <w:tcPr>
            <w:tcW w:w="3640" w:type="dxa"/>
            <w:vAlign w:val="bottom"/>
            <w:gridSpan w:val="15"/>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line="183" w:lineRule="exact"/>
              <w:rPr>
                <w:rFonts w:ascii="Times New Roman" w:cs="Times New Roman" w:eastAsia="Times New Roman" w:hAnsi="Times New Roman"/>
                <w:sz w:val="17"/>
                <w:szCs w:val="17"/>
                <w:color w:val="0000FF"/>
              </w:rPr>
            </w:pPr>
            <w:hyperlink r:id="rId34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83" w:lineRule="exact"/>
              <w:rPr>
                <w:rFonts w:ascii="Times New Roman" w:cs="Times New Roman" w:eastAsia="Times New Roman" w:hAnsi="Times New Roman"/>
                <w:sz w:val="17"/>
                <w:szCs w:val="17"/>
                <w:color w:val="0000FF"/>
              </w:rPr>
            </w:pPr>
            <w:hyperlink r:id="rId345">
              <w:r>
                <w:rPr>
                  <w:rFonts w:ascii="Times New Roman" w:cs="Times New Roman" w:eastAsia="Times New Roman" w:hAnsi="Times New Roman"/>
                  <w:sz w:val="17"/>
                  <w:szCs w:val="17"/>
                  <w:color w:val="0000FF"/>
                </w:rPr>
                <w:t>2021 Incentive Award Plan.</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333-259165</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99.1</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8/30/21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333-259165</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99.2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8/30/21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line="183" w:lineRule="exact"/>
              <w:rPr>
                <w:rFonts w:ascii="Times New Roman" w:cs="Times New Roman" w:eastAsia="Times New Roman" w:hAnsi="Times New Roman"/>
                <w:sz w:val="17"/>
                <w:szCs w:val="17"/>
                <w:color w:val="0000FF"/>
              </w:rPr>
            </w:pPr>
            <w:hyperlink r:id="rId34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83" w:lineRule="exact"/>
              <w:rPr>
                <w:rFonts w:ascii="Times New Roman" w:cs="Times New Roman" w:eastAsia="Times New Roman" w:hAnsi="Times New Roman"/>
                <w:sz w:val="17"/>
                <w:szCs w:val="17"/>
                <w:color w:val="0000FF"/>
              </w:rPr>
            </w:pPr>
            <w:hyperlink r:id="rId346">
              <w:r>
                <w:rPr>
                  <w:rFonts w:ascii="Times New Roman" w:cs="Times New Roman" w:eastAsia="Times New Roman" w:hAnsi="Times New Roman"/>
                  <w:sz w:val="17"/>
                  <w:szCs w:val="17"/>
                  <w:color w:val="0000FF"/>
                </w:rPr>
                <w:t>2021 Employee Stock Purchase Plan.</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333-259165</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99.3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8/30/21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line="183" w:lineRule="exact"/>
              <w:rPr>
                <w:rFonts w:ascii="Times New Roman" w:cs="Times New Roman" w:eastAsia="Times New Roman" w:hAnsi="Times New Roman"/>
                <w:sz w:val="17"/>
                <w:szCs w:val="17"/>
                <w:color w:val="0000FF"/>
              </w:rPr>
            </w:pPr>
            <w:hyperlink r:id="rId34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83" w:lineRule="exact"/>
              <w:rPr>
                <w:rFonts w:ascii="Times New Roman" w:cs="Times New Roman" w:eastAsia="Times New Roman" w:hAnsi="Times New Roman"/>
                <w:sz w:val="17"/>
                <w:szCs w:val="17"/>
                <w:color w:val="0000FF"/>
              </w:rPr>
            </w:pPr>
            <w:hyperlink r:id="rId347">
              <w:r>
                <w:rPr>
                  <w:rFonts w:ascii="Times New Roman" w:cs="Times New Roman" w:eastAsia="Times New Roman" w:hAnsi="Times New Roman"/>
                  <w:sz w:val="17"/>
                  <w:szCs w:val="17"/>
                  <w:color w:val="0000FF"/>
                </w:rPr>
                <w:t>2014 Stock Incentive Plan.</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6/23/21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line="183" w:lineRule="exact"/>
              <w:rPr>
                <w:rFonts w:ascii="Times New Roman" w:cs="Times New Roman" w:eastAsia="Times New Roman" w:hAnsi="Times New Roman"/>
                <w:sz w:val="17"/>
                <w:szCs w:val="17"/>
                <w:color w:val="0000FF"/>
              </w:rPr>
            </w:pPr>
            <w:hyperlink r:id="rId34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83" w:lineRule="exact"/>
              <w:rPr>
                <w:rFonts w:ascii="Times New Roman" w:cs="Times New Roman" w:eastAsia="Times New Roman" w:hAnsi="Times New Roman"/>
                <w:sz w:val="17"/>
                <w:szCs w:val="17"/>
                <w:color w:val="0000FF"/>
              </w:rPr>
            </w:pPr>
            <w:hyperlink r:id="rId348">
              <w:r>
                <w:rPr>
                  <w:rFonts w:ascii="Times New Roman" w:cs="Times New Roman" w:eastAsia="Times New Roman" w:hAnsi="Times New Roman"/>
                  <w:sz w:val="17"/>
                  <w:szCs w:val="17"/>
                  <w:color w:val="0000FF"/>
                </w:rPr>
                <w:t>Form of Indemnification Agreement.</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6/23/21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Borders>
              <w:bottom w:val="single" w:sz="8" w:color="0000FF"/>
            </w:tcBorders>
            <w:gridSpan w:val="3"/>
          </w:tcPr>
          <w:p>
            <w:pPr>
              <w:spacing w:after="0" w:line="183" w:lineRule="exact"/>
              <w:rPr>
                <w:rFonts w:ascii="Times New Roman" w:cs="Times New Roman" w:eastAsia="Times New Roman" w:hAnsi="Times New Roman"/>
                <w:sz w:val="17"/>
                <w:szCs w:val="17"/>
                <w:color w:val="0000FF"/>
                <w:w w:val="93"/>
              </w:rPr>
            </w:pPr>
            <w:hyperlink r:id="rId349">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5</w:t>
              </w:r>
            </w:hyperlink>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80" w:type="dxa"/>
            <w:vAlign w:val="bottom"/>
            <w:tcBorders>
              <w:bottom w:val="single" w:sz="8" w:color="0000FF"/>
            </w:tcBorders>
            <w:gridSpan w:val="21"/>
          </w:tcPr>
          <w:p>
            <w:pPr>
              <w:spacing w:after="0" w:line="183" w:lineRule="exact"/>
              <w:rPr>
                <w:rFonts w:ascii="Times New Roman" w:cs="Times New Roman" w:eastAsia="Times New Roman" w:hAnsi="Times New Roman"/>
                <w:sz w:val="17"/>
                <w:szCs w:val="17"/>
                <w:color w:val="0000FF"/>
              </w:rPr>
            </w:pPr>
            <w:hyperlink r:id="rId349">
              <w:r>
                <w:rPr>
                  <w:rFonts w:ascii="Times New Roman" w:cs="Times New Roman" w:eastAsia="Times New Roman" w:hAnsi="Times New Roman"/>
                  <w:sz w:val="17"/>
                  <w:szCs w:val="17"/>
                  <w:color w:val="0000FF"/>
                </w:rPr>
                <w:t>Amended and Restated Registration Rights Agreement, by and among Talkspace, Inc. and the</w:t>
              </w:r>
            </w:hyperlink>
          </w:p>
        </w:tc>
        <w:tc>
          <w:tcPr>
            <w:tcW w:w="260" w:type="dxa"/>
            <w:vAlign w:val="bottom"/>
            <w:gridSpan w:val="6"/>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6</w:t>
            </w:r>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60" w:type="dxa"/>
            <w:vAlign w:val="bottom"/>
            <w:tcBorders>
              <w:bottom w:val="single" w:sz="8" w:color="0000FF"/>
            </w:tcBorders>
            <w:gridSpan w:val="5"/>
          </w:tcPr>
          <w:p>
            <w:pPr>
              <w:spacing w:after="0" w:line="183" w:lineRule="exact"/>
              <w:rPr>
                <w:rFonts w:ascii="Times New Roman" w:cs="Times New Roman" w:eastAsia="Times New Roman" w:hAnsi="Times New Roman"/>
                <w:sz w:val="17"/>
                <w:szCs w:val="17"/>
                <w:color w:val="0000FF"/>
                <w:w w:val="99"/>
              </w:rPr>
            </w:pPr>
            <w:hyperlink r:id="rId349">
              <w:r>
                <w:rPr>
                  <w:rFonts w:ascii="Times New Roman" w:cs="Times New Roman" w:eastAsia="Times New Roman" w:hAnsi="Times New Roman"/>
                  <w:sz w:val="17"/>
                  <w:szCs w:val="17"/>
                  <w:color w:val="0000FF"/>
                  <w:w w:val="99"/>
                </w:rPr>
                <w:t>holders party thereto.</w:t>
              </w:r>
            </w:hyperlink>
          </w:p>
        </w:tc>
        <w:tc>
          <w:tcPr>
            <w:tcW w:w="5280" w:type="dxa"/>
            <w:vAlign w:val="bottom"/>
            <w:gridSpan w:val="22"/>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69" w:lineRule="exact"/>
              <w:rPr>
                <w:sz w:val="20"/>
                <w:szCs w:val="20"/>
                <w:color w:val="auto"/>
              </w:rPr>
            </w:pPr>
            <w:r>
              <w:rPr>
                <w:rFonts w:ascii="Times New Roman" w:cs="Times New Roman" w:eastAsia="Times New Roman" w:hAnsi="Times New Roman"/>
                <w:sz w:val="18"/>
                <w:szCs w:val="18"/>
                <w:color w:val="0000FF"/>
              </w:rPr>
              <w:t>Non-Employee Director Compensation Program.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10.7(a)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6/23/21</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120" w:type="dxa"/>
            <w:vAlign w:val="bottom"/>
            <w:tcBorders>
              <w:bottom w:val="single" w:sz="8" w:color="0000FF"/>
            </w:tcBorders>
            <w:gridSpan w:val="3"/>
          </w:tcPr>
          <w:p>
            <w:pPr>
              <w:spacing w:after="0" w:line="20" w:lineRule="exact"/>
              <w:rPr>
                <w:sz w:val="1"/>
                <w:szCs w:val="1"/>
                <w:color w:val="auto"/>
              </w:rPr>
            </w:pPr>
          </w:p>
        </w:tc>
        <w:tc>
          <w:tcPr>
            <w:tcW w:w="1720" w:type="dxa"/>
            <w:vAlign w:val="bottom"/>
            <w:tcBorders>
              <w:bottom w:val="single" w:sz="8" w:color="0000FF"/>
            </w:tcBorders>
            <w:gridSpan w:val="7"/>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gridSpan w:val="5"/>
          </w:tcPr>
          <w:p>
            <w:pPr>
              <w:spacing w:after="0" w:line="176" w:lineRule="exact"/>
              <w:rPr>
                <w:rFonts w:ascii="Times New Roman" w:cs="Times New Roman" w:eastAsia="Times New Roman" w:hAnsi="Times New Roman"/>
                <w:sz w:val="17"/>
                <w:szCs w:val="17"/>
                <w:color w:val="0000FF"/>
              </w:rPr>
            </w:pPr>
            <w:hyperlink r:id="rId35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76" w:lineRule="exact"/>
              <w:rPr>
                <w:rFonts w:ascii="Times New Roman" w:cs="Times New Roman" w:eastAsia="Times New Roman" w:hAnsi="Times New Roman"/>
                <w:sz w:val="17"/>
                <w:szCs w:val="17"/>
                <w:color w:val="0000FF"/>
              </w:rPr>
            </w:pPr>
            <w:hyperlink r:id="rId350">
              <w:r>
                <w:rPr>
                  <w:rFonts w:ascii="Times New Roman" w:cs="Times New Roman" w:eastAsia="Times New Roman" w:hAnsi="Times New Roman"/>
                  <w:sz w:val="17"/>
                  <w:szCs w:val="17"/>
                  <w:color w:val="0000FF"/>
                </w:rPr>
                <w:t>Form of Stock Option Agreement under the Talkspace, Inc. 2021 Incentive Award Plan.</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100" w:type="dxa"/>
            <w:vAlign w:val="bottom"/>
            <w:tcBorders>
              <w:left w:val="single" w:sz="8" w:color="0000FF"/>
            </w:tcBorders>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10.7(b)</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6/23/21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line="183" w:lineRule="exact"/>
              <w:rPr>
                <w:rFonts w:ascii="Times New Roman" w:cs="Times New Roman" w:eastAsia="Times New Roman" w:hAnsi="Times New Roman"/>
                <w:sz w:val="17"/>
                <w:szCs w:val="17"/>
                <w:color w:val="0000FF"/>
              </w:rPr>
            </w:pPr>
            <w:hyperlink r:id="rId35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8</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83" w:lineRule="exact"/>
              <w:rPr>
                <w:rFonts w:ascii="Times New Roman" w:cs="Times New Roman" w:eastAsia="Times New Roman" w:hAnsi="Times New Roman"/>
                <w:sz w:val="17"/>
                <w:szCs w:val="17"/>
                <w:color w:val="0000FF"/>
              </w:rPr>
            </w:pPr>
            <w:hyperlink r:id="rId351">
              <w:r>
                <w:rPr>
                  <w:rFonts w:ascii="Times New Roman" w:cs="Times New Roman" w:eastAsia="Times New Roman" w:hAnsi="Times New Roman"/>
                  <w:sz w:val="17"/>
                  <w:szCs w:val="17"/>
                  <w:color w:val="0000FF"/>
                </w:rPr>
                <w:t>Form of Restricted Stock Unit Agreement under the Talkspace, Inc. 2021 Incentive Award Plan.</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100" w:type="dxa"/>
            <w:vAlign w:val="bottom"/>
            <w:tcBorders>
              <w:left w:val="single" w:sz="8" w:color="0000FF"/>
            </w:tcBorders>
            <w:gridSpan w:val="10"/>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6/23/21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line="183" w:lineRule="exact"/>
              <w:rPr>
                <w:rFonts w:ascii="Times New Roman" w:cs="Times New Roman" w:eastAsia="Times New Roman" w:hAnsi="Times New Roman"/>
                <w:sz w:val="17"/>
                <w:szCs w:val="17"/>
                <w:color w:val="0000FF"/>
              </w:rPr>
            </w:pPr>
            <w:hyperlink r:id="rId35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9</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83" w:lineRule="exact"/>
              <w:rPr>
                <w:rFonts w:ascii="Times New Roman" w:cs="Times New Roman" w:eastAsia="Times New Roman" w:hAnsi="Times New Roman"/>
                <w:sz w:val="17"/>
                <w:szCs w:val="17"/>
                <w:color w:val="0000FF"/>
              </w:rPr>
            </w:pPr>
            <w:hyperlink r:id="rId352">
              <w:r>
                <w:rPr>
                  <w:rFonts w:ascii="Times New Roman" w:cs="Times New Roman" w:eastAsia="Times New Roman" w:hAnsi="Times New Roman"/>
                  <w:sz w:val="17"/>
                  <w:szCs w:val="17"/>
                  <w:color w:val="0000FF"/>
                </w:rPr>
                <w:t>Executive Severance Plan.</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10-Q</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8/9/21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gridSpan w:val="5"/>
          </w:tcPr>
          <w:p>
            <w:pPr>
              <w:spacing w:after="0" w:line="183" w:lineRule="exact"/>
              <w:rPr>
                <w:rFonts w:ascii="Times New Roman" w:cs="Times New Roman" w:eastAsia="Times New Roman" w:hAnsi="Times New Roman"/>
                <w:sz w:val="17"/>
                <w:szCs w:val="17"/>
                <w:color w:val="0000FF"/>
              </w:rPr>
            </w:pPr>
            <w:hyperlink r:id="rId35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11</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83" w:lineRule="exact"/>
              <w:rPr>
                <w:rFonts w:ascii="Times New Roman" w:cs="Times New Roman" w:eastAsia="Times New Roman" w:hAnsi="Times New Roman"/>
                <w:sz w:val="17"/>
                <w:szCs w:val="17"/>
                <w:color w:val="0000FF"/>
              </w:rPr>
            </w:pPr>
            <w:hyperlink r:id="rId353">
              <w:r>
                <w:rPr>
                  <w:rFonts w:ascii="Times New Roman" w:cs="Times New Roman" w:eastAsia="Times New Roman" w:hAnsi="Times New Roman"/>
                  <w:sz w:val="17"/>
                  <w:szCs w:val="17"/>
                  <w:color w:val="0000FF"/>
                </w:rPr>
                <w:t>Employment Agreement, dated July 2, 2021, between the Company and Jennifer Fulk.</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20" w:type="dxa"/>
            <w:vAlign w:val="bottom"/>
            <w:gridSpan w:val="1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12/10/21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line="183" w:lineRule="exact"/>
              <w:rPr>
                <w:rFonts w:ascii="Times New Roman" w:cs="Times New Roman" w:eastAsia="Times New Roman" w:hAnsi="Times New Roman"/>
                <w:sz w:val="17"/>
                <w:szCs w:val="17"/>
                <w:color w:val="0000FF"/>
              </w:rPr>
            </w:pPr>
            <w:hyperlink r:id="rId35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12</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83" w:lineRule="exact"/>
              <w:rPr>
                <w:rFonts w:ascii="Times New Roman" w:cs="Times New Roman" w:eastAsia="Times New Roman" w:hAnsi="Times New Roman"/>
                <w:sz w:val="17"/>
                <w:szCs w:val="17"/>
                <w:color w:val="0000FF"/>
              </w:rPr>
            </w:pPr>
            <w:hyperlink r:id="rId354">
              <w:r>
                <w:rPr>
                  <w:rFonts w:ascii="Times New Roman" w:cs="Times New Roman" w:eastAsia="Times New Roman" w:hAnsi="Times New Roman"/>
                  <w:sz w:val="17"/>
                  <w:szCs w:val="17"/>
                  <w:color w:val="0000FF"/>
                </w:rPr>
                <w:t>Retention Agreement, dated December 6, 2021 by and between the Company and Jennifer Fulk.</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700" w:type="dxa"/>
            <w:vAlign w:val="bottom"/>
            <w:gridSpan w:val="16"/>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line="169" w:lineRule="exact"/>
              <w:rPr>
                <w:sz w:val="20"/>
                <w:szCs w:val="20"/>
                <w:color w:val="auto"/>
              </w:rPr>
            </w:pPr>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13</w:t>
            </w:r>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69" w:lineRule="exact"/>
              <w:rPr>
                <w:sz w:val="20"/>
                <w:szCs w:val="20"/>
                <w:color w:val="auto"/>
              </w:rPr>
            </w:pPr>
            <w:r>
              <w:rPr>
                <w:rFonts w:ascii="Times New Roman" w:cs="Times New Roman" w:eastAsia="Times New Roman" w:hAnsi="Times New Roman"/>
                <w:sz w:val="18"/>
                <w:szCs w:val="18"/>
                <w:color w:val="0000FF"/>
              </w:rPr>
              <w:t>Separation Agreement, dated May 17, 2024 by and between the Company and Jennifer Fulk.</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2/25/22</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700" w:type="dxa"/>
            <w:vAlign w:val="bottom"/>
            <w:tcBorders>
              <w:bottom w:val="single" w:sz="8" w:color="0000FF"/>
            </w:tcBorders>
            <w:gridSpan w:val="16"/>
          </w:tcPr>
          <w:p>
            <w:pPr>
              <w:spacing w:after="0" w:line="20" w:lineRule="exact"/>
              <w:rPr>
                <w:sz w:val="1"/>
                <w:szCs w:val="1"/>
                <w:color w:val="auto"/>
              </w:rPr>
            </w:pPr>
          </w:p>
        </w:tc>
        <w:tc>
          <w:tcPr>
            <w:tcW w:w="280" w:type="dxa"/>
            <w:vAlign w:val="bottom"/>
            <w:tcBorders>
              <w:bottom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gridSpan w:val="5"/>
          </w:tcPr>
          <w:p>
            <w:pPr>
              <w:spacing w:after="0" w:line="176" w:lineRule="exact"/>
              <w:rPr>
                <w:rFonts w:ascii="Times New Roman" w:cs="Times New Roman" w:eastAsia="Times New Roman" w:hAnsi="Times New Roman"/>
                <w:sz w:val="17"/>
                <w:szCs w:val="17"/>
                <w:color w:val="0000FF"/>
              </w:rPr>
            </w:pPr>
            <w:hyperlink r:id="rId35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16</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76" w:lineRule="exact"/>
              <w:rPr>
                <w:rFonts w:ascii="Times New Roman" w:cs="Times New Roman" w:eastAsia="Times New Roman" w:hAnsi="Times New Roman"/>
                <w:sz w:val="17"/>
                <w:szCs w:val="17"/>
                <w:color w:val="0000FF"/>
              </w:rPr>
            </w:pPr>
            <w:hyperlink r:id="rId355">
              <w:r>
                <w:rPr>
                  <w:rFonts w:ascii="Times New Roman" w:cs="Times New Roman" w:eastAsia="Times New Roman" w:hAnsi="Times New Roman"/>
                  <w:sz w:val="17"/>
                  <w:szCs w:val="17"/>
                  <w:color w:val="0000FF"/>
                </w:rPr>
                <w:t>Employment Offer Letter, dated as of June 22, 2021, by and between Talkspace, Inc. and Gil</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700" w:type="dxa"/>
            <w:vAlign w:val="bottom"/>
            <w:gridSpan w:val="16"/>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vMerge w:val="restart"/>
          </w:tcPr>
          <w:p>
            <w:pPr>
              <w:spacing w:after="0"/>
              <w:rPr>
                <w:rFonts w:ascii="Times New Roman" w:cs="Times New Roman" w:eastAsia="Times New Roman" w:hAnsi="Times New Roman"/>
                <w:sz w:val="17"/>
                <w:szCs w:val="17"/>
                <w:color w:val="0000FF"/>
              </w:rPr>
            </w:pPr>
            <w:hyperlink r:id="rId35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18</w:t>
              </w:r>
            </w:hyperlink>
            <w:r>
              <w:rPr>
                <w:rFonts w:ascii="Times New Roman" w:cs="Times New Roman" w:eastAsia="Times New Roman" w:hAnsi="Times New Roman"/>
                <w:sz w:val="17"/>
                <w:szCs w:val="17"/>
                <w:color w:val="000000"/>
              </w:rPr>
              <w:t>†</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80" w:type="dxa"/>
            <w:vAlign w:val="bottom"/>
            <w:tcBorders>
              <w:bottom w:val="single" w:sz="8" w:color="0000FF"/>
            </w:tcBorders>
            <w:gridSpan w:val="3"/>
          </w:tcPr>
          <w:p>
            <w:pPr>
              <w:spacing w:after="0" w:line="183" w:lineRule="exact"/>
              <w:rPr>
                <w:rFonts w:ascii="Times New Roman" w:cs="Times New Roman" w:eastAsia="Times New Roman" w:hAnsi="Times New Roman"/>
                <w:sz w:val="17"/>
                <w:szCs w:val="17"/>
                <w:color w:val="0000FF"/>
                <w:w w:val="97"/>
              </w:rPr>
            </w:pPr>
            <w:hyperlink r:id="rId355">
              <w:r>
                <w:rPr>
                  <w:rFonts w:ascii="Times New Roman" w:cs="Times New Roman" w:eastAsia="Times New Roman" w:hAnsi="Times New Roman"/>
                  <w:sz w:val="17"/>
                  <w:szCs w:val="17"/>
                  <w:color w:val="0000FF"/>
                  <w:w w:val="97"/>
                </w:rPr>
                <w:t>Margolin.</w:t>
              </w:r>
            </w:hyperlink>
          </w:p>
        </w:tc>
        <w:tc>
          <w:tcPr>
            <w:tcW w:w="20" w:type="dxa"/>
            <w:vAlign w:val="bottom"/>
            <w:tcBorders>
              <w:bottom w:val="single" w:sz="8" w:color="0000EE"/>
            </w:tcBorders>
          </w:tcPr>
          <w:p>
            <w:pPr>
              <w:spacing w:after="0"/>
              <w:rPr>
                <w:sz w:val="15"/>
                <w:szCs w:val="15"/>
                <w:color w:val="auto"/>
              </w:rPr>
            </w:pPr>
          </w:p>
        </w:tc>
        <w:tc>
          <w:tcPr>
            <w:tcW w:w="6040" w:type="dxa"/>
            <w:vAlign w:val="bottom"/>
            <w:gridSpan w:val="23"/>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2/25/22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27"/>
          </w:tcPr>
          <w:p>
            <w:pPr>
              <w:spacing w:after="0" w:line="183" w:lineRule="exact"/>
              <w:rPr>
                <w:rFonts w:ascii="Times New Roman" w:cs="Times New Roman" w:eastAsia="Times New Roman" w:hAnsi="Times New Roman"/>
                <w:sz w:val="17"/>
                <w:szCs w:val="17"/>
                <w:color w:val="0000FF"/>
              </w:rPr>
            </w:pPr>
            <w:hyperlink r:id="rId356">
              <w:r>
                <w:rPr>
                  <w:rFonts w:ascii="Times New Roman" w:cs="Times New Roman" w:eastAsia="Times New Roman" w:hAnsi="Times New Roman"/>
                  <w:sz w:val="17"/>
                  <w:szCs w:val="17"/>
                  <w:color w:val="0000FF"/>
                </w:rPr>
                <w:t>Employment Offer Letter, dated as of June 22, 2021, by and between Talkspace, Inc. and John C.</w:t>
              </w:r>
            </w:hyperlink>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6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17"/>
                <w:szCs w:val="17"/>
                <w:color w:val="0000FF"/>
                <w:w w:val="95"/>
              </w:rPr>
            </w:pPr>
            <w:hyperlink r:id="rId356">
              <w:r>
                <w:rPr>
                  <w:rFonts w:ascii="Times New Roman" w:cs="Times New Roman" w:eastAsia="Times New Roman" w:hAnsi="Times New Roman"/>
                  <w:sz w:val="17"/>
                  <w:szCs w:val="17"/>
                  <w:color w:val="0000FF"/>
                  <w:w w:val="95"/>
                </w:rPr>
                <w:t>Reilly.</w:t>
              </w:r>
            </w:hyperlink>
          </w:p>
        </w:tc>
        <w:tc>
          <w:tcPr>
            <w:tcW w:w="20" w:type="dxa"/>
            <w:vAlign w:val="bottom"/>
            <w:tcBorders>
              <w:top w:val="single" w:sz="8" w:color="0000FF"/>
              <w:bottom w:val="single" w:sz="8" w:color="0000EE"/>
            </w:tcBorders>
          </w:tcPr>
          <w:p>
            <w:pPr>
              <w:spacing w:after="0"/>
              <w:rPr>
                <w:sz w:val="15"/>
                <w:szCs w:val="15"/>
                <w:color w:val="auto"/>
              </w:rPr>
            </w:pPr>
          </w:p>
        </w:tc>
        <w:tc>
          <w:tcPr>
            <w:tcW w:w="6220" w:type="dxa"/>
            <w:vAlign w:val="bottom"/>
            <w:tcBorders>
              <w:top w:val="single" w:sz="8" w:color="0000FF"/>
            </w:tcBorders>
            <w:gridSpan w:val="23"/>
          </w:tcPr>
          <w:p>
            <w:pPr>
              <w:spacing w:after="0"/>
              <w:rPr>
                <w:sz w:val="15"/>
                <w:szCs w:val="15"/>
                <w:color w:val="auto"/>
              </w:rPr>
            </w:pPr>
          </w:p>
        </w:tc>
        <w:tc>
          <w:tcPr>
            <w:tcW w:w="4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69" w:right="339" w:bottom="1440" w:gutter="0" w:footer="0" w:header="0"/>
        </w:sectPr>
      </w:pPr>
    </w:p>
    <w:tbl>
      <w:tblPr>
        <w:tblLayout w:type="fixed"/>
        <w:tblInd w:w="20" w:type="dxa"/>
        <w:tblCellMar>
          <w:top w:w="0" w:type="dxa"/>
          <w:left w:w="0" w:type="dxa"/>
          <w:bottom w:w="0" w:type="dxa"/>
          <w:right w:w="0" w:type="dxa"/>
        </w:tblCellMar>
      </w:tblPr>
      <w:tr>
        <w:trPr>
          <w:trHeight w:val="189"/>
        </w:trPr>
        <w:tc>
          <w:tcPr>
            <w:tcW w:w="920" w:type="dxa"/>
            <w:vAlign w:val="bottom"/>
            <w:gridSpan w:val="3"/>
          </w:tcPr>
          <w:p>
            <w:pPr>
              <w:spacing w:after="0" w:line="189" w:lineRule="exact"/>
              <w:rPr>
                <w:rFonts w:ascii="Times New Roman" w:cs="Times New Roman" w:eastAsia="Times New Roman" w:hAnsi="Times New Roman"/>
                <w:sz w:val="17"/>
                <w:szCs w:val="17"/>
                <w:color w:val="0000FF"/>
              </w:rPr>
            </w:pPr>
            <w:hyperlink r:id="rId35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19</w:t>
              </w:r>
            </w:hyperlink>
            <w:r>
              <w:rPr>
                <w:rFonts w:ascii="Times New Roman" w:cs="Times New Roman" w:eastAsia="Times New Roman" w:hAnsi="Times New Roman"/>
                <w:sz w:val="17"/>
                <w:szCs w:val="17"/>
                <w:color w:val="000000"/>
              </w:rPr>
              <w:t>†</w:t>
            </w:r>
          </w:p>
        </w:tc>
        <w:tc>
          <w:tcPr>
            <w:tcW w:w="6720" w:type="dxa"/>
            <w:vAlign w:val="bottom"/>
            <w:gridSpan w:val="8"/>
          </w:tcPr>
          <w:p>
            <w:pPr>
              <w:spacing w:after="0" w:line="189" w:lineRule="exact"/>
              <w:rPr>
                <w:rFonts w:ascii="Times New Roman" w:cs="Times New Roman" w:eastAsia="Times New Roman" w:hAnsi="Times New Roman"/>
                <w:sz w:val="17"/>
                <w:szCs w:val="17"/>
                <w:color w:val="0000FF"/>
              </w:rPr>
            </w:pPr>
            <w:hyperlink r:id="rId357">
              <w:r>
                <w:rPr>
                  <w:rFonts w:ascii="Times New Roman" w:cs="Times New Roman" w:eastAsia="Times New Roman" w:hAnsi="Times New Roman"/>
                  <w:sz w:val="17"/>
                  <w:szCs w:val="17"/>
                  <w:color w:val="0000FF"/>
                </w:rPr>
                <w:t>Retention Agreement, dated as of December 6, 2021, by and between Talkspace, Inc. and Gil</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gridSpan w:val="3"/>
            <w:vMerge w:val="restart"/>
          </w:tcPr>
          <w:p>
            <w:pPr>
              <w:spacing w:after="0"/>
              <w:rPr>
                <w:rFonts w:ascii="Times New Roman" w:cs="Times New Roman" w:eastAsia="Times New Roman" w:hAnsi="Times New Roman"/>
                <w:sz w:val="17"/>
                <w:szCs w:val="17"/>
                <w:color w:val="0000FF"/>
              </w:rPr>
            </w:pPr>
            <w:hyperlink r:id="rId35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21</w:t>
              </w:r>
            </w:hyperlink>
            <w:r>
              <w:rPr>
                <w:rFonts w:ascii="Times New Roman" w:cs="Times New Roman" w:eastAsia="Times New Roman" w:hAnsi="Times New Roman"/>
                <w:sz w:val="17"/>
                <w:szCs w:val="17"/>
                <w:color w:val="000000"/>
              </w:rPr>
              <w:t>†</w:t>
            </w:r>
          </w:p>
        </w:tc>
        <w:tc>
          <w:tcPr>
            <w:tcW w:w="6720" w:type="dxa"/>
            <w:vAlign w:val="bottom"/>
            <w:gridSpan w:val="8"/>
          </w:tcPr>
          <w:p>
            <w:pPr>
              <w:spacing w:after="0" w:line="183" w:lineRule="exact"/>
              <w:rPr>
                <w:rFonts w:ascii="Times New Roman" w:cs="Times New Roman" w:eastAsia="Times New Roman" w:hAnsi="Times New Roman"/>
                <w:sz w:val="17"/>
                <w:szCs w:val="17"/>
                <w:color w:val="0000FF"/>
              </w:rPr>
            </w:pPr>
            <w:hyperlink r:id="rId357">
              <w:r>
                <w:rPr>
                  <w:rFonts w:ascii="Times New Roman" w:cs="Times New Roman" w:eastAsia="Times New Roman" w:hAnsi="Times New Roman"/>
                  <w:sz w:val="17"/>
                  <w:szCs w:val="17"/>
                  <w:color w:val="0000FF"/>
                </w:rPr>
                <w:t>Margolin.</w:t>
              </w:r>
            </w:hyperlink>
          </w:p>
        </w:tc>
        <w:tc>
          <w:tcPr>
            <w:tcW w:w="0" w:type="dxa"/>
            <w:vAlign w:val="bottom"/>
          </w:tcPr>
          <w:p>
            <w:pPr>
              <w:spacing w:after="0"/>
              <w:rPr>
                <w:sz w:val="1"/>
                <w:szCs w:val="1"/>
                <w:color w:val="auto"/>
              </w:rPr>
            </w:pPr>
          </w:p>
        </w:tc>
      </w:tr>
      <w:tr>
        <w:trPr>
          <w:trHeight w:val="20"/>
        </w:trPr>
        <w:tc>
          <w:tcPr>
            <w:tcW w:w="920" w:type="dxa"/>
            <w:vAlign w:val="bottom"/>
            <w:gridSpan w:val="3"/>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gridSpan w:val="3"/>
            <w:vMerge w:val="continue"/>
          </w:tcPr>
          <w:p>
            <w:pPr>
              <w:spacing w:after="0"/>
              <w:rPr>
                <w:sz w:val="15"/>
                <w:szCs w:val="15"/>
                <w:color w:val="auto"/>
              </w:rPr>
            </w:pPr>
          </w:p>
        </w:tc>
        <w:tc>
          <w:tcPr>
            <w:tcW w:w="6720" w:type="dxa"/>
            <w:vAlign w:val="bottom"/>
            <w:gridSpan w:val="8"/>
          </w:tcPr>
          <w:p>
            <w:pPr>
              <w:spacing w:after="0" w:line="183" w:lineRule="exact"/>
              <w:rPr>
                <w:rFonts w:ascii="Times New Roman" w:cs="Times New Roman" w:eastAsia="Times New Roman" w:hAnsi="Times New Roman"/>
                <w:sz w:val="17"/>
                <w:szCs w:val="17"/>
                <w:color w:val="0000FF"/>
              </w:rPr>
            </w:pPr>
            <w:hyperlink r:id="rId358">
              <w:r>
                <w:rPr>
                  <w:rFonts w:ascii="Times New Roman" w:cs="Times New Roman" w:eastAsia="Times New Roman" w:hAnsi="Times New Roman"/>
                  <w:sz w:val="17"/>
                  <w:szCs w:val="17"/>
                  <w:color w:val="0000FF"/>
                </w:rPr>
                <w:t>Retention Agreement, dated as of December 6, 2021, by and between Talkspace, Inc. and John 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20" w:type="dxa"/>
            <w:vAlign w:val="bottom"/>
            <w:gridSpan w:val="3"/>
            <w:vMerge w:val="restart"/>
          </w:tcPr>
          <w:p>
            <w:pPr>
              <w:spacing w:after="0"/>
              <w:rPr>
                <w:rFonts w:ascii="Times New Roman" w:cs="Times New Roman" w:eastAsia="Times New Roman" w:hAnsi="Times New Roman"/>
                <w:sz w:val="17"/>
                <w:szCs w:val="17"/>
                <w:color w:val="0000FF"/>
              </w:rPr>
            </w:pPr>
            <w:hyperlink r:id="rId35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22</w:t>
              </w:r>
            </w:hyperlink>
            <w:r>
              <w:rPr>
                <w:rFonts w:ascii="Times New Roman" w:cs="Times New Roman" w:eastAsia="Times New Roman" w:hAnsi="Times New Roman"/>
                <w:sz w:val="17"/>
                <w:szCs w:val="17"/>
                <w:color w:val="000000"/>
              </w:rPr>
              <w:t>†</w:t>
            </w:r>
          </w:p>
        </w:tc>
        <w:tc>
          <w:tcPr>
            <w:tcW w:w="6720" w:type="dxa"/>
            <w:vAlign w:val="bottom"/>
            <w:gridSpan w:val="8"/>
          </w:tcPr>
          <w:p>
            <w:pPr>
              <w:spacing w:after="0" w:line="183" w:lineRule="exact"/>
              <w:rPr>
                <w:rFonts w:ascii="Times New Roman" w:cs="Times New Roman" w:eastAsia="Times New Roman" w:hAnsi="Times New Roman"/>
                <w:sz w:val="17"/>
                <w:szCs w:val="17"/>
                <w:color w:val="0000FF"/>
              </w:rPr>
            </w:pPr>
            <w:hyperlink r:id="rId358">
              <w:r>
                <w:rPr>
                  <w:rFonts w:ascii="Times New Roman" w:cs="Times New Roman" w:eastAsia="Times New Roman" w:hAnsi="Times New Roman"/>
                  <w:sz w:val="17"/>
                  <w:szCs w:val="17"/>
                  <w:color w:val="0000FF"/>
                </w:rPr>
                <w:t>Reilly.</w:t>
              </w:r>
            </w:hyperlink>
          </w:p>
        </w:tc>
        <w:tc>
          <w:tcPr>
            <w:tcW w:w="0" w:type="dxa"/>
            <w:vAlign w:val="bottom"/>
          </w:tcPr>
          <w:p>
            <w:pPr>
              <w:spacing w:after="0"/>
              <w:rPr>
                <w:sz w:val="1"/>
                <w:szCs w:val="1"/>
                <w:color w:val="auto"/>
              </w:rPr>
            </w:pPr>
          </w:p>
        </w:tc>
      </w:tr>
      <w:tr>
        <w:trPr>
          <w:trHeight w:val="20"/>
        </w:trPr>
        <w:tc>
          <w:tcPr>
            <w:tcW w:w="920" w:type="dxa"/>
            <w:vAlign w:val="bottom"/>
            <w:gridSpan w:val="3"/>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gridSpan w:val="3"/>
            <w:vMerge w:val="continue"/>
          </w:tcPr>
          <w:p>
            <w:pPr>
              <w:spacing w:after="0"/>
              <w:rPr>
                <w:sz w:val="15"/>
                <w:szCs w:val="15"/>
                <w:color w:val="auto"/>
              </w:rPr>
            </w:pPr>
          </w:p>
        </w:tc>
        <w:tc>
          <w:tcPr>
            <w:tcW w:w="6720" w:type="dxa"/>
            <w:vAlign w:val="bottom"/>
            <w:gridSpan w:val="8"/>
          </w:tcPr>
          <w:p>
            <w:pPr>
              <w:spacing w:after="0" w:line="183" w:lineRule="exact"/>
              <w:rPr>
                <w:rFonts w:ascii="Times New Roman" w:cs="Times New Roman" w:eastAsia="Times New Roman" w:hAnsi="Times New Roman"/>
                <w:sz w:val="17"/>
                <w:szCs w:val="17"/>
                <w:color w:val="0000FF"/>
              </w:rPr>
            </w:pPr>
            <w:hyperlink r:id="rId359">
              <w:r>
                <w:rPr>
                  <w:rFonts w:ascii="Times New Roman" w:cs="Times New Roman" w:eastAsia="Times New Roman" w:hAnsi="Times New Roman"/>
                  <w:sz w:val="17"/>
                  <w:szCs w:val="17"/>
                  <w:color w:val="0000FF"/>
                </w:rPr>
                <w:t>Employment Offer Letter, dated as of November 9, 2022, by and between Talkspace, Inc. and Jon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gridSpan w:val="3"/>
            <w:vMerge w:val="restart"/>
          </w:tcPr>
          <w:p>
            <w:pPr>
              <w:spacing w:after="0"/>
              <w:rPr>
                <w:rFonts w:ascii="Times New Roman" w:cs="Times New Roman" w:eastAsia="Times New Roman" w:hAnsi="Times New Roman"/>
                <w:sz w:val="17"/>
                <w:szCs w:val="17"/>
                <w:color w:val="0000FF"/>
              </w:rPr>
            </w:pPr>
            <w:hyperlink r:id="rId36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23</w:t>
              </w:r>
            </w:hyperlink>
            <w:r>
              <w:rPr>
                <w:rFonts w:ascii="Times New Roman" w:cs="Times New Roman" w:eastAsia="Times New Roman" w:hAnsi="Times New Roman"/>
                <w:sz w:val="17"/>
                <w:szCs w:val="17"/>
                <w:color w:val="000000"/>
              </w:rPr>
              <w:t>†</w:t>
            </w:r>
          </w:p>
        </w:tc>
        <w:tc>
          <w:tcPr>
            <w:tcW w:w="6720" w:type="dxa"/>
            <w:vAlign w:val="bottom"/>
            <w:gridSpan w:val="8"/>
          </w:tcPr>
          <w:p>
            <w:pPr>
              <w:spacing w:after="0" w:line="183" w:lineRule="exact"/>
              <w:rPr>
                <w:rFonts w:ascii="Times New Roman" w:cs="Times New Roman" w:eastAsia="Times New Roman" w:hAnsi="Times New Roman"/>
                <w:sz w:val="17"/>
                <w:szCs w:val="17"/>
                <w:color w:val="0000FF"/>
              </w:rPr>
            </w:pPr>
            <w:hyperlink r:id="rId359">
              <w:r>
                <w:rPr>
                  <w:rFonts w:ascii="Times New Roman" w:cs="Times New Roman" w:eastAsia="Times New Roman" w:hAnsi="Times New Roman"/>
                  <w:sz w:val="17"/>
                  <w:szCs w:val="17"/>
                  <w:color w:val="0000FF"/>
                </w:rPr>
                <w:t>R. Cohen.</w:t>
              </w:r>
            </w:hyperlink>
          </w:p>
        </w:tc>
        <w:tc>
          <w:tcPr>
            <w:tcW w:w="0" w:type="dxa"/>
            <w:vAlign w:val="bottom"/>
          </w:tcPr>
          <w:p>
            <w:pPr>
              <w:spacing w:after="0"/>
              <w:rPr>
                <w:sz w:val="1"/>
                <w:szCs w:val="1"/>
                <w:color w:val="auto"/>
              </w:rPr>
            </w:pPr>
          </w:p>
        </w:tc>
      </w:tr>
      <w:tr>
        <w:trPr>
          <w:trHeight w:val="20"/>
        </w:trPr>
        <w:tc>
          <w:tcPr>
            <w:tcW w:w="920" w:type="dxa"/>
            <w:vAlign w:val="bottom"/>
            <w:gridSpan w:val="3"/>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gridSpan w:val="3"/>
            <w:vMerge w:val="continue"/>
          </w:tcPr>
          <w:p>
            <w:pPr>
              <w:spacing w:after="0"/>
              <w:rPr>
                <w:sz w:val="15"/>
                <w:szCs w:val="15"/>
                <w:color w:val="auto"/>
              </w:rPr>
            </w:pPr>
          </w:p>
        </w:tc>
        <w:tc>
          <w:tcPr>
            <w:tcW w:w="6720" w:type="dxa"/>
            <w:vAlign w:val="bottom"/>
            <w:gridSpan w:val="8"/>
          </w:tcPr>
          <w:p>
            <w:pPr>
              <w:spacing w:after="0" w:line="183" w:lineRule="exact"/>
              <w:rPr>
                <w:rFonts w:ascii="Times New Roman" w:cs="Times New Roman" w:eastAsia="Times New Roman" w:hAnsi="Times New Roman"/>
                <w:sz w:val="17"/>
                <w:szCs w:val="17"/>
                <w:color w:val="0000FF"/>
              </w:rPr>
            </w:pPr>
            <w:hyperlink r:id="rId360">
              <w:r>
                <w:rPr>
                  <w:rFonts w:ascii="Times New Roman" w:cs="Times New Roman" w:eastAsia="Times New Roman" w:hAnsi="Times New Roman"/>
                  <w:sz w:val="17"/>
                  <w:szCs w:val="17"/>
                  <w:color w:val="0000FF"/>
                </w:rPr>
                <w:t>Employment Offer Letter, dated as of August 11, 2023, by and between Talkspace, Inc.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gridSpan w:val="2"/>
            <w:vMerge w:val="restart"/>
          </w:tcPr>
          <w:p>
            <w:pPr>
              <w:spacing w:after="0"/>
              <w:rPr>
                <w:rFonts w:ascii="Times New Roman" w:cs="Times New Roman" w:eastAsia="Times New Roman" w:hAnsi="Times New Roman"/>
                <w:sz w:val="17"/>
                <w:szCs w:val="17"/>
                <w:color w:val="0000FF"/>
                <w:w w:val="93"/>
              </w:rPr>
            </w:pPr>
            <w:hyperlink r:id="rId361">
              <w:r>
                <w:rPr>
                  <w:rFonts w:ascii="Times New Roman" w:cs="Times New Roman" w:eastAsia="Times New Roman" w:hAnsi="Times New Roman"/>
                  <w:sz w:val="17"/>
                  <w:szCs w:val="17"/>
                  <w:color w:val="0000FF"/>
                  <w:w w:val="93"/>
                </w:rPr>
                <w:t>97.</w:t>
              </w:r>
              <w:r>
                <w:rPr>
                  <w:rFonts w:ascii="Times New Roman" w:cs="Times New Roman" w:eastAsia="Times New Roman" w:hAnsi="Times New Roman"/>
                  <w:sz w:val="17"/>
                  <w:szCs w:val="17"/>
                  <w:u w:val="single" w:color="auto"/>
                  <w:color w:val="0000FF"/>
                  <w:w w:val="93"/>
                </w:rPr>
                <w:t>1</w:t>
              </w:r>
            </w:hyperlink>
          </w:p>
        </w:tc>
        <w:tc>
          <w:tcPr>
            <w:tcW w:w="600" w:type="dxa"/>
            <w:vAlign w:val="bottom"/>
          </w:tcPr>
          <w:p>
            <w:pPr>
              <w:spacing w:after="0"/>
              <w:rPr>
                <w:sz w:val="15"/>
                <w:szCs w:val="15"/>
                <w:color w:val="auto"/>
              </w:rPr>
            </w:pPr>
          </w:p>
        </w:tc>
        <w:tc>
          <w:tcPr>
            <w:tcW w:w="6720" w:type="dxa"/>
            <w:vAlign w:val="bottom"/>
            <w:gridSpan w:val="8"/>
          </w:tcPr>
          <w:p>
            <w:pPr>
              <w:spacing w:after="0" w:line="183" w:lineRule="exact"/>
              <w:rPr>
                <w:rFonts w:ascii="Times New Roman" w:cs="Times New Roman" w:eastAsia="Times New Roman" w:hAnsi="Times New Roman"/>
                <w:sz w:val="17"/>
                <w:szCs w:val="17"/>
                <w:color w:val="0000FF"/>
              </w:rPr>
            </w:pPr>
            <w:hyperlink r:id="rId360">
              <w:r>
                <w:rPr>
                  <w:rFonts w:ascii="Times New Roman" w:cs="Times New Roman" w:eastAsia="Times New Roman" w:hAnsi="Times New Roman"/>
                  <w:sz w:val="17"/>
                  <w:szCs w:val="17"/>
                  <w:color w:val="0000FF"/>
                </w:rPr>
                <w:t>Nikole Benders-Hadi.</w:t>
              </w:r>
            </w:hyperlink>
          </w:p>
        </w:tc>
        <w:tc>
          <w:tcPr>
            <w:tcW w:w="0" w:type="dxa"/>
            <w:vAlign w:val="bottom"/>
          </w:tcPr>
          <w:p>
            <w:pPr>
              <w:spacing w:after="0"/>
              <w:rPr>
                <w:sz w:val="1"/>
                <w:szCs w:val="1"/>
                <w:color w:val="auto"/>
              </w:rPr>
            </w:pPr>
          </w:p>
        </w:tc>
      </w:tr>
      <w:tr>
        <w:trPr>
          <w:trHeight w:val="20"/>
        </w:trPr>
        <w:tc>
          <w:tcPr>
            <w:tcW w:w="32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6720" w:type="dxa"/>
            <w:vAlign w:val="bottom"/>
            <w:gridSpan w:val="8"/>
          </w:tcPr>
          <w:p>
            <w:pPr>
              <w:spacing w:after="0" w:line="183" w:lineRule="exact"/>
              <w:rPr>
                <w:rFonts w:ascii="Times New Roman" w:cs="Times New Roman" w:eastAsia="Times New Roman" w:hAnsi="Times New Roman"/>
                <w:sz w:val="17"/>
                <w:szCs w:val="17"/>
                <w:color w:val="0000FF"/>
              </w:rPr>
            </w:pPr>
            <w:hyperlink r:id="rId361">
              <w:r>
                <w:rPr>
                  <w:rFonts w:ascii="Times New Roman" w:cs="Times New Roman" w:eastAsia="Times New Roman" w:hAnsi="Times New Roman"/>
                  <w:sz w:val="17"/>
                  <w:szCs w:val="17"/>
                  <w:color w:val="0000FF"/>
                </w:rPr>
                <w:t>Talkspace, Inc. Clawback Policy.</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7"/>
                <w:szCs w:val="17"/>
                <w:color w:val="0000FF"/>
              </w:rPr>
            </w:pPr>
            <w:hyperlink r:id="rId36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24</w:t>
              </w:r>
            </w:hyperlink>
            <w:r>
              <w:rPr>
                <w:rFonts w:ascii="Times New Roman" w:cs="Times New Roman" w:eastAsia="Times New Roman" w:hAnsi="Times New Roman"/>
                <w:sz w:val="17"/>
                <w:szCs w:val="17"/>
                <w:color w:val="000000"/>
              </w:rPr>
              <w:t>†</w:t>
            </w:r>
          </w:p>
        </w:tc>
        <w:tc>
          <w:tcPr>
            <w:tcW w:w="6720" w:type="dxa"/>
            <w:vAlign w:val="bottom"/>
            <w:gridSpan w:val="8"/>
          </w:tcPr>
          <w:p>
            <w:pPr>
              <w:spacing w:after="0" w:line="183" w:lineRule="exact"/>
              <w:rPr>
                <w:rFonts w:ascii="Times New Roman" w:cs="Times New Roman" w:eastAsia="Times New Roman" w:hAnsi="Times New Roman"/>
                <w:sz w:val="17"/>
                <w:szCs w:val="17"/>
                <w:color w:val="0000FF"/>
              </w:rPr>
            </w:pPr>
            <w:hyperlink r:id="rId362">
              <w:r>
                <w:rPr>
                  <w:rFonts w:ascii="Times New Roman" w:cs="Times New Roman" w:eastAsia="Times New Roman" w:hAnsi="Times New Roman"/>
                  <w:sz w:val="17"/>
                  <w:szCs w:val="17"/>
                  <w:color w:val="0000FF"/>
                </w:rPr>
                <w:t>Employment Offer Letter, dated as of May 17, 2024, by and between Talkspace, Inc. and Ian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92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720" w:type="dxa"/>
            <w:vAlign w:val="bottom"/>
            <w:gridSpan w:val="8"/>
          </w:tcPr>
          <w:p>
            <w:pPr>
              <w:spacing w:after="0" w:line="183" w:lineRule="exact"/>
              <w:rPr>
                <w:rFonts w:ascii="Times New Roman" w:cs="Times New Roman" w:eastAsia="Times New Roman" w:hAnsi="Times New Roman"/>
                <w:sz w:val="17"/>
                <w:szCs w:val="17"/>
                <w:color w:val="0000FF"/>
              </w:rPr>
            </w:pPr>
            <w:hyperlink r:id="rId362">
              <w:r>
                <w:rPr>
                  <w:rFonts w:ascii="Times New Roman" w:cs="Times New Roman" w:eastAsia="Times New Roman" w:hAnsi="Times New Roman"/>
                  <w:sz w:val="17"/>
                  <w:szCs w:val="17"/>
                  <w:color w:val="0000FF"/>
                </w:rPr>
                <w:t>Harris.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540" w:val="left"/>
          <w:tab w:leader="none" w:pos="1400" w:val="left"/>
          <w:tab w:leader="none" w:pos="196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001-39314</w:t>
      </w:r>
      <w:r>
        <w:rPr>
          <w:sz w:val="20"/>
          <w:szCs w:val="20"/>
          <w:color w:val="auto"/>
        </w:rPr>
        <w:tab/>
      </w:r>
      <w:r>
        <w:rPr>
          <w:rFonts w:ascii="Times New Roman" w:cs="Times New Roman" w:eastAsia="Times New Roman" w:hAnsi="Times New Roman"/>
          <w:sz w:val="14"/>
          <w:szCs w:val="14"/>
          <w:color w:val="auto"/>
        </w:rPr>
        <w:t>10.19</w:t>
        <w:tab/>
        <w:t>2/25/22</w:t>
      </w:r>
    </w:p>
    <w:p>
      <w:pPr>
        <w:spacing w:after="0" w:line="244" w:lineRule="exact"/>
        <w:rPr>
          <w:sz w:val="20"/>
          <w:szCs w:val="20"/>
          <w:color w:val="auto"/>
        </w:rPr>
      </w:pPr>
    </w:p>
    <w:p>
      <w:pPr>
        <w:spacing w:after="0"/>
        <w:tabs>
          <w:tab w:leader="none" w:pos="540" w:val="left"/>
          <w:tab w:leader="none" w:pos="1400" w:val="left"/>
          <w:tab w:leader="none" w:pos="196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001-39314</w:t>
      </w:r>
      <w:r>
        <w:rPr>
          <w:sz w:val="20"/>
          <w:szCs w:val="20"/>
          <w:color w:val="auto"/>
        </w:rPr>
        <w:tab/>
      </w:r>
      <w:r>
        <w:rPr>
          <w:rFonts w:ascii="Times New Roman" w:cs="Times New Roman" w:eastAsia="Times New Roman" w:hAnsi="Times New Roman"/>
          <w:sz w:val="14"/>
          <w:szCs w:val="14"/>
          <w:color w:val="auto"/>
        </w:rPr>
        <w:t>10.21</w:t>
        <w:tab/>
        <w:t>2/25/22</w:t>
      </w:r>
    </w:p>
    <w:p>
      <w:pPr>
        <w:spacing w:after="0" w:line="244" w:lineRule="exact"/>
        <w:rPr>
          <w:sz w:val="20"/>
          <w:szCs w:val="20"/>
          <w:color w:val="auto"/>
        </w:rPr>
      </w:pPr>
    </w:p>
    <w:p>
      <w:pPr>
        <w:spacing w:after="0"/>
        <w:tabs>
          <w:tab w:leader="none" w:pos="540" w:val="left"/>
          <w:tab w:leader="none" w:pos="1400" w:val="left"/>
          <w:tab w:leader="none" w:pos="196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001-39314</w:t>
      </w:r>
      <w:r>
        <w:rPr>
          <w:sz w:val="20"/>
          <w:szCs w:val="20"/>
          <w:color w:val="auto"/>
        </w:rPr>
        <w:tab/>
      </w:r>
      <w:r>
        <w:rPr>
          <w:rFonts w:ascii="Times New Roman" w:cs="Times New Roman" w:eastAsia="Times New Roman" w:hAnsi="Times New Roman"/>
          <w:sz w:val="14"/>
          <w:szCs w:val="14"/>
          <w:color w:val="auto"/>
        </w:rPr>
        <w:t>10.22</w:t>
        <w:tab/>
        <w:t>3/10/23</w:t>
      </w:r>
    </w:p>
    <w:p>
      <w:pPr>
        <w:spacing w:after="0" w:line="244" w:lineRule="exact"/>
        <w:rPr>
          <w:sz w:val="20"/>
          <w:szCs w:val="20"/>
          <w:color w:val="auto"/>
        </w:rPr>
      </w:pPr>
    </w:p>
    <w:p>
      <w:pPr>
        <w:spacing w:after="0"/>
        <w:tabs>
          <w:tab w:leader="none" w:pos="540" w:val="left"/>
          <w:tab w:leader="none" w:pos="1400" w:val="left"/>
          <w:tab w:leader="none" w:pos="196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001-39314</w:t>
      </w:r>
      <w:r>
        <w:rPr>
          <w:sz w:val="20"/>
          <w:szCs w:val="20"/>
          <w:color w:val="auto"/>
        </w:rPr>
        <w:tab/>
      </w:r>
      <w:r>
        <w:rPr>
          <w:rFonts w:ascii="Times New Roman" w:cs="Times New Roman" w:eastAsia="Times New Roman" w:hAnsi="Times New Roman"/>
          <w:sz w:val="14"/>
          <w:szCs w:val="14"/>
          <w:color w:val="auto"/>
        </w:rPr>
        <w:t>10.23</w:t>
        <w:tab/>
        <w:t>3/13/24</w:t>
      </w:r>
    </w:p>
    <w:p>
      <w:pPr>
        <w:spacing w:after="0" w:line="244" w:lineRule="exact"/>
        <w:rPr>
          <w:sz w:val="20"/>
          <w:szCs w:val="20"/>
          <w:color w:val="auto"/>
        </w:rPr>
      </w:pPr>
    </w:p>
    <w:p>
      <w:pPr>
        <w:spacing w:after="0"/>
        <w:tabs>
          <w:tab w:leader="none" w:pos="540" w:val="left"/>
          <w:tab w:leader="none" w:pos="1440" w:val="left"/>
          <w:tab w:leader="none" w:pos="196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001-39314</w:t>
      </w:r>
      <w:r>
        <w:rPr>
          <w:sz w:val="20"/>
          <w:szCs w:val="20"/>
          <w:color w:val="auto"/>
        </w:rPr>
        <w:tab/>
      </w:r>
      <w:r>
        <w:rPr>
          <w:rFonts w:ascii="Times New Roman" w:cs="Times New Roman" w:eastAsia="Times New Roman" w:hAnsi="Times New Roman"/>
          <w:sz w:val="14"/>
          <w:szCs w:val="14"/>
          <w:color w:val="auto"/>
        </w:rPr>
        <w:t>97.1</w:t>
      </w:r>
      <w:r>
        <w:rPr>
          <w:sz w:val="20"/>
          <w:szCs w:val="20"/>
          <w:color w:val="auto"/>
        </w:rPr>
        <w:tab/>
      </w:r>
      <w:r>
        <w:rPr>
          <w:rFonts w:ascii="Times New Roman" w:cs="Times New Roman" w:eastAsia="Times New Roman" w:hAnsi="Times New Roman"/>
          <w:sz w:val="14"/>
          <w:szCs w:val="14"/>
          <w:color w:val="auto"/>
        </w:rPr>
        <w:t>3/13/24</w:t>
      </w:r>
    </w:p>
    <w:p>
      <w:pPr>
        <w:spacing w:after="0" w:line="96" w:lineRule="exact"/>
        <w:rPr>
          <w:sz w:val="20"/>
          <w:szCs w:val="20"/>
          <w:color w:val="auto"/>
        </w:rPr>
      </w:pPr>
    </w:p>
    <w:p>
      <w:pPr>
        <w:spacing w:after="0"/>
        <w:tabs>
          <w:tab w:leader="none" w:pos="540" w:val="left"/>
          <w:tab w:leader="none" w:pos="1400" w:val="left"/>
          <w:tab w:leader="none" w:pos="2000" w:val="left"/>
        </w:tabs>
        <w:rPr>
          <w:sz w:val="20"/>
          <w:szCs w:val="20"/>
          <w:color w:val="auto"/>
        </w:rPr>
      </w:pPr>
      <w:r>
        <w:rPr>
          <w:rFonts w:ascii="Times New Roman" w:cs="Times New Roman" w:eastAsia="Times New Roman" w:hAnsi="Times New Roman"/>
          <w:sz w:val="14"/>
          <w:szCs w:val="14"/>
          <w:color w:val="auto"/>
        </w:rPr>
        <w:t>10-Q</w:t>
      </w:r>
      <w:r>
        <w:rPr>
          <w:sz w:val="20"/>
          <w:szCs w:val="20"/>
          <w:color w:val="auto"/>
        </w:rPr>
        <w:tab/>
      </w:r>
      <w:r>
        <w:rPr>
          <w:rFonts w:ascii="Times New Roman" w:cs="Times New Roman" w:eastAsia="Times New Roman" w:hAnsi="Times New Roman"/>
          <w:sz w:val="14"/>
          <w:szCs w:val="14"/>
          <w:color w:val="auto"/>
        </w:rPr>
        <w:t>001-39314</w:t>
      </w:r>
      <w:r>
        <w:rPr>
          <w:sz w:val="20"/>
          <w:szCs w:val="20"/>
          <w:color w:val="auto"/>
        </w:rPr>
        <w:tab/>
      </w:r>
      <w:r>
        <w:rPr>
          <w:rFonts w:ascii="Times New Roman" w:cs="Times New Roman" w:eastAsia="Times New Roman" w:hAnsi="Times New Roman"/>
          <w:sz w:val="14"/>
          <w:szCs w:val="14"/>
          <w:color w:val="auto"/>
        </w:rPr>
        <w:t>10.24</w:t>
      </w:r>
      <w:r>
        <w:rPr>
          <w:sz w:val="20"/>
          <w:szCs w:val="20"/>
          <w:color w:val="auto"/>
        </w:rPr>
        <w:tab/>
      </w:r>
      <w:r>
        <w:rPr>
          <w:rFonts w:ascii="Times New Roman" w:cs="Times New Roman" w:eastAsia="Times New Roman" w:hAnsi="Times New Roman"/>
          <w:sz w:val="14"/>
          <w:szCs w:val="14"/>
          <w:color w:val="auto"/>
        </w:rPr>
        <w:t>8/8/24</w:t>
      </w:r>
    </w:p>
    <w:p>
      <w:pPr>
        <w:spacing w:after="0" w:line="186" w:lineRule="exact"/>
        <w:rPr>
          <w:sz w:val="20"/>
          <w:szCs w:val="20"/>
          <w:color w:val="auto"/>
        </w:rPr>
      </w:pPr>
    </w:p>
    <w:p>
      <w:pPr>
        <w:sectPr>
          <w:pgSz w:w="11900" w:h="16838" w:orient="portrait"/>
          <w:cols w:equalWidth="0" w:num="2">
            <w:col w:w="7660" w:space="160"/>
            <w:col w:w="3420"/>
          </w:cols>
          <w:pgMar w:left="320" w:top="769" w:right="339"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FF"/>
                <w:w w:val="93"/>
              </w:rPr>
              <w:t>19.</w:t>
            </w:r>
            <w:r>
              <w:rPr>
                <w:rFonts w:ascii="Times New Roman" w:cs="Times New Roman" w:eastAsia="Times New Roman" w:hAnsi="Times New Roman"/>
                <w:sz w:val="17"/>
                <w:szCs w:val="17"/>
                <w:u w:val="single" w:color="auto"/>
                <w:color w:val="0000FF"/>
                <w:w w:val="93"/>
              </w:rPr>
              <w:t>1</w:t>
            </w:r>
          </w:p>
        </w:tc>
        <w:tc>
          <w:tcPr>
            <w:tcW w:w="640" w:type="dxa"/>
            <w:vAlign w:val="bottom"/>
          </w:tcPr>
          <w:p>
            <w:pPr>
              <w:spacing w:after="0"/>
              <w:rPr>
                <w:sz w:val="16"/>
                <w:szCs w:val="16"/>
                <w:color w:val="auto"/>
              </w:rPr>
            </w:pPr>
          </w:p>
        </w:tc>
        <w:tc>
          <w:tcPr>
            <w:tcW w:w="634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color w:val="0000FF"/>
              </w:rPr>
              <w:t>Talkspace, Inc. Insider Trading Policy.</w:t>
            </w:r>
          </w:p>
        </w:tc>
        <w:tc>
          <w:tcPr>
            <w:tcW w:w="3580" w:type="dxa"/>
            <w:vAlign w:val="bottom"/>
          </w:tcPr>
          <w:p>
            <w:pPr>
              <w:jc w:val="center"/>
              <w:ind w:left="334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0000FF"/>
                <w:w w:val="93"/>
              </w:rPr>
              <w:t>21.</w:t>
            </w:r>
            <w:r>
              <w:rPr>
                <w:rFonts w:ascii="Times New Roman" w:cs="Times New Roman" w:eastAsia="Times New Roman" w:hAnsi="Times New Roman"/>
                <w:sz w:val="17"/>
                <w:szCs w:val="17"/>
                <w:u w:val="single" w:color="auto"/>
                <w:color w:val="0000FF"/>
                <w:w w:val="93"/>
              </w:rPr>
              <w:t>1</w:t>
            </w:r>
          </w:p>
        </w:tc>
        <w:tc>
          <w:tcPr>
            <w:tcW w:w="640" w:type="dxa"/>
            <w:vAlign w:val="bottom"/>
          </w:tcPr>
          <w:p>
            <w:pPr>
              <w:spacing w:after="0"/>
              <w:rPr>
                <w:sz w:val="15"/>
                <w:szCs w:val="15"/>
                <w:color w:val="auto"/>
              </w:rPr>
            </w:pPr>
          </w:p>
        </w:tc>
        <w:tc>
          <w:tcPr>
            <w:tcW w:w="634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List of Subsidiaries of Talkspace, Inc.</w:t>
            </w:r>
          </w:p>
        </w:tc>
        <w:tc>
          <w:tcPr>
            <w:tcW w:w="3580" w:type="dxa"/>
            <w:vAlign w:val="bottom"/>
          </w:tcPr>
          <w:p>
            <w:pPr>
              <w:jc w:val="center"/>
              <w:ind w:left="334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0000FF"/>
                <w:w w:val="93"/>
              </w:rPr>
              <w:t>23.</w:t>
            </w:r>
            <w:r>
              <w:rPr>
                <w:rFonts w:ascii="Times New Roman" w:cs="Times New Roman" w:eastAsia="Times New Roman" w:hAnsi="Times New Roman"/>
                <w:sz w:val="17"/>
                <w:szCs w:val="17"/>
                <w:u w:val="single" w:color="auto"/>
                <w:color w:val="0000FF"/>
                <w:w w:val="93"/>
              </w:rPr>
              <w:t>1</w:t>
            </w:r>
          </w:p>
        </w:tc>
        <w:tc>
          <w:tcPr>
            <w:tcW w:w="640" w:type="dxa"/>
            <w:vAlign w:val="bottom"/>
          </w:tcPr>
          <w:p>
            <w:pPr>
              <w:spacing w:after="0"/>
              <w:rPr>
                <w:sz w:val="15"/>
                <w:szCs w:val="15"/>
                <w:color w:val="auto"/>
              </w:rPr>
            </w:pPr>
          </w:p>
        </w:tc>
        <w:tc>
          <w:tcPr>
            <w:tcW w:w="634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Consent of Kost Forer Gabbay &amp; Kasierer, a member of EY Global, Independent Registered</w:t>
            </w:r>
          </w:p>
        </w:tc>
        <w:tc>
          <w:tcPr>
            <w:tcW w:w="3580" w:type="dxa"/>
            <w:vAlign w:val="bottom"/>
          </w:tcPr>
          <w:p>
            <w:pPr>
              <w:jc w:val="center"/>
              <w:ind w:left="334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640" w:type="dxa"/>
            <w:vAlign w:val="bottom"/>
          </w:tcPr>
          <w:p>
            <w:pPr>
              <w:spacing w:after="0"/>
              <w:rPr>
                <w:sz w:val="15"/>
                <w:szCs w:val="15"/>
                <w:color w:val="auto"/>
              </w:rPr>
            </w:pPr>
          </w:p>
        </w:tc>
        <w:tc>
          <w:tcPr>
            <w:tcW w:w="634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Public Accounting Firm.</w:t>
            </w: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continue"/>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634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Executive Officer pursuant to Rule 13a-14(a)/15d-14(a).</w:t>
            </w:r>
          </w:p>
        </w:tc>
        <w:tc>
          <w:tcPr>
            <w:tcW w:w="3580" w:type="dxa"/>
            <w:vAlign w:val="bottom"/>
          </w:tcPr>
          <w:p>
            <w:pPr>
              <w:jc w:val="center"/>
              <w:ind w:left="334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51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640" w:type="dxa"/>
            <w:vAlign w:val="bottom"/>
          </w:tcPr>
          <w:p>
            <w:pPr>
              <w:spacing w:after="0"/>
              <w:rPr>
                <w:sz w:val="15"/>
                <w:szCs w:val="15"/>
                <w:color w:val="auto"/>
              </w:rPr>
            </w:pPr>
          </w:p>
        </w:tc>
        <w:tc>
          <w:tcPr>
            <w:tcW w:w="634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Rule 13a-14(a)/15d-14(a).</w:t>
            </w:r>
          </w:p>
        </w:tc>
        <w:tc>
          <w:tcPr>
            <w:tcW w:w="3580" w:type="dxa"/>
            <w:vAlign w:val="bottom"/>
          </w:tcPr>
          <w:p>
            <w:pPr>
              <w:jc w:val="center"/>
              <w:ind w:left="334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51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640" w:type="dxa"/>
            <w:vAlign w:val="bottom"/>
          </w:tcPr>
          <w:p>
            <w:pPr>
              <w:spacing w:after="0"/>
              <w:rPr>
                <w:sz w:val="15"/>
                <w:szCs w:val="15"/>
                <w:color w:val="auto"/>
              </w:rPr>
            </w:pPr>
          </w:p>
        </w:tc>
        <w:tc>
          <w:tcPr>
            <w:tcW w:w="634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w:t>
            </w:r>
          </w:p>
        </w:tc>
        <w:tc>
          <w:tcPr>
            <w:tcW w:w="3580" w:type="dxa"/>
            <w:vAlign w:val="bottom"/>
          </w:tcPr>
          <w:p>
            <w:pPr>
              <w:jc w:val="center"/>
              <w:ind w:left="334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5180" w:type="dxa"/>
            <w:vAlign w:val="bottom"/>
            <w:gridSpan w:val="3"/>
            <w:shd w:val="clear" w:color="auto" w:fill="0000FF"/>
          </w:tcPr>
          <w:p>
            <w:pPr>
              <w:spacing w:after="0" w:line="20" w:lineRule="exact"/>
              <w:rPr>
                <w:sz w:val="1"/>
                <w:szCs w:val="1"/>
                <w:color w:val="auto"/>
              </w:rPr>
            </w:pPr>
          </w:p>
        </w:tc>
        <w:tc>
          <w:tcPr>
            <w:tcW w:w="1160" w:type="dxa"/>
            <w:vAlign w:val="bottom"/>
            <w:tcBorders>
              <w:left w:val="single" w:sz="8" w:color="0000FF"/>
            </w:tcBorders>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2</w:t>
            </w:r>
          </w:p>
        </w:tc>
        <w:tc>
          <w:tcPr>
            <w:tcW w:w="640" w:type="dxa"/>
            <w:vAlign w:val="bottom"/>
          </w:tcPr>
          <w:p>
            <w:pPr>
              <w:spacing w:after="0"/>
              <w:rPr>
                <w:sz w:val="15"/>
                <w:szCs w:val="15"/>
                <w:color w:val="auto"/>
              </w:rPr>
            </w:pPr>
          </w:p>
        </w:tc>
        <w:tc>
          <w:tcPr>
            <w:tcW w:w="634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w:t>
            </w:r>
          </w:p>
        </w:tc>
        <w:tc>
          <w:tcPr>
            <w:tcW w:w="3580" w:type="dxa"/>
            <w:vAlign w:val="bottom"/>
          </w:tcPr>
          <w:p>
            <w:pPr>
              <w:jc w:val="center"/>
              <w:ind w:left="334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3"/>
        </w:trPr>
        <w:tc>
          <w:tcPr>
            <w:tcW w:w="780" w:type="dxa"/>
            <w:vAlign w:val="bottom"/>
          </w:tcPr>
          <w:p>
            <w:pPr>
              <w:spacing w:after="0"/>
              <w:rPr>
                <w:sz w:val="17"/>
                <w:szCs w:val="17"/>
                <w:color w:val="auto"/>
              </w:rPr>
            </w:pPr>
          </w:p>
        </w:tc>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File because XBRL tags are embedded within the Inline XBRL document.</w:t>
            </w:r>
          </w:p>
        </w:tc>
        <w:tc>
          <w:tcPr>
            <w:tcW w:w="1680" w:type="dxa"/>
            <w:vAlign w:val="bottom"/>
          </w:tcPr>
          <w:p>
            <w:pPr>
              <w:spacing w:after="0"/>
              <w:rPr>
                <w:sz w:val="17"/>
                <w:szCs w:val="17"/>
                <w:color w:val="auto"/>
              </w:rPr>
            </w:pPr>
          </w:p>
        </w:tc>
      </w:t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Inline XBRL Taxonomy Extension Schema with Embedded Linkbase Documents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Cover Page Interactive Data File (as formatted as Inline XBRL and contained</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2"/>
        </w:trPr>
        <w:tc>
          <w:tcPr>
            <w:tcW w:w="780" w:type="dxa"/>
            <w:vAlign w:val="bottom"/>
          </w:tcPr>
          <w:p>
            <w:pPr>
              <w:spacing w:after="0"/>
              <w:rPr>
                <w:sz w:val="19"/>
                <w:szCs w:val="19"/>
                <w:color w:val="auto"/>
              </w:rPr>
            </w:pPr>
          </w:p>
        </w:tc>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 Exhibit 101).</w:t>
            </w: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4230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8"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Indicates management contract or compensatory plan.</w:t>
      </w:r>
    </w:p>
    <w:p>
      <w:pPr>
        <w:spacing w:after="0" w:line="44" w:lineRule="exact"/>
        <w:rPr>
          <w:sz w:val="20"/>
          <w:szCs w:val="20"/>
          <w:color w:val="auto"/>
        </w:rPr>
      </w:pPr>
    </w:p>
    <w:p>
      <w:pPr>
        <w:ind w:left="240" w:right="1760" w:hanging="232"/>
        <w:spacing w:after="0" w:line="261" w:lineRule="auto"/>
        <w:tabs>
          <w:tab w:leader="none" w:pos="25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Schedules and exhibits have been omitted pursuant to Item 601(b)(2) of Regulation S-K. The Registrant agrees to furnish supplementally a copy of any omitted schedule or exhibit to the SEC upon request.</w:t>
      </w:r>
    </w:p>
    <w:p>
      <w:pPr>
        <w:spacing w:after="0" w:line="38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9" w:right="7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TALKSPACE,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R. Cohen</w:t>
            </w:r>
          </w:p>
        </w:tc>
      </w:tr>
      <w:tr>
        <w:trPr>
          <w:trHeight w:val="191"/>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9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 R. Cohen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Jon R. Cohen</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8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Ian Harris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Ian Harris</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8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Braunstein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Douglas Braunstein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6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Erez Shachar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Erez Shachar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Curtis Warfield</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Curtis Warfield</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Jacqueline Yeaney</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Jacqueline Yeaney</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Hansen</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Hansen</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Madhu Pawar</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Madhu Pawar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Liat Ben-Zur</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Liat Ben-Zur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3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Swati Abbott</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Swati Abbott</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822"/>
        </w:trPr>
        <w:tc>
          <w:tcPr>
            <w:tcW w:w="3720" w:type="dxa"/>
            <w:vAlign w:val="bottom"/>
          </w:tcPr>
          <w:p>
            <w:pPr>
              <w:spacing w:after="0"/>
              <w:rPr>
                <w:sz w:val="24"/>
                <w:szCs w:val="24"/>
                <w:color w:val="auto"/>
              </w:rPr>
            </w:pPr>
          </w:p>
        </w:tc>
        <w:tc>
          <w:tcPr>
            <w:tcW w:w="4980" w:type="dxa"/>
            <w:vAlign w:val="bottom"/>
            <w:gridSpan w:val="2"/>
          </w:tcPr>
          <w:p>
            <w:pPr>
              <w:jc w:val="right"/>
              <w:ind w:right="289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ind w:left="7300"/>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TALKSPACE,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NON-EMPLOYEE DIRECTOR COMPENSATION PROGRAM</w:t>
      </w:r>
    </w:p>
    <w:p>
      <w:pPr>
        <w:spacing w:after="0" w:line="229" w:lineRule="exact"/>
        <w:rPr>
          <w:sz w:val="20"/>
          <w:szCs w:val="20"/>
          <w:color w:val="auto"/>
        </w:rPr>
      </w:pPr>
    </w:p>
    <w:p>
      <w:pPr>
        <w:jc w:val="both"/>
        <w:ind w:left="120" w:right="139" w:firstLine="647"/>
        <w:spacing w:after="0" w:line="243" w:lineRule="auto"/>
        <w:rPr>
          <w:sz w:val="20"/>
          <w:szCs w:val="20"/>
          <w:color w:val="auto"/>
        </w:rPr>
      </w:pPr>
      <w:r>
        <w:rPr>
          <w:rFonts w:ascii="Times New Roman" w:cs="Times New Roman" w:eastAsia="Times New Roman" w:hAnsi="Times New Roman"/>
          <w:sz w:val="20"/>
          <w:szCs w:val="20"/>
          <w:color w:val="auto"/>
        </w:rPr>
        <w:t>Eligible Directors (as defined below) on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Talkspace,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 receive cash and equity compensation as set forth in this Non- Employee Director Compensation Program (this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and who is determined by the Board to be eligible to receive compensation under this Program (each,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who may be eligible to receive such cash or equity compensation, unless such Eligible Director declines the receipt of such cash or equity compensation by written notice to the Company.</w:t>
      </w:r>
    </w:p>
    <w:p>
      <w:pPr>
        <w:spacing w:after="0" w:line="190" w:lineRule="exact"/>
        <w:rPr>
          <w:sz w:val="20"/>
          <w:szCs w:val="20"/>
          <w:color w:val="auto"/>
        </w:rPr>
      </w:pPr>
    </w:p>
    <w:p>
      <w:pPr>
        <w:jc w:val="both"/>
        <w:ind w:left="120" w:right="139" w:firstLine="647"/>
        <w:spacing w:after="0" w:line="244" w:lineRule="auto"/>
        <w:rPr>
          <w:sz w:val="20"/>
          <w:szCs w:val="20"/>
          <w:color w:val="auto"/>
        </w:rPr>
      </w:pPr>
      <w:r>
        <w:rPr>
          <w:rFonts w:ascii="Times New Roman" w:cs="Times New Roman" w:eastAsia="Times New Roman" w:hAnsi="Times New Roman"/>
          <w:sz w:val="20"/>
          <w:szCs w:val="20"/>
          <w:color w:val="auto"/>
        </w:rPr>
        <w:t>This Program shall become effective upon the Effective Date (as defined below),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 For purposes of this Program,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shall mean the date on which the closing of the transactions contemplated by that certain Agreement and Plan of Merger by and among Hudson Executive Investment Corp. and certain parties thereto, dated as of January 12, 2021 (the “</w:t>
      </w:r>
      <w:r>
        <w:rPr>
          <w:rFonts w:ascii="Times New Roman" w:cs="Times New Roman" w:eastAsia="Times New Roman" w:hAnsi="Times New Roman"/>
          <w:sz w:val="20"/>
          <w:szCs w:val="20"/>
          <w:b w:val="1"/>
          <w:bCs w:val="1"/>
          <w:i w:val="1"/>
          <w:iCs w:val="1"/>
          <w:color w:val="auto"/>
        </w:rPr>
        <w:t>SPAC Merger</w:t>
      </w:r>
      <w:r>
        <w:rPr>
          <w:rFonts w:ascii="Times New Roman" w:cs="Times New Roman" w:eastAsia="Times New Roman" w:hAnsi="Times New Roman"/>
          <w:sz w:val="20"/>
          <w:szCs w:val="20"/>
          <w:color w:val="auto"/>
        </w:rPr>
        <w:t>”) are consummated.</w:t>
      </w:r>
    </w:p>
    <w:p>
      <w:pPr>
        <w:spacing w:after="0" w:line="186" w:lineRule="exact"/>
        <w:rPr>
          <w:sz w:val="20"/>
          <w:szCs w:val="20"/>
          <w:color w:val="auto"/>
        </w:rPr>
      </w:pPr>
    </w:p>
    <w:p>
      <w:pPr>
        <w:ind w:left="1420" w:hanging="649"/>
        <w:spacing w:after="0"/>
        <w:tabs>
          <w:tab w:leader="none" w:pos="14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440" w:right="639" w:firstLine="979"/>
        <w:spacing w:after="0" w:line="269" w:lineRule="auto"/>
        <w:tabs>
          <w:tab w:leader="none" w:pos="1783"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 Each Eligible Director shall be eligible to receive an annual cash retainer of $40,000 for service on the Board.</w:t>
      </w:r>
    </w:p>
    <w:p>
      <w:pPr>
        <w:spacing w:after="0" w:line="159" w:lineRule="exact"/>
        <w:rPr>
          <w:rFonts w:ascii="Times New Roman" w:cs="Times New Roman" w:eastAsia="Times New Roman" w:hAnsi="Times New Roman"/>
          <w:sz w:val="20"/>
          <w:szCs w:val="20"/>
          <w:color w:val="auto"/>
        </w:rPr>
      </w:pPr>
    </w:p>
    <w:p>
      <w:pPr>
        <w:ind w:left="440" w:right="819" w:firstLine="979"/>
        <w:spacing w:after="0" w:line="269" w:lineRule="auto"/>
        <w:tabs>
          <w:tab w:leader="none" w:pos="1783"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An Eligible Director shall be eligible to receive the following additional annual retainers, as applicable:</w:t>
      </w:r>
    </w:p>
    <w:p>
      <w:pPr>
        <w:spacing w:after="0" w:line="159" w:lineRule="exact"/>
        <w:rPr>
          <w:sz w:val="20"/>
          <w:szCs w:val="20"/>
          <w:color w:val="auto"/>
        </w:rPr>
      </w:pPr>
    </w:p>
    <w:p>
      <w:pPr>
        <w:jc w:val="both"/>
        <w:ind w:left="440" w:right="159" w:firstLine="1672"/>
        <w:spacing w:after="0" w:line="295" w:lineRule="auto"/>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9"/>
          <w:szCs w:val="19"/>
          <w:u w:val="single" w:color="auto"/>
          <w:color w:val="auto"/>
        </w:rPr>
        <w:t>Audit Committee Chairperson</w:t>
      </w:r>
      <w:r>
        <w:rPr>
          <w:rFonts w:ascii="Times New Roman" w:cs="Times New Roman" w:eastAsia="Times New Roman" w:hAnsi="Times New Roman"/>
          <w:sz w:val="19"/>
          <w:szCs w:val="19"/>
          <w:color w:val="auto"/>
        </w:rPr>
        <w:t>. An Eligible Director serving as Chairperson of the Audit Committee shall be eligible to receive an additional annual retainer of $20,000 for such service.</w:t>
      </w:r>
    </w:p>
    <w:p>
      <w:pPr>
        <w:spacing w:after="0" w:line="138" w:lineRule="exact"/>
        <w:rPr>
          <w:sz w:val="20"/>
          <w:szCs w:val="20"/>
          <w:color w:val="auto"/>
        </w:rPr>
      </w:pPr>
    </w:p>
    <w:p>
      <w:pPr>
        <w:jc w:val="both"/>
        <w:ind w:left="440" w:right="159" w:firstLine="1620"/>
        <w:spacing w:after="0" w:line="254"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u w:val="single" w:color="auto"/>
          <w:color w:val="auto"/>
        </w:rPr>
        <w:t>Compensation Committee Chairperson</w:t>
      </w:r>
      <w:r>
        <w:rPr>
          <w:rFonts w:ascii="Times New Roman" w:cs="Times New Roman" w:eastAsia="Times New Roman" w:hAnsi="Times New Roman"/>
          <w:sz w:val="20"/>
          <w:szCs w:val="20"/>
          <w:color w:val="auto"/>
        </w:rPr>
        <w:t>. An Eligible Director serving as Chairperson of the Compensation Committee shall be eligible to receive an additional annual retainer of $10,000 for such service.</w:t>
      </w:r>
    </w:p>
    <w:p>
      <w:pPr>
        <w:spacing w:after="0" w:line="188" w:lineRule="exact"/>
        <w:rPr>
          <w:sz w:val="20"/>
          <w:szCs w:val="20"/>
          <w:color w:val="auto"/>
        </w:rPr>
      </w:pPr>
    </w:p>
    <w:p>
      <w:pPr>
        <w:jc w:val="both"/>
        <w:ind w:left="440" w:right="159" w:firstLine="1620"/>
        <w:spacing w:after="0" w:line="26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An Eligible Director serving as the Chairman of the Board shall be eligible to receive an additional annual retainer of $30,000 for such service.</w:t>
      </w:r>
    </w:p>
    <w:p>
      <w:pPr>
        <w:spacing w:after="0" w:line="159" w:lineRule="exact"/>
        <w:rPr>
          <w:sz w:val="20"/>
          <w:szCs w:val="20"/>
          <w:color w:val="auto"/>
        </w:rPr>
      </w:pPr>
    </w:p>
    <w:p>
      <w:pPr>
        <w:jc w:val="both"/>
        <w:ind w:left="440" w:right="139" w:firstLine="565"/>
        <w:spacing w:after="0" w:line="241" w:lineRule="auto"/>
        <w:tabs>
          <w:tab w:leader="none" w:pos="134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 Notwithstanding anything to the contrary in Sections 1 and 2 of this Program, each Eligible Director entitled to receive any annual cash retainer may elect to receive the value of such annual cash retainer in the form of a Restricted Stock Unit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award rather than in the form of cash payment (the “</w:t>
      </w:r>
      <w:r>
        <w:rPr>
          <w:rFonts w:ascii="Times New Roman" w:cs="Times New Roman" w:eastAsia="Times New Roman" w:hAnsi="Times New Roman"/>
          <w:sz w:val="20"/>
          <w:szCs w:val="20"/>
          <w:b w:val="1"/>
          <w:bCs w:val="1"/>
          <w:color w:val="auto"/>
        </w:rPr>
        <w:t>Election</w:t>
      </w:r>
      <w:r>
        <w:rPr>
          <w:rFonts w:ascii="Times New Roman" w:cs="Times New Roman" w:eastAsia="Times New Roman" w:hAnsi="Times New Roman"/>
          <w:sz w:val="20"/>
          <w:szCs w:val="20"/>
          <w:color w:val="auto"/>
        </w:rPr>
        <w:t>”); provided, however, that such RSU award shall be subject to the vesting schedules set forth in Section 2 of this Program. An Eligible Director must make the Election by the first day of the calendar year and such Election will be effective for the remainder of the current calendar year.</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805815</wp:posOffset>
            </wp:positionV>
            <wp:extent cx="703770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801" w:right="1440" w:bottom="1440" w:gutter="0" w:footer="0" w:header="0"/>
        </w:sectPr>
      </w:pPr>
    </w:p>
    <w:bookmarkStart w:id="90" w:name="page91"/>
    <w:bookmarkEnd w:id="90"/>
    <w:p>
      <w:pPr>
        <w:ind w:left="7300"/>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00" w:lineRule="exact"/>
        <w:rPr>
          <w:sz w:val="20"/>
          <w:szCs w:val="20"/>
          <w:color w:val="auto"/>
        </w:rPr>
      </w:pPr>
    </w:p>
    <w:p>
      <w:pPr>
        <w:spacing w:after="0" w:line="371" w:lineRule="exact"/>
        <w:rPr>
          <w:sz w:val="20"/>
          <w:szCs w:val="20"/>
          <w:color w:val="auto"/>
        </w:rPr>
      </w:pPr>
    </w:p>
    <w:p>
      <w:pPr>
        <w:ind w:left="1420" w:hanging="649"/>
        <w:spacing w:after="0"/>
        <w:tabs>
          <w:tab w:leader="none" w:pos="14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440" w:right="139" w:firstLine="979"/>
        <w:spacing w:after="0" w:line="243" w:lineRule="auto"/>
        <w:tabs>
          <w:tab w:leader="none" w:pos="178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Eligible Directors shall be granted the equity awards described below. The awards described below shall be granted under and shall be subject to the terms and provisions of the Company’s 2021 Incentive Award Plan or any other applicable Company equity incentive plan then-maintained by the Company (such plan, as may be amended from time to time,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185" w:lineRule="exact"/>
        <w:rPr>
          <w:rFonts w:ascii="Times New Roman" w:cs="Times New Roman" w:eastAsia="Times New Roman" w:hAnsi="Times New Roman"/>
          <w:sz w:val="20"/>
          <w:szCs w:val="20"/>
          <w:color w:val="auto"/>
        </w:rPr>
      </w:pPr>
    </w:p>
    <w:p>
      <w:pPr>
        <w:jc w:val="both"/>
        <w:ind w:left="440" w:right="139" w:firstLine="979"/>
        <w:spacing w:after="0" w:line="257" w:lineRule="auto"/>
        <w:tabs>
          <w:tab w:leader="none" w:pos="1783"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Original Director Awards</w:t>
      </w:r>
      <w:r>
        <w:rPr>
          <w:rFonts w:ascii="Times New Roman" w:cs="Times New Roman" w:eastAsia="Times New Roman" w:hAnsi="Times New Roman"/>
          <w:sz w:val="19"/>
          <w:szCs w:val="19"/>
          <w:color w:val="auto"/>
        </w:rPr>
        <w:t>. Each Eligible Director serving on the Board as of the closing of the SPAC Merger automatically shall be granted an Option with a value of $320,000 and a RSU award with a value of $80,000 (each, a “</w:t>
      </w:r>
      <w:r>
        <w:rPr>
          <w:rFonts w:ascii="Times New Roman" w:cs="Times New Roman" w:eastAsia="Times New Roman" w:hAnsi="Times New Roman"/>
          <w:sz w:val="19"/>
          <w:szCs w:val="19"/>
          <w:b w:val="1"/>
          <w:bCs w:val="1"/>
          <w:i w:val="1"/>
          <w:iCs w:val="1"/>
          <w:color w:val="auto"/>
        </w:rPr>
        <w:t>Existing Director Award</w:t>
      </w:r>
      <w:r>
        <w:rPr>
          <w:rFonts w:ascii="Times New Roman" w:cs="Times New Roman" w:eastAsia="Times New Roman" w:hAnsi="Times New Roman"/>
          <w:sz w:val="19"/>
          <w:szCs w:val="19"/>
          <w:color w:val="auto"/>
        </w:rPr>
        <w:t>”). Each Existing Director Award that is an Option shall be granted on the date of the closing of the SPAC Merger and each Existing Director Award that is a Restricted Stock Unit award shall be granted upon effectiveness of the Form S-8 with respect to the Company’s common stock issuable under the Plan, in each case subject to continued service through the applicable grant date. Each Existing Director Award shall vest and become exercisable (as applicable) as to 25% of the Shares subject to such award on each of the first four anniversaries of the closing of the SPAC Merger, subject to continued service through the applicable vesting date.</w:t>
      </w:r>
    </w:p>
    <w:p>
      <w:pPr>
        <w:spacing w:after="0" w:line="175" w:lineRule="exact"/>
        <w:rPr>
          <w:rFonts w:ascii="Times New Roman" w:cs="Times New Roman" w:eastAsia="Times New Roman" w:hAnsi="Times New Roman"/>
          <w:sz w:val="19"/>
          <w:szCs w:val="19"/>
          <w:color w:val="auto"/>
        </w:rPr>
      </w:pPr>
    </w:p>
    <w:p>
      <w:pPr>
        <w:jc w:val="both"/>
        <w:ind w:left="440" w:right="139" w:firstLine="979"/>
        <w:spacing w:after="0" w:line="244" w:lineRule="auto"/>
        <w:tabs>
          <w:tab w:leader="none" w:pos="178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Eligible Director who is initially elected or appointed to serve on the Board after the Effective Date automatically shall be granted an Option with a value of $320,000 and a RSU award with a value of $80,000 (each, an “</w:t>
      </w:r>
      <w:r>
        <w:rPr>
          <w:rFonts w:ascii="Times New Roman" w:cs="Times New Roman" w:eastAsia="Times New Roman" w:hAnsi="Times New Roman"/>
          <w:sz w:val="20"/>
          <w:szCs w:val="20"/>
          <w:b w:val="1"/>
          <w:bCs w:val="1"/>
          <w:i w:val="1"/>
          <w:iCs w:val="1"/>
          <w:color w:val="auto"/>
        </w:rPr>
        <w:t>Initial Award</w:t>
      </w:r>
      <w:r>
        <w:rPr>
          <w:rFonts w:ascii="Times New Roman" w:cs="Times New Roman" w:eastAsia="Times New Roman" w:hAnsi="Times New Roman"/>
          <w:sz w:val="20"/>
          <w:szCs w:val="20"/>
          <w:color w:val="auto"/>
        </w:rPr>
        <w:t>”). Each Initial Award shall be granted on the date on which such Eligible Director is appointed or elected to serve on the Board (the “</w:t>
      </w:r>
      <w:r>
        <w:rPr>
          <w:rFonts w:ascii="Times New Roman" w:cs="Times New Roman" w:eastAsia="Times New Roman" w:hAnsi="Times New Roman"/>
          <w:sz w:val="20"/>
          <w:szCs w:val="20"/>
          <w:b w:val="1"/>
          <w:bCs w:val="1"/>
          <w:i w:val="1"/>
          <w:iCs w:val="1"/>
          <w:color w:val="auto"/>
        </w:rPr>
        <w:t>Election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Each Initial Award shall vest and become exercisable (as applicable) as to 25% of the Shares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such award on each of the first four anniversaries of such Election Date, subject to continued service through the applicable vesting date.</w:t>
      </w:r>
    </w:p>
    <w:p>
      <w:pPr>
        <w:spacing w:after="0" w:line="185" w:lineRule="exact"/>
        <w:rPr>
          <w:rFonts w:ascii="Times New Roman" w:cs="Times New Roman" w:eastAsia="Times New Roman" w:hAnsi="Times New Roman"/>
          <w:sz w:val="20"/>
          <w:szCs w:val="20"/>
          <w:color w:val="auto"/>
        </w:rPr>
      </w:pPr>
    </w:p>
    <w:p>
      <w:pPr>
        <w:jc w:val="both"/>
        <w:ind w:left="440" w:right="139" w:firstLine="979"/>
        <w:spacing w:after="0" w:line="246" w:lineRule="auto"/>
        <w:tabs>
          <w:tab w:leader="none" w:pos="178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Awards</w:t>
      </w:r>
      <w:r>
        <w:rPr>
          <w:rFonts w:ascii="Times New Roman" w:cs="Times New Roman" w:eastAsia="Times New Roman" w:hAnsi="Times New Roman"/>
          <w:sz w:val="20"/>
          <w:szCs w:val="20"/>
          <w:color w:val="auto"/>
        </w:rPr>
        <w:t>. An Eligible Director who is serving on the Board as of the date of the Annual Meeting each calendar year beginning with calendar year 2022 shall be granted a RSU award with a value of $160,000 (an “</w:t>
      </w:r>
      <w:r>
        <w:rPr>
          <w:rFonts w:ascii="Times New Roman" w:cs="Times New Roman" w:eastAsia="Times New Roman" w:hAnsi="Times New Roman"/>
          <w:sz w:val="20"/>
          <w:szCs w:val="20"/>
          <w:b w:val="1"/>
          <w:bCs w:val="1"/>
          <w:i w:val="1"/>
          <w:iCs w:val="1"/>
          <w:color w:val="auto"/>
        </w:rPr>
        <w:t>Annual Award</w:t>
      </w:r>
      <w:r>
        <w:rPr>
          <w:rFonts w:ascii="Times New Roman" w:cs="Times New Roman" w:eastAsia="Times New Roman" w:hAnsi="Times New Roman"/>
          <w:sz w:val="20"/>
          <w:szCs w:val="20"/>
          <w:color w:val="auto"/>
        </w:rPr>
        <w:t>” and together with the Original Director Awards and the Initial Awards, the “</w:t>
      </w:r>
      <w:r>
        <w:rPr>
          <w:rFonts w:ascii="Times New Roman" w:cs="Times New Roman" w:eastAsia="Times New Roman" w:hAnsi="Times New Roman"/>
          <w:sz w:val="20"/>
          <w:szCs w:val="20"/>
          <w:b w:val="1"/>
          <w:bCs w:val="1"/>
          <w:i w:val="1"/>
          <w:iCs w:val="1"/>
          <w:color w:val="auto"/>
        </w:rPr>
        <w:t>Director Awards</w:t>
      </w:r>
      <w:r>
        <w:rPr>
          <w:rFonts w:ascii="Times New Roman" w:cs="Times New Roman" w:eastAsia="Times New Roman" w:hAnsi="Times New Roman"/>
          <w:sz w:val="20"/>
          <w:szCs w:val="20"/>
          <w:color w:val="auto"/>
        </w:rPr>
        <w:t>”). Each Annual Award shall vest in full on the one-year anniversary of the applicable grant date, subject to continued service through the applicable vesting date.</w:t>
      </w:r>
    </w:p>
    <w:p>
      <w:pPr>
        <w:spacing w:after="0" w:line="184" w:lineRule="exact"/>
        <w:rPr>
          <w:rFonts w:ascii="Times New Roman" w:cs="Times New Roman" w:eastAsia="Times New Roman" w:hAnsi="Times New Roman"/>
          <w:sz w:val="20"/>
          <w:szCs w:val="20"/>
          <w:color w:val="auto"/>
        </w:rPr>
      </w:pPr>
    </w:p>
    <w:p>
      <w:pPr>
        <w:jc w:val="both"/>
        <w:ind w:left="440" w:right="159" w:firstLine="979"/>
        <w:spacing w:after="0" w:line="249" w:lineRule="auto"/>
        <w:tabs>
          <w:tab w:leader="none" w:pos="178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 Events</w:t>
      </w:r>
      <w:r>
        <w:rPr>
          <w:rFonts w:ascii="Times New Roman" w:cs="Times New Roman" w:eastAsia="Times New Roman" w:hAnsi="Times New Roman"/>
          <w:sz w:val="20"/>
          <w:szCs w:val="20"/>
          <w:color w:val="auto"/>
        </w:rPr>
        <w:t>. Notwithstanding the foregoing, an Eligible Director’s Director Award(s) shall vest in full immediately prior to the occurrence of a Change in Control, to the extent outstanding at such time, if the Eligible Director will not become, as of immediately following such Change in Control, a member of the board of the Company or the ultimate parent of the Company.</w:t>
      </w:r>
    </w:p>
    <w:p>
      <w:pPr>
        <w:spacing w:after="0" w:line="166" w:lineRule="exact"/>
        <w:rPr>
          <w:rFonts w:ascii="Times New Roman" w:cs="Times New Roman" w:eastAsia="Times New Roman" w:hAnsi="Times New Roman"/>
          <w:sz w:val="20"/>
          <w:szCs w:val="20"/>
          <w:color w:val="auto"/>
        </w:rPr>
      </w:pPr>
    </w:p>
    <w:p>
      <w:pPr>
        <w:ind w:left="2060" w:hanging="641"/>
        <w:spacing w:after="0"/>
        <w:tabs>
          <w:tab w:leader="none" w:pos="206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Applicable to Awards</w:t>
      </w:r>
      <w:r>
        <w:rPr>
          <w:rFonts w:ascii="Times New Roman" w:cs="Times New Roman" w:eastAsia="Times New Roman" w:hAnsi="Times New Roman"/>
          <w:sz w:val="20"/>
          <w:szCs w:val="20"/>
          <w:color w:val="auto"/>
        </w:rPr>
        <w:t>. With respect to any Award granted under this</w:t>
      </w:r>
    </w:p>
    <w:p>
      <w:pPr>
        <w:spacing w:after="0" w:line="21" w:lineRule="exact"/>
        <w:rPr>
          <w:rFonts w:ascii="Times New Roman" w:cs="Times New Roman" w:eastAsia="Times New Roman" w:hAnsi="Times New Roman"/>
          <w:sz w:val="20"/>
          <w:szCs w:val="20"/>
          <w:color w:val="auto"/>
        </w:rPr>
      </w:pPr>
    </w:p>
    <w:p>
      <w:pPr>
        <w:ind w:left="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Program:</w:t>
      </w:r>
    </w:p>
    <w:p>
      <w:pPr>
        <w:spacing w:after="0" w:line="207" w:lineRule="exact"/>
        <w:rPr>
          <w:rFonts w:ascii="Times New Roman" w:cs="Times New Roman" w:eastAsia="Times New Roman" w:hAnsi="Times New Roman"/>
          <w:sz w:val="20"/>
          <w:szCs w:val="20"/>
          <w:color w:val="auto"/>
        </w:rPr>
      </w:pPr>
    </w:p>
    <w:p>
      <w:pPr>
        <w:ind w:left="1420" w:right="499" w:firstLine="544"/>
        <w:spacing w:after="0" w:line="269" w:lineRule="auto"/>
        <w:tabs>
          <w:tab w:leader="none" w:pos="2225"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price per Share with respect to an Option shall be equal to the Fair Market Value of a Share on the applicable grant date.</w:t>
      </w:r>
    </w:p>
    <w:p>
      <w:pPr>
        <w:spacing w:after="0" w:line="10" w:lineRule="exact"/>
        <w:rPr>
          <w:rFonts w:ascii="Times New Roman" w:cs="Times New Roman" w:eastAsia="Times New Roman" w:hAnsi="Times New Roman"/>
          <w:sz w:val="20"/>
          <w:szCs w:val="20"/>
          <w:color w:val="auto"/>
        </w:rPr>
      </w:pPr>
    </w:p>
    <w:p>
      <w:pPr>
        <w:ind w:left="2220" w:hanging="308"/>
        <w:spacing w:after="0"/>
        <w:tabs>
          <w:tab w:leader="none" w:pos="2220"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Option shall have a maximum term of ten years from the applicable grant</w:t>
      </w:r>
    </w:p>
    <w:p>
      <w:pPr>
        <w:spacing w:after="0" w:line="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date.</w:t>
      </w:r>
    </w:p>
    <w:p>
      <w:pPr>
        <w:spacing w:after="0" w:line="261" w:lineRule="exact"/>
        <w:rPr>
          <w:sz w:val="20"/>
          <w:szCs w:val="20"/>
          <w:color w:val="auto"/>
        </w:rPr>
      </w:pPr>
    </w:p>
    <w:p>
      <w:pPr>
        <w:jc w:val="both"/>
        <w:ind w:left="1420" w:right="179" w:firstLine="427"/>
        <w:spacing w:after="0" w:line="244" w:lineRule="auto"/>
        <w:tabs>
          <w:tab w:leader="none" w:pos="222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subject to an Option shall be determined by dividing the value of the Option by the per share Black-Scholes valuation as of the applicable grant date, utilizing the same assumptions that the Company uses in preparation of its financial statements.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805815</wp:posOffset>
            </wp:positionV>
            <wp:extent cx="703770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801" w:right="1440" w:bottom="1440" w:gutter="0" w:footer="0" w:header="0"/>
        </w:sectPr>
      </w:pPr>
    </w:p>
    <w:bookmarkStart w:id="91" w:name="page92"/>
    <w:bookmarkEnd w:id="91"/>
    <w:p>
      <w:pPr>
        <w:ind w:left="7300"/>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341" w:lineRule="exact"/>
        <w:rPr>
          <w:sz w:val="20"/>
          <w:szCs w:val="20"/>
          <w:color w:val="auto"/>
        </w:rPr>
      </w:pPr>
    </w:p>
    <w:p>
      <w:pPr>
        <w:ind w:left="1420" w:right="159" w:firstLine="440"/>
        <w:spacing w:after="0" w:line="295" w:lineRule="auto"/>
        <w:tabs>
          <w:tab w:leader="none" w:pos="2231"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Shares subject to a Restricted Stock Unit award shall be determined by dividing the value by the Fair Market Value of a Share on the applicable grant date.</w:t>
      </w:r>
    </w:p>
    <w:p>
      <w:pPr>
        <w:spacing w:after="0" w:line="138" w:lineRule="exact"/>
        <w:rPr>
          <w:sz w:val="20"/>
          <w:szCs w:val="20"/>
          <w:color w:val="auto"/>
        </w:rPr>
      </w:pPr>
    </w:p>
    <w:p>
      <w:pPr>
        <w:jc w:val="both"/>
        <w:ind w:left="120" w:right="159" w:firstLine="648"/>
        <w:spacing w:after="0" w:line="254" w:lineRule="auto"/>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u w:val="single" w:color="auto"/>
          <w:color w:val="auto"/>
        </w:rPr>
        <w:t>Compensation Limits</w:t>
      </w:r>
      <w:r>
        <w:rPr>
          <w:rFonts w:ascii="Times New Roman" w:cs="Times New Roman" w:eastAsia="Times New Roman" w:hAnsi="Times New Roman"/>
          <w:sz w:val="20"/>
          <w:szCs w:val="20"/>
          <w:color w:val="auto"/>
        </w:rPr>
        <w:t>. Notwithstanding anything to the contrary in this Program, all compensation payable under this Program will be subject to any limits on the maximum amount of non- employee Director compensation set forth in the Equity Plan, as in effect from time to time.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821055</wp:posOffset>
            </wp:positionV>
            <wp:extent cx="703770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801" w:right="1440" w:bottom="1440" w:gutter="0" w:footer="0" w:header="0"/>
        </w:sectPr>
      </w:pPr>
    </w:p>
    <w:bookmarkStart w:id="92" w:name="page93"/>
    <w:bookmarkEnd w:id="92"/>
    <w:p>
      <w:pPr>
        <w:ind w:left="7320"/>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252525"/>
        </w:rPr>
        <w:t>SEPARATION AGREEMENT AND GENERAL RELEASE OF ALL CLAIMS</w:t>
      </w:r>
    </w:p>
    <w:p>
      <w:pPr>
        <w:spacing w:after="0" w:line="224"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252525"/>
        </w:rPr>
        <w:t>This Separation Agreement and General Release of All Claims (the “Agreement”), dated as of May 17, 2024, is by and between Jennifer Fulk (“you”, “your” or “I”) and Talkspace LLC (the “Company”).</w:t>
      </w:r>
    </w:p>
    <w:p>
      <w:pPr>
        <w:spacing w:after="0" w:line="196" w:lineRule="exact"/>
        <w:rPr>
          <w:sz w:val="20"/>
          <w:szCs w:val="20"/>
          <w:color w:val="auto"/>
        </w:rPr>
      </w:pPr>
    </w:p>
    <w:p>
      <w:pPr>
        <w:jc w:val="both"/>
        <w:ind w:left="300" w:right="319" w:firstLine="647"/>
        <w:spacing w:after="0" w:line="262" w:lineRule="auto"/>
        <w:rPr>
          <w:sz w:val="20"/>
          <w:szCs w:val="20"/>
          <w:color w:val="auto"/>
        </w:rPr>
      </w:pPr>
      <w:r>
        <w:rPr>
          <w:rFonts w:ascii="Times New Roman" w:cs="Times New Roman" w:eastAsia="Times New Roman" w:hAnsi="Times New Roman"/>
          <w:sz w:val="22"/>
          <w:szCs w:val="22"/>
          <w:b w:val="1"/>
          <w:bCs w:val="1"/>
          <w:color w:val="252525"/>
        </w:rPr>
        <w:t xml:space="preserve">WHEREAS </w:t>
      </w:r>
      <w:r>
        <w:rPr>
          <w:rFonts w:ascii="Times New Roman" w:cs="Times New Roman" w:eastAsia="Times New Roman" w:hAnsi="Times New Roman"/>
          <w:sz w:val="22"/>
          <w:szCs w:val="22"/>
          <w:color w:val="252525"/>
        </w:rPr>
        <w:t>, you and the Company have mutually agreed that your employment will be</w:t>
      </w:r>
      <w:r>
        <w:rPr>
          <w:rFonts w:ascii="Times New Roman" w:cs="Times New Roman" w:eastAsia="Times New Roman" w:hAnsi="Times New Roman"/>
          <w:sz w:val="22"/>
          <w:szCs w:val="22"/>
          <w:b w:val="1"/>
          <w:bCs w:val="1"/>
          <w:color w:val="252525"/>
        </w:rPr>
        <w:t xml:space="preserve"> </w:t>
      </w:r>
      <w:r>
        <w:rPr>
          <w:rFonts w:ascii="Times New Roman" w:cs="Times New Roman" w:eastAsia="Times New Roman" w:hAnsi="Times New Roman"/>
          <w:sz w:val="22"/>
          <w:szCs w:val="22"/>
          <w:color w:val="252525"/>
        </w:rPr>
        <w:t>terminated pursuant to your Employment Agreement with the Company;</w:t>
      </w:r>
    </w:p>
    <w:p>
      <w:pPr>
        <w:spacing w:after="0" w:line="177" w:lineRule="exact"/>
        <w:rPr>
          <w:sz w:val="20"/>
          <w:szCs w:val="20"/>
          <w:color w:val="auto"/>
        </w:rPr>
      </w:pPr>
    </w:p>
    <w:p>
      <w:pPr>
        <w:jc w:val="both"/>
        <w:ind w:left="300" w:right="299" w:firstLine="647"/>
        <w:spacing w:after="0" w:line="246" w:lineRule="auto"/>
        <w:rPr>
          <w:sz w:val="20"/>
          <w:szCs w:val="20"/>
          <w:color w:val="auto"/>
        </w:rPr>
      </w:pPr>
      <w:r>
        <w:rPr>
          <w:rFonts w:ascii="Times New Roman" w:cs="Times New Roman" w:eastAsia="Times New Roman" w:hAnsi="Times New Roman"/>
          <w:sz w:val="22"/>
          <w:szCs w:val="22"/>
          <w:b w:val="1"/>
          <w:bCs w:val="1"/>
          <w:color w:val="252525"/>
        </w:rPr>
        <w:t xml:space="preserve">WHEREAS, </w:t>
      </w:r>
      <w:r>
        <w:rPr>
          <w:rFonts w:ascii="Times New Roman" w:cs="Times New Roman" w:eastAsia="Times New Roman" w:hAnsi="Times New Roman"/>
          <w:sz w:val="22"/>
          <w:szCs w:val="22"/>
          <w:color w:val="252525"/>
        </w:rPr>
        <w:t>the Company is entering into this Agreement without any admission that</w:t>
      </w:r>
      <w:r>
        <w:rPr>
          <w:rFonts w:ascii="Times New Roman" w:cs="Times New Roman" w:eastAsia="Times New Roman" w:hAnsi="Times New Roman"/>
          <w:sz w:val="22"/>
          <w:szCs w:val="22"/>
          <w:b w:val="1"/>
          <w:bCs w:val="1"/>
          <w:color w:val="252525"/>
        </w:rPr>
        <w:t xml:space="preserve"> </w:t>
      </w:r>
      <w:r>
        <w:rPr>
          <w:rFonts w:ascii="Times New Roman" w:cs="Times New Roman" w:eastAsia="Times New Roman" w:hAnsi="Times New Roman"/>
          <w:sz w:val="22"/>
          <w:szCs w:val="22"/>
          <w:color w:val="252525"/>
        </w:rPr>
        <w:t>the Company has violated any law or legal obligation with respect to you and/or any aspect of your employment with the Company or termination therefrom; and now</w:t>
      </w:r>
    </w:p>
    <w:p>
      <w:pPr>
        <w:spacing w:after="0" w:line="194" w:lineRule="exact"/>
        <w:rPr>
          <w:sz w:val="20"/>
          <w:szCs w:val="20"/>
          <w:color w:val="auto"/>
        </w:rPr>
      </w:pPr>
    </w:p>
    <w:p>
      <w:pPr>
        <w:jc w:val="both"/>
        <w:ind w:left="300" w:right="299" w:firstLine="647"/>
        <w:spacing w:after="0" w:line="246" w:lineRule="auto"/>
        <w:rPr>
          <w:sz w:val="20"/>
          <w:szCs w:val="20"/>
          <w:color w:val="auto"/>
        </w:rPr>
      </w:pPr>
      <w:r>
        <w:rPr>
          <w:rFonts w:ascii="Times New Roman" w:cs="Times New Roman" w:eastAsia="Times New Roman" w:hAnsi="Times New Roman"/>
          <w:sz w:val="22"/>
          <w:szCs w:val="22"/>
          <w:b w:val="1"/>
          <w:bCs w:val="1"/>
          <w:color w:val="252525"/>
        </w:rPr>
        <w:t>THEREFORE</w:t>
      </w:r>
      <w:r>
        <w:rPr>
          <w:rFonts w:ascii="Times New Roman" w:cs="Times New Roman" w:eastAsia="Times New Roman" w:hAnsi="Times New Roman"/>
          <w:sz w:val="22"/>
          <w:szCs w:val="22"/>
          <w:color w:val="252525"/>
        </w:rPr>
        <w:t>, in consideration of the mutual covenants and promises set forth in this</w:t>
      </w:r>
      <w:r>
        <w:rPr>
          <w:rFonts w:ascii="Times New Roman" w:cs="Times New Roman" w:eastAsia="Times New Roman" w:hAnsi="Times New Roman"/>
          <w:sz w:val="22"/>
          <w:szCs w:val="22"/>
          <w:b w:val="1"/>
          <w:bCs w:val="1"/>
          <w:color w:val="252525"/>
        </w:rPr>
        <w:t xml:space="preserve"> </w:t>
      </w:r>
      <w:r>
        <w:rPr>
          <w:rFonts w:ascii="Times New Roman" w:cs="Times New Roman" w:eastAsia="Times New Roman" w:hAnsi="Times New Roman"/>
          <w:sz w:val="22"/>
          <w:szCs w:val="22"/>
          <w:color w:val="252525"/>
        </w:rPr>
        <w:t>Agreement, as well as good and valuable consideration provided herein, you and the Company agree as follows:</w:t>
      </w:r>
    </w:p>
    <w:p>
      <w:pPr>
        <w:spacing w:after="0" w:line="194" w:lineRule="exact"/>
        <w:rPr>
          <w:sz w:val="20"/>
          <w:szCs w:val="20"/>
          <w:color w:val="auto"/>
        </w:rPr>
      </w:pPr>
    </w:p>
    <w:p>
      <w:pPr>
        <w:ind w:left="300" w:right="319" w:firstLine="316"/>
        <w:spacing w:after="0" w:line="261" w:lineRule="auto"/>
        <w:tabs>
          <w:tab w:leader="none" w:pos="1084" w:val="left"/>
        </w:tabs>
        <w:numPr>
          <w:ilvl w:val="0"/>
          <w:numId w:val="33"/>
        </w:numPr>
        <w:rPr>
          <w:rFonts w:ascii="Arial" w:cs="Arial" w:eastAsia="Arial" w:hAnsi="Arial"/>
          <w:sz w:val="22"/>
          <w:szCs w:val="22"/>
          <w:b w:val="1"/>
          <w:bCs w:val="1"/>
          <w:color w:val="252525"/>
        </w:rPr>
      </w:pPr>
      <w:r>
        <w:rPr>
          <w:rFonts w:ascii="Times New Roman" w:cs="Times New Roman" w:eastAsia="Times New Roman" w:hAnsi="Times New Roman"/>
          <w:sz w:val="22"/>
          <w:szCs w:val="22"/>
          <w:b w:val="1"/>
          <w:bCs w:val="1"/>
          <w:color w:val="252525"/>
        </w:rPr>
        <w:t xml:space="preserve">Separation Date. </w:t>
      </w:r>
      <w:r>
        <w:rPr>
          <w:rFonts w:ascii="Times New Roman" w:cs="Times New Roman" w:eastAsia="Times New Roman" w:hAnsi="Times New Roman"/>
          <w:sz w:val="22"/>
          <w:szCs w:val="22"/>
          <w:color w:val="252525"/>
        </w:rPr>
        <w:t>Your employment with the Company will terminate, effective May</w:t>
      </w:r>
      <w:r>
        <w:rPr>
          <w:rFonts w:ascii="Times New Roman" w:cs="Times New Roman" w:eastAsia="Times New Roman" w:hAnsi="Times New Roman"/>
          <w:sz w:val="22"/>
          <w:szCs w:val="22"/>
          <w:b w:val="1"/>
          <w:bCs w:val="1"/>
          <w:color w:val="252525"/>
        </w:rPr>
        <w:t xml:space="preserve"> </w:t>
      </w:r>
      <w:r>
        <w:rPr>
          <w:rFonts w:ascii="Times New Roman" w:cs="Times New Roman" w:eastAsia="Times New Roman" w:hAnsi="Times New Roman"/>
          <w:sz w:val="22"/>
          <w:szCs w:val="22"/>
          <w:color w:val="252525"/>
        </w:rPr>
        <w:t>20, 2024 (the “Separation Date”).</w:t>
      </w:r>
    </w:p>
    <w:p>
      <w:pPr>
        <w:spacing w:after="0" w:line="177" w:lineRule="exact"/>
        <w:rPr>
          <w:rFonts w:ascii="Arial" w:cs="Arial" w:eastAsia="Arial" w:hAnsi="Arial"/>
          <w:sz w:val="22"/>
          <w:szCs w:val="22"/>
          <w:b w:val="1"/>
          <w:bCs w:val="1"/>
          <w:color w:val="252525"/>
        </w:rPr>
      </w:pPr>
    </w:p>
    <w:p>
      <w:pPr>
        <w:jc w:val="both"/>
        <w:ind w:left="300" w:right="299" w:firstLine="316"/>
        <w:spacing w:after="0" w:line="245" w:lineRule="auto"/>
        <w:tabs>
          <w:tab w:leader="none" w:pos="1085" w:val="left"/>
        </w:tabs>
        <w:numPr>
          <w:ilvl w:val="0"/>
          <w:numId w:val="33"/>
        </w:numPr>
        <w:rPr>
          <w:rFonts w:ascii="Arial" w:cs="Arial" w:eastAsia="Arial" w:hAnsi="Arial"/>
          <w:sz w:val="22"/>
          <w:szCs w:val="22"/>
          <w:b w:val="1"/>
          <w:bCs w:val="1"/>
          <w:color w:val="252525"/>
        </w:rPr>
      </w:pPr>
      <w:r>
        <w:rPr>
          <w:rFonts w:ascii="Times New Roman" w:cs="Times New Roman" w:eastAsia="Times New Roman" w:hAnsi="Times New Roman"/>
          <w:sz w:val="22"/>
          <w:szCs w:val="22"/>
          <w:b w:val="1"/>
          <w:bCs w:val="1"/>
          <w:color w:val="252525"/>
        </w:rPr>
        <w:t>Separation Payment</w:t>
      </w:r>
      <w:r>
        <w:rPr>
          <w:rFonts w:ascii="Times New Roman" w:cs="Times New Roman" w:eastAsia="Times New Roman" w:hAnsi="Times New Roman"/>
          <w:sz w:val="22"/>
          <w:szCs w:val="22"/>
          <w:color w:val="252525"/>
        </w:rPr>
        <w:t>. Provided that you comply with all the terms of this Agreement,</w:t>
      </w:r>
      <w:r>
        <w:rPr>
          <w:rFonts w:ascii="Times New Roman" w:cs="Times New Roman" w:eastAsia="Times New Roman" w:hAnsi="Times New Roman"/>
          <w:sz w:val="22"/>
          <w:szCs w:val="22"/>
          <w:b w:val="1"/>
          <w:bCs w:val="1"/>
          <w:color w:val="252525"/>
        </w:rPr>
        <w:t xml:space="preserve"> </w:t>
      </w:r>
      <w:r>
        <w:rPr>
          <w:rFonts w:ascii="Times New Roman" w:cs="Times New Roman" w:eastAsia="Times New Roman" w:hAnsi="Times New Roman"/>
          <w:sz w:val="22"/>
          <w:szCs w:val="22"/>
          <w:color w:val="252525"/>
        </w:rPr>
        <w:t>the Company shall provide you with the following separation benefits (collectively, the “Separation Benefits”):</w:t>
      </w:r>
    </w:p>
    <w:p>
      <w:pPr>
        <w:spacing w:after="0" w:line="240" w:lineRule="exact"/>
        <w:rPr>
          <w:rFonts w:ascii="Arial" w:cs="Arial" w:eastAsia="Arial" w:hAnsi="Arial"/>
          <w:sz w:val="22"/>
          <w:szCs w:val="22"/>
          <w:b w:val="1"/>
          <w:bCs w:val="1"/>
          <w:color w:val="252525"/>
        </w:rPr>
      </w:pPr>
    </w:p>
    <w:p>
      <w:pPr>
        <w:jc w:val="both"/>
        <w:ind w:left="1580" w:right="299" w:hanging="316"/>
        <w:spacing w:after="0" w:line="232" w:lineRule="auto"/>
        <w:tabs>
          <w:tab w:leader="none" w:pos="1580" w:val="left"/>
        </w:tabs>
        <w:numPr>
          <w:ilvl w:val="1"/>
          <w:numId w:val="33"/>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The Company shall pay to you a severance payment equal to four hundred thousand dollars (</w:t>
      </w:r>
      <w:r>
        <w:rPr>
          <w:rFonts w:ascii="Times New Roman" w:cs="Times New Roman" w:eastAsia="Times New Roman" w:hAnsi="Times New Roman"/>
          <w:sz w:val="22"/>
          <w:szCs w:val="22"/>
          <w:color w:val="000000"/>
        </w:rPr>
        <w:t>$400,000)</w:t>
      </w:r>
      <w:r>
        <w:rPr>
          <w:rFonts w:ascii="Times New Roman" w:cs="Times New Roman" w:eastAsia="Times New Roman" w:hAnsi="Times New Roman"/>
          <w:sz w:val="22"/>
          <w:szCs w:val="22"/>
          <w:color w:val="252525"/>
        </w:rPr>
        <w:t xml:space="preserve"> (the “Separation Payment”), less applicable tax withholdings, to be paid in substantially equal installments for a period of 12 months following the Separation Date, with such payments to commence being paid on the first payroll date immediately following the Release Effective Date (as defined below) (with any amounts otherwise payable prior to such date to be paid in a lump sum on such payroll date without interest thereon), and thereafter in bi-weekly installments on each of the Company’s regularly scheduled payroll dates during such 12-month period, in accordance with Section 4(a) of the Executive Severance Plan (the “Severance Plan”);</w:t>
      </w:r>
    </w:p>
    <w:p>
      <w:pPr>
        <w:spacing w:after="0" w:line="8" w:lineRule="exact"/>
        <w:rPr>
          <w:rFonts w:ascii="Times New Roman" w:cs="Times New Roman" w:eastAsia="Times New Roman" w:hAnsi="Times New Roman"/>
          <w:sz w:val="22"/>
          <w:szCs w:val="22"/>
          <w:color w:val="252525"/>
        </w:rPr>
      </w:pPr>
    </w:p>
    <w:p>
      <w:pPr>
        <w:jc w:val="both"/>
        <w:ind w:left="1580" w:right="299" w:hanging="316"/>
        <w:spacing w:after="0" w:line="230" w:lineRule="auto"/>
        <w:tabs>
          <w:tab w:leader="none" w:pos="1580" w:val="left"/>
        </w:tabs>
        <w:numPr>
          <w:ilvl w:val="1"/>
          <w:numId w:val="33"/>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The Company will honor your bonus for fiscal year 2024 at 50% of the total amount awarded (at least 100% of personal amount and up to 150% of the Company amount at the Board's discretion), but in no event shall the bonus paid to you be less than</w:t>
      </w:r>
    </w:p>
    <w:p>
      <w:pPr>
        <w:spacing w:after="0" w:line="2" w:lineRule="exact"/>
        <w:rPr>
          <w:rFonts w:ascii="Times New Roman" w:cs="Times New Roman" w:eastAsia="Times New Roman" w:hAnsi="Times New Roman"/>
          <w:sz w:val="22"/>
          <w:szCs w:val="22"/>
          <w:color w:val="252525"/>
        </w:rPr>
      </w:pPr>
    </w:p>
    <w:p>
      <w:pPr>
        <w:jc w:val="both"/>
        <w:ind w:left="1580" w:right="319"/>
        <w:spacing w:after="0" w:line="230" w:lineRule="auto"/>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$200,000 (such amount, as applicable, the “2024 Bonus Payment”). The Company shall pay you the 2024 Bonus Payment, less applicable tax withholdings, on or before the 2024 bonus payment date (currently set as March 15, 2025), but in no event later than March 15, 2025; and</w:t>
      </w:r>
    </w:p>
    <w:p>
      <w:pPr>
        <w:spacing w:after="0" w:line="2" w:lineRule="exact"/>
        <w:rPr>
          <w:rFonts w:ascii="Times New Roman" w:cs="Times New Roman" w:eastAsia="Times New Roman" w:hAnsi="Times New Roman"/>
          <w:sz w:val="22"/>
          <w:szCs w:val="22"/>
          <w:color w:val="252525"/>
        </w:rPr>
      </w:pPr>
    </w:p>
    <w:p>
      <w:pPr>
        <w:jc w:val="both"/>
        <w:ind w:left="1580" w:right="299" w:hanging="316"/>
        <w:spacing w:after="0" w:line="232" w:lineRule="auto"/>
        <w:tabs>
          <w:tab w:leader="none" w:pos="1580" w:val="left"/>
        </w:tabs>
        <w:numPr>
          <w:ilvl w:val="1"/>
          <w:numId w:val="33"/>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Subject to the requirements of the Internal Revenue Code of 1986, as amended, if you properly elect healthcare continuation coverage under the Company’s group health plans pursuant to COBRA, to the extent that you are eligible to do so, then the Company shall directly pay or, at its election, reimburse you for the COBRA premiums for you and your covered dependents (in an amount determined based on</w:t>
      </w:r>
    </w:p>
    <w:p>
      <w:pPr>
        <w:spacing w:after="0" w:line="34" w:lineRule="exact"/>
        <w:rPr>
          <w:rFonts w:ascii="Times New Roman" w:cs="Times New Roman" w:eastAsia="Times New Roman" w:hAnsi="Times New Roman"/>
          <w:sz w:val="22"/>
          <w:szCs w:val="22"/>
          <w:color w:val="252525"/>
        </w:rPr>
      </w:pPr>
    </w:p>
    <w:p>
      <w:pPr>
        <w:jc w:val="both"/>
        <w:ind w:left="1580" w:right="299"/>
        <w:spacing w:after="0" w:line="228" w:lineRule="auto"/>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the same benefit levels as would have applied if your employment had not been terminated, based on your elections in effect on the Separation Date) until the earlier of the end of the 12</w:t>
      </w:r>
      <w:r>
        <w:rPr>
          <w:rFonts w:ascii="Times New Roman" w:cs="Times New Roman" w:eastAsia="Times New Roman" w:hAnsi="Times New Roman"/>
          <w:sz w:val="28"/>
          <w:szCs w:val="28"/>
          <w:color w:val="252525"/>
          <w:vertAlign w:val="superscript"/>
        </w:rPr>
        <w:t>th</w:t>
      </w:r>
      <w:r>
        <w:rPr>
          <w:rFonts w:ascii="Times New Roman" w:cs="Times New Roman" w:eastAsia="Times New Roman" w:hAnsi="Times New Roman"/>
          <w:sz w:val="22"/>
          <w:szCs w:val="22"/>
          <w:color w:val="252525"/>
        </w:rPr>
        <w:t xml:space="preserve"> month following the Separation Date or the date you become eligible for healthcare coverage under a subsequent employer’s health plan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211455</wp:posOffset>
            </wp:positionV>
            <wp:extent cx="703770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79" w:right="1440" w:bottom="1440" w:gutter="0" w:footer="0" w:header="0"/>
        </w:sectPr>
      </w:pPr>
    </w:p>
    <w:bookmarkStart w:id="93" w:name="page94"/>
    <w:bookmarkEnd w:id="93"/>
    <w:p>
      <w:pPr>
        <w:jc w:val="both"/>
        <w:ind w:left="1580" w:right="299"/>
        <w:spacing w:after="0" w:line="247" w:lineRule="auto"/>
        <w:rPr>
          <w:sz w:val="20"/>
          <w:szCs w:val="20"/>
          <w:color w:val="auto"/>
        </w:rPr>
      </w:pPr>
      <w:r>
        <w:rPr>
          <w:rFonts w:ascii="Times New Roman" w:cs="Times New Roman" w:eastAsia="Times New Roman" w:hAnsi="Times New Roman"/>
          <w:sz w:val="21"/>
          <w:szCs w:val="21"/>
          <w:color w:val="252525"/>
        </w:rPr>
        <w:t>“COBRA Premium Payment”). Notwithstanding the foregoing, (i) if any plan pursuant to which such benefits are provided is not, or ceases prior to the expiration of the period of continuation coverage to be, exempt from the application of Code Section 409A under Treasury Regulation Section 1.409A-1(a)</w:t>
      </w:r>
    </w:p>
    <w:p>
      <w:pPr>
        <w:spacing w:after="0" w:line="2" w:lineRule="exact"/>
        <w:rPr>
          <w:sz w:val="20"/>
          <w:szCs w:val="20"/>
          <w:color w:val="auto"/>
        </w:rPr>
      </w:pPr>
    </w:p>
    <w:p>
      <w:pPr>
        <w:jc w:val="both"/>
        <w:ind w:left="1580" w:right="299"/>
        <w:spacing w:after="0" w:line="230" w:lineRule="auto"/>
        <w:rPr>
          <w:sz w:val="20"/>
          <w:szCs w:val="20"/>
          <w:color w:val="auto"/>
        </w:rPr>
      </w:pPr>
      <w:r>
        <w:rPr>
          <w:rFonts w:ascii="Times New Roman" w:cs="Times New Roman" w:eastAsia="Times New Roman" w:hAnsi="Times New Roman"/>
          <w:sz w:val="22"/>
          <w:szCs w:val="22"/>
          <w:color w:val="252525"/>
        </w:rPr>
        <w:t>(5), or (ii) the Company is otherwise unable to continue to cover you under its group health plans without penalty under applicable law (including without limitation, Section 2716 of the Public Health Service Act), then, in either case, an amount equal to each remaining COBRA Premium Payment shall thereafter be paid to you in substantially equal monthly installments over the applicable period (or the remaining portion thereof).</w:t>
      </w:r>
    </w:p>
    <w:p>
      <w:pPr>
        <w:spacing w:after="0" w:line="3" w:lineRule="exact"/>
        <w:rPr>
          <w:sz w:val="20"/>
          <w:szCs w:val="20"/>
          <w:color w:val="auto"/>
        </w:rPr>
      </w:pPr>
    </w:p>
    <w:p>
      <w:pPr>
        <w:jc w:val="both"/>
        <w:ind w:left="1580" w:right="299" w:hanging="316"/>
        <w:spacing w:after="0" w:line="233" w:lineRule="auto"/>
        <w:tabs>
          <w:tab w:leader="none" w:pos="1580" w:val="left"/>
        </w:tabs>
        <w:numPr>
          <w:ilvl w:val="1"/>
          <w:numId w:val="34"/>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b w:val="1"/>
          <w:bCs w:val="1"/>
          <w:color w:val="252525"/>
        </w:rPr>
        <w:t>As a condition to the Company providing you with any portion of the Separation Benefits, as well as the Accelerated RSUs (as defined below), you must date, sign and return to the Company a signed original Agreement on or before June 4, 2024, and you must not revoke your signature to this Agreement at any time during the applicable 7-day revocation period.</w:t>
      </w:r>
    </w:p>
    <w:p>
      <w:pPr>
        <w:spacing w:after="0" w:line="206" w:lineRule="exact"/>
        <w:rPr>
          <w:rFonts w:ascii="Times New Roman" w:cs="Times New Roman" w:eastAsia="Times New Roman" w:hAnsi="Times New Roman"/>
          <w:sz w:val="22"/>
          <w:szCs w:val="22"/>
          <w:color w:val="252525"/>
        </w:rPr>
      </w:pPr>
    </w:p>
    <w:p>
      <w:pPr>
        <w:jc w:val="both"/>
        <w:ind w:left="300" w:right="299" w:firstLine="316"/>
        <w:spacing w:after="0" w:line="233" w:lineRule="auto"/>
        <w:tabs>
          <w:tab w:leader="none" w:pos="1085" w:val="left"/>
        </w:tabs>
        <w:numPr>
          <w:ilvl w:val="0"/>
          <w:numId w:val="35"/>
        </w:numPr>
        <w:rPr>
          <w:rFonts w:ascii="Arial" w:cs="Arial" w:eastAsia="Arial" w:hAnsi="Arial"/>
          <w:sz w:val="22"/>
          <w:szCs w:val="22"/>
          <w:b w:val="1"/>
          <w:bCs w:val="1"/>
          <w:color w:val="252525"/>
        </w:rPr>
      </w:pPr>
      <w:r>
        <w:rPr>
          <w:rFonts w:ascii="Times New Roman" w:cs="Times New Roman" w:eastAsia="Times New Roman" w:hAnsi="Times New Roman"/>
          <w:sz w:val="22"/>
          <w:szCs w:val="22"/>
          <w:u w:val="single" w:color="auto"/>
          <w:color w:val="auto"/>
        </w:rPr>
        <w:t>Treatment of Equity Awards</w:t>
      </w:r>
      <w:r>
        <w:rPr>
          <w:rFonts w:ascii="Times New Roman" w:cs="Times New Roman" w:eastAsia="Times New Roman" w:hAnsi="Times New Roman"/>
          <w:sz w:val="22"/>
          <w:szCs w:val="22"/>
          <w:color w:val="auto"/>
        </w:rPr>
        <w:t xml:space="preserve">. As of the Separation Date, you hold 720,684 unvested Restricted Stock Units (“RSUs”). </w:t>
      </w:r>
      <w:r>
        <w:rPr>
          <w:rFonts w:ascii="Times New Roman" w:cs="Times New Roman" w:eastAsia="Times New Roman" w:hAnsi="Times New Roman"/>
          <w:sz w:val="22"/>
          <w:szCs w:val="22"/>
          <w:color w:val="212121"/>
        </w:rPr>
        <w:t>As consideration for your acceptance of this Agreement,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12121"/>
        </w:rPr>
        <w:t xml:space="preserve">Company shall accelerate the vesting of 50% of these RSUs (360,342 RSUs, the “Accelerated RSUs”) under the Talkspace, Inc. 2021 Incentive Award Plan (the “Plan”), with such accelerated vesting to become effective upon the Release Effective Date. These Accelerated RSUs shall be settled no later than five (5) calendar days following the Release Effective Date. The remaining RSUs that do not constitute Accelerated RSUs shall be cancelled and forfeited for no consideration as of the Separation Date. </w:t>
      </w:r>
      <w:r>
        <w:rPr>
          <w:rFonts w:ascii="Times New Roman" w:cs="Times New Roman" w:eastAsia="Times New Roman" w:hAnsi="Times New Roman"/>
          <w:sz w:val="22"/>
          <w:szCs w:val="22"/>
          <w:color w:val="252525"/>
        </w:rPr>
        <w:t>Further, you will retain all of your stock options that are</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252525"/>
        </w:rPr>
        <w:t xml:space="preserve">vested as of the Separation Date. The Company will extend the date to exercise these vested stock options to seven (7) days after the 2024 bonus payment date (currently set as March 15, 2025). </w:t>
      </w:r>
      <w:r>
        <w:rPr>
          <w:rFonts w:ascii="Times New Roman" w:cs="Times New Roman" w:eastAsia="Times New Roman" w:hAnsi="Times New Roman"/>
          <w:sz w:val="22"/>
          <w:szCs w:val="22"/>
          <w:color w:val="212121"/>
        </w:rPr>
        <w:t>Except as otherwise specifically provided in this Agreement, award(s) under the Plan</w:t>
      </w:r>
      <w:r>
        <w:rPr>
          <w:rFonts w:ascii="Times New Roman" w:cs="Times New Roman" w:eastAsia="Times New Roman" w:hAnsi="Times New Roman"/>
          <w:sz w:val="22"/>
          <w:szCs w:val="22"/>
          <w:color w:val="252525"/>
        </w:rPr>
        <w:t xml:space="preserve"> </w:t>
      </w:r>
      <w:r>
        <w:rPr>
          <w:rFonts w:ascii="Times New Roman" w:cs="Times New Roman" w:eastAsia="Times New Roman" w:hAnsi="Times New Roman"/>
          <w:sz w:val="22"/>
          <w:szCs w:val="22"/>
          <w:color w:val="212121"/>
        </w:rPr>
        <w:t>shall be governed in all respects by the terms of and conditions of the Plan and the applicable Award Agreement.</w:t>
      </w:r>
    </w:p>
    <w:p>
      <w:pPr>
        <w:spacing w:after="0" w:line="217" w:lineRule="exact"/>
        <w:rPr>
          <w:rFonts w:ascii="Arial" w:cs="Arial" w:eastAsia="Arial" w:hAnsi="Arial"/>
          <w:sz w:val="22"/>
          <w:szCs w:val="22"/>
          <w:b w:val="1"/>
          <w:bCs w:val="1"/>
          <w:color w:val="252525"/>
        </w:rPr>
      </w:pPr>
    </w:p>
    <w:p>
      <w:pPr>
        <w:ind w:left="940" w:hanging="324"/>
        <w:spacing w:after="0"/>
        <w:tabs>
          <w:tab w:leader="none" w:pos="940" w:val="left"/>
        </w:tabs>
        <w:numPr>
          <w:ilvl w:val="0"/>
          <w:numId w:val="35"/>
        </w:numPr>
        <w:rPr>
          <w:rFonts w:ascii="Arial" w:cs="Arial" w:eastAsia="Arial" w:hAnsi="Arial"/>
          <w:sz w:val="22"/>
          <w:szCs w:val="22"/>
          <w:b w:val="1"/>
          <w:bCs w:val="1"/>
          <w:color w:val="252525"/>
        </w:rPr>
      </w:pPr>
      <w:r>
        <w:rPr>
          <w:rFonts w:ascii="Times New Roman" w:cs="Times New Roman" w:eastAsia="Times New Roman" w:hAnsi="Times New Roman"/>
          <w:sz w:val="22"/>
          <w:szCs w:val="22"/>
          <w:b w:val="1"/>
          <w:bCs w:val="1"/>
          <w:color w:val="252525"/>
        </w:rPr>
        <w:t>Acknowledgement, Release of All Claims and Representations.</w:t>
      </w:r>
    </w:p>
    <w:p>
      <w:pPr>
        <w:spacing w:after="0" w:line="236" w:lineRule="exact"/>
        <w:rPr>
          <w:sz w:val="20"/>
          <w:szCs w:val="20"/>
          <w:color w:val="auto"/>
        </w:rPr>
      </w:pPr>
    </w:p>
    <w:p>
      <w:pPr>
        <w:jc w:val="both"/>
        <w:ind w:left="300" w:right="319" w:firstLine="316"/>
        <w:spacing w:after="0" w:line="233" w:lineRule="auto"/>
        <w:tabs>
          <w:tab w:leader="none" w:pos="1084" w:val="left"/>
        </w:tabs>
        <w:numPr>
          <w:ilvl w:val="0"/>
          <w:numId w:val="36"/>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You acknowledge and agree that your employment with the Company terminated effective on the Separation Date and that all Company obligations and benefits provided to you and your eligibility to participate in any Company benefit program(s) (other than those obligations and benefits provided under this Agreement or subject to continuation or extension rights in accordance with applicable law) ceased effective on the Separation Date. You acknowledge that you have been notified of your ability to elect continuation coverage at your expense (except as otherwise provided in Section 2(c)) in the Company’s group medical plan in a separate document. Irrespective of your decision to execute and return this Agreement as provided herein, the Company will pay or provide to you (i) any accrued but unpaid base salary earned through the Separation Date, less applicable tax withholdings, and (ii) any vested employee benefits earned through the Separation Date (the “Accrued Benefits”).</w:t>
      </w:r>
    </w:p>
    <w:p>
      <w:pPr>
        <w:spacing w:after="0" w:line="281" w:lineRule="exact"/>
        <w:rPr>
          <w:rFonts w:ascii="Times New Roman" w:cs="Times New Roman" w:eastAsia="Times New Roman" w:hAnsi="Times New Roman"/>
          <w:sz w:val="22"/>
          <w:szCs w:val="22"/>
          <w:color w:val="252525"/>
        </w:rPr>
      </w:pPr>
    </w:p>
    <w:p>
      <w:pPr>
        <w:jc w:val="both"/>
        <w:ind w:left="300" w:right="319" w:firstLine="316"/>
        <w:spacing w:after="0" w:line="234" w:lineRule="auto"/>
        <w:tabs>
          <w:tab w:leader="none" w:pos="1084" w:val="left"/>
        </w:tabs>
        <w:numPr>
          <w:ilvl w:val="0"/>
          <w:numId w:val="36"/>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You acknowledge that the Company’s providing you with the Separation Benefits and other consideration specified in this Agreement, including the Accrued Benefits, will fully discharge the Company and all of the Releasees (as defined below) from all liabilities and obligations pursuant to any oral or written agreement between you and the Company and any other alleged promise or understanding between you and the Company. You specifically acknowledge that the Separation Benefits include and are in excess of any amounts due you from the Company in connection with, directly or indirectly, your employment with the Company and the termination thereof, including, without limitation, any wages, salary, commission, bonus, equity compensation, tips, vacation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207010</wp:posOffset>
            </wp:positionV>
            <wp:extent cx="703770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22"/>
          <w:szCs w:val="22"/>
          <w:color w:val="252525"/>
        </w:rPr>
        <w:t>and any other benefit payment except as specifically provided herein.</w:t>
      </w:r>
    </w:p>
    <w:p>
      <w:pPr>
        <w:spacing w:after="0" w:line="233" w:lineRule="exact"/>
        <w:rPr>
          <w:sz w:val="20"/>
          <w:szCs w:val="20"/>
          <w:color w:val="auto"/>
        </w:rPr>
      </w:pPr>
    </w:p>
    <w:p>
      <w:pPr>
        <w:jc w:val="both"/>
        <w:ind w:left="300" w:right="319" w:firstLine="316"/>
        <w:spacing w:after="0" w:line="233" w:lineRule="auto"/>
        <w:tabs>
          <w:tab w:leader="none" w:pos="1084" w:val="left"/>
        </w:tabs>
        <w:numPr>
          <w:ilvl w:val="0"/>
          <w:numId w:val="37"/>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In consideration for the Company providing you with the Separation Benefits, to which you acknowledge you would not otherwise be entitled, you hereby release and forever waive any and all claims of any nature, whether known or unknown, which you have had, may now have, or may hereafter have, regarding any matter arising on or before the date you sign this Agreement, against the Company and each of the Company’s current and former parents, subsidiaries, divisions, affiliates, related entities, including but not limited to and the current and former officers, directors, shareholders, principals, employees, agents, insurers, representatives successors and assigns of all such entities, both individually and in their official capacities (collectively with the Company, the “Releasees”), from all causes of action, claims, damages, judgments or agreements of any kind including, but not limited to, all matters arising out of your employment with the Company and the termination thereof, claims for wages, compensation, separation pay or severance pay (other than as specifically set forth herein).</w:t>
      </w:r>
    </w:p>
    <w:p>
      <w:pPr>
        <w:spacing w:after="0" w:line="211" w:lineRule="exact"/>
        <w:rPr>
          <w:rFonts w:ascii="Times New Roman" w:cs="Times New Roman" w:eastAsia="Times New Roman" w:hAnsi="Times New Roman"/>
          <w:sz w:val="22"/>
          <w:szCs w:val="22"/>
          <w:color w:val="252525"/>
        </w:rPr>
      </w:pPr>
    </w:p>
    <w:p>
      <w:pPr>
        <w:jc w:val="both"/>
        <w:ind w:left="300" w:right="319" w:firstLine="316"/>
        <w:spacing w:after="0" w:line="243" w:lineRule="auto"/>
        <w:tabs>
          <w:tab w:leader="none" w:pos="1084" w:val="left"/>
        </w:tabs>
        <w:numPr>
          <w:ilvl w:val="0"/>
          <w:numId w:val="37"/>
        </w:numPr>
        <w:rPr>
          <w:rFonts w:ascii="Times New Roman" w:cs="Times New Roman" w:eastAsia="Times New Roman" w:hAnsi="Times New Roman"/>
          <w:sz w:val="21"/>
          <w:szCs w:val="21"/>
          <w:color w:val="252525"/>
        </w:rPr>
      </w:pPr>
      <w:r>
        <w:rPr>
          <w:rFonts w:ascii="Times New Roman" w:cs="Times New Roman" w:eastAsia="Times New Roman" w:hAnsi="Times New Roman"/>
          <w:sz w:val="21"/>
          <w:szCs w:val="21"/>
          <w:color w:val="252525"/>
        </w:rPr>
        <w:t xml:space="preserve">This release of claims includes, but is not limited to, alleged violations of any federal, state or local fair employment practices law, including as applicable, Title VII of the Civil Rights Act of 1964, as amended, the Civil Rights Act of 1866, the Civil Rights Act of 1991, the Equal Pay Act, the Rehabilitation Act of 1973, the Americans With Disabilities Act, as amended, the Family and Medical Leave Act, the Age Discrimination in Employment Act (including the Older Workers Benefit Protection Act), the Fair Labor Standards Act, the Employee Retirement Income Security Act (ERISA), the Workers’ Adjustment and Retraining Notification Act (WARN), the Fair Credit Reporting Act (FCRA), the National Labor Relations Act (NLRA), the Genetic Information Nondiscrimination Act (GINA), </w:t>
      </w:r>
      <w:r>
        <w:rPr>
          <w:rFonts w:ascii="Times New Roman" w:cs="Times New Roman" w:eastAsia="Times New Roman" w:hAnsi="Times New Roman"/>
          <w:sz w:val="21"/>
          <w:szCs w:val="21"/>
          <w:color w:val="000000"/>
        </w:rPr>
        <w:t>the Immigration Reform and Control Act</w:t>
      </w:r>
      <w:r>
        <w:rPr>
          <w:rFonts w:ascii="Times New Roman" w:cs="Times New Roman" w:eastAsia="Times New Roman" w:hAnsi="Times New Roman"/>
          <w:sz w:val="21"/>
          <w:szCs w:val="21"/>
          <w:color w:val="252525"/>
        </w:rPr>
        <w:t xml:space="preserve"> </w:t>
      </w:r>
      <w:r>
        <w:rPr>
          <w:rFonts w:ascii="Times New Roman" w:cs="Times New Roman" w:eastAsia="Times New Roman" w:hAnsi="Times New Roman"/>
          <w:sz w:val="21"/>
          <w:szCs w:val="21"/>
          <w:color w:val="000000"/>
        </w:rPr>
        <w:t>(ICRA), the Indiana Age Discrimination Act, the Indiana Employment Discrimination Against Disabled Persons Act (IEDDP), the Indiana Equal Pay Law (IEPL), the Indiana Occupational Safety and Health Act, the Indiana Bring Your Gun to Work Act, the Indiana Military Family Leave Act (IMFLA)</w:t>
      </w:r>
      <w:r>
        <w:rPr>
          <w:rFonts w:ascii="Times New Roman" w:cs="Times New Roman" w:eastAsia="Times New Roman" w:hAnsi="Times New Roman"/>
          <w:sz w:val="21"/>
          <w:szCs w:val="21"/>
          <w:color w:val="252525"/>
        </w:rPr>
        <w:t>, and any other federal, state or local law, regulation or ordinance, including</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252525"/>
        </w:rPr>
        <w:t>without limitation any claims, asserted benefits or rights arising by or under contract or implied contract, any alleged oral or written contract or agreement for employment or services, any claims arising by or under promissory estoppel, detrimental reliance, or under any asserted covenant of good faith and fair dealing, and any claims for defamation, fraud, fraudulent inducement, intentional infliction of emotional distress, or any other tortious conduct, including personal injury of any nature and arising from any source or condition or attorney’s fees and costs of any nature related to any such claim described in this paragraph, specifically excluding any claim for statutorily protected claims including, without limitation, post-employment benefits that may not be waived under applicable</w:t>
      </w:r>
    </w:p>
    <w:p>
      <w:pPr>
        <w:spacing w:after="0" w:line="292" w:lineRule="exact"/>
        <w:rPr>
          <w:sz w:val="20"/>
          <w:szCs w:val="20"/>
          <w:color w:val="auto"/>
        </w:rPr>
      </w:pPr>
    </w:p>
    <w:p>
      <w:pPr>
        <w:jc w:val="both"/>
        <w:ind w:left="300" w:right="319"/>
        <w:spacing w:after="0" w:line="239" w:lineRule="auto"/>
        <w:rPr>
          <w:sz w:val="20"/>
          <w:szCs w:val="20"/>
          <w:color w:val="auto"/>
        </w:rPr>
      </w:pPr>
      <w:r>
        <w:rPr>
          <w:rFonts w:ascii="Times New Roman" w:cs="Times New Roman" w:eastAsia="Times New Roman" w:hAnsi="Times New Roman"/>
          <w:sz w:val="22"/>
          <w:szCs w:val="22"/>
          <w:color w:val="252525"/>
        </w:rPr>
        <w:t>law, or claim to enforce your rights under this Agreement. Nothing herein shall impair your ability to participate in a claim or investigation by the Equal Employment Opportunity Commission or federal, state or local agency as required by law, although you hereby waive any right you may have to any recovery therefrom.</w:t>
      </w:r>
    </w:p>
    <w:p>
      <w:pPr>
        <w:spacing w:after="0" w:line="207" w:lineRule="exact"/>
        <w:rPr>
          <w:sz w:val="20"/>
          <w:szCs w:val="20"/>
          <w:color w:val="auto"/>
        </w:rPr>
      </w:pPr>
    </w:p>
    <w:p>
      <w:pPr>
        <w:jc w:val="both"/>
        <w:ind w:left="300" w:right="339" w:firstLine="316"/>
        <w:spacing w:after="0" w:line="244" w:lineRule="auto"/>
        <w:tabs>
          <w:tab w:leader="none" w:pos="1083" w:val="left"/>
        </w:tabs>
        <w:numPr>
          <w:ilvl w:val="0"/>
          <w:numId w:val="38"/>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Except as prohibited by applicable law, you hereby waive your right to participate in any capacity (including as a class member) in any class action involving the Company or any of the Releasees and hereby waive any right you may have to any recovery therefrom.</w:t>
      </w:r>
    </w:p>
    <w:p>
      <w:pPr>
        <w:spacing w:after="0" w:line="200" w:lineRule="exact"/>
        <w:rPr>
          <w:rFonts w:ascii="Times New Roman" w:cs="Times New Roman" w:eastAsia="Times New Roman" w:hAnsi="Times New Roman"/>
          <w:sz w:val="22"/>
          <w:szCs w:val="22"/>
          <w:color w:val="252525"/>
        </w:rPr>
      </w:pPr>
    </w:p>
    <w:p>
      <w:pPr>
        <w:spacing w:after="0" w:line="243" w:lineRule="exact"/>
        <w:rPr>
          <w:rFonts w:ascii="Times New Roman" w:cs="Times New Roman" w:eastAsia="Times New Roman" w:hAnsi="Times New Roman"/>
          <w:sz w:val="22"/>
          <w:szCs w:val="22"/>
          <w:color w:val="252525"/>
        </w:rPr>
      </w:pPr>
    </w:p>
    <w:p>
      <w:pPr>
        <w:jc w:val="both"/>
        <w:ind w:left="300" w:right="319" w:firstLine="316"/>
        <w:spacing w:after="0" w:line="251" w:lineRule="auto"/>
        <w:tabs>
          <w:tab w:leader="none" w:pos="1083" w:val="left"/>
        </w:tabs>
        <w:numPr>
          <w:ilvl w:val="0"/>
          <w:numId w:val="38"/>
        </w:numPr>
        <w:rPr>
          <w:rFonts w:ascii="Times New Roman" w:cs="Times New Roman" w:eastAsia="Times New Roman" w:hAnsi="Times New Roman"/>
          <w:sz w:val="21"/>
          <w:szCs w:val="21"/>
          <w:color w:val="252525"/>
        </w:rPr>
      </w:pPr>
      <w:r>
        <w:rPr>
          <w:rFonts w:ascii="Times New Roman" w:cs="Times New Roman" w:eastAsia="Times New Roman" w:hAnsi="Times New Roman"/>
          <w:sz w:val="21"/>
          <w:szCs w:val="21"/>
          <w:color w:val="252525"/>
        </w:rPr>
        <w:t>You represent that you have not: (i) suffered any workers compensable injury while employed by the Company up to and including the Separation Date; (ii) been denied any leave or benefits under any Company policy, family, medical or disability law; (iii) reported any alleged unethical or illegal conduct or activity to the Company or any of the Releasees and have no knowledge of any such conduct or activity; and/or (iv) been subjected to retaliation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197485</wp:posOffset>
            </wp:positionV>
            <wp:extent cx="703770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14"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22"/>
          <w:szCs w:val="22"/>
          <w:color w:val="252525"/>
        </w:rPr>
        <w:t>for reporting any allegations of wrongdoing by the Company or any of the Releasees.</w:t>
      </w:r>
    </w:p>
    <w:p>
      <w:pPr>
        <w:spacing w:after="0" w:line="233" w:lineRule="exact"/>
        <w:rPr>
          <w:sz w:val="20"/>
          <w:szCs w:val="20"/>
          <w:color w:val="auto"/>
        </w:rPr>
      </w:pPr>
    </w:p>
    <w:p>
      <w:pPr>
        <w:jc w:val="both"/>
        <w:ind w:left="300" w:right="339" w:firstLine="316"/>
        <w:spacing w:after="0" w:line="233" w:lineRule="auto"/>
        <w:tabs>
          <w:tab w:leader="none" w:pos="1083" w:val="left"/>
        </w:tabs>
        <w:numPr>
          <w:ilvl w:val="0"/>
          <w:numId w:val="39"/>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You further represent that you have not commenced, and will not, at any time after execution of this Agreement, commence any actions, lawsuits, claims, or other legal proceeding or file any charge or complaint with any federal, state, or local agency against the Releasees, relating to any matter arising prior to your execution of this Agreement, except as specifically authorized herein. By signing this Agreement, you are providing a complete waiver of all claims that may have arisen against the Releasees, whether known or unknown, up until the time that this Agreement is executed, and agree that this Agreement will constitute a complete bar to any such claim. If you breach this Agreement by filing a claim against the Company (or any Releasee), you agree that you may be required to return an amount equal to the Separation Payment and to pay all reasonable legal fees and costs incurred by the Company or the applicable Releasee to obtain the dismissal of any such claim, without altering or diminishing the effectiveness of the waiver and release provisions of the Agreement herein.</w:t>
      </w:r>
    </w:p>
    <w:p>
      <w:pPr>
        <w:spacing w:after="0" w:line="211" w:lineRule="exact"/>
        <w:rPr>
          <w:rFonts w:ascii="Times New Roman" w:cs="Times New Roman" w:eastAsia="Times New Roman" w:hAnsi="Times New Roman"/>
          <w:sz w:val="22"/>
          <w:szCs w:val="22"/>
          <w:color w:val="252525"/>
        </w:rPr>
      </w:pPr>
    </w:p>
    <w:p>
      <w:pPr>
        <w:jc w:val="both"/>
        <w:ind w:left="300" w:right="339" w:firstLine="316"/>
        <w:spacing w:after="0" w:line="239" w:lineRule="auto"/>
        <w:tabs>
          <w:tab w:leader="none" w:pos="1083" w:val="left"/>
        </w:tabs>
        <w:numPr>
          <w:ilvl w:val="0"/>
          <w:numId w:val="39"/>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In further consideration for the Company providing you with the Separation Benefits, to which you acknowledge you would not otherwise be entitled, you will execute a subsequent General Release of All Claims in favor of the Company and the Releasees on the Separation Date, if you sign this agreement prior thereto.</w:t>
      </w:r>
    </w:p>
    <w:p>
      <w:pPr>
        <w:spacing w:after="0" w:line="221" w:lineRule="exact"/>
        <w:rPr>
          <w:sz w:val="20"/>
          <w:szCs w:val="20"/>
          <w:color w:val="auto"/>
        </w:rPr>
      </w:pPr>
    </w:p>
    <w:p>
      <w:pPr>
        <w:jc w:val="both"/>
        <w:ind w:left="300" w:right="299" w:firstLine="316"/>
        <w:spacing w:after="0" w:line="233" w:lineRule="auto"/>
        <w:tabs>
          <w:tab w:leader="none" w:pos="1085" w:val="left"/>
        </w:tabs>
        <w:numPr>
          <w:ilvl w:val="0"/>
          <w:numId w:val="40"/>
        </w:numPr>
        <w:rPr>
          <w:rFonts w:ascii="Arial" w:cs="Arial" w:eastAsia="Arial" w:hAnsi="Arial"/>
          <w:sz w:val="22"/>
          <w:szCs w:val="22"/>
          <w:b w:val="1"/>
          <w:bCs w:val="1"/>
          <w:color w:val="252525"/>
        </w:rPr>
      </w:pPr>
      <w:r>
        <w:rPr>
          <w:rFonts w:ascii="Times New Roman" w:cs="Times New Roman" w:eastAsia="Times New Roman" w:hAnsi="Times New Roman"/>
          <w:sz w:val="22"/>
          <w:szCs w:val="22"/>
          <w:color w:val="252525"/>
        </w:rPr>
        <w:t>Notwithstanding anything to the contrary in this Agreement, nothing herein is intended to prevent you from (a) filing a charge with, reporting possible violations of federal law or regulation to, participating in any investigation by, or cooperating with the U.S. Securities and Exchange Commission (“SEC”), the Financial Industry Regulatory Authority (“FINRA”), the Equal Employment Opportunity Commission (EEOC), the National Labor Relations Board (“NLRB”), the Occupational Safety and Health Administration (OSHA), the U.S. Commodity Futures Trading Commission (CFTC), the U.S. Department of Justice or any other securities regulatory agency, self-regulatory authority or federal, state or local regulatory authority (collectively, “Government Agencies”), or making other disclosures that are protected under the whistleblower provisions of applicable law or regulation, (b) communicating directly with, cooperating with, or providing information (including trade secrets) in confidence to any Government Agencies for the purpose of reporting or investigating a suspected violation of law, or from providing such information to</w:t>
      </w:r>
    </w:p>
    <w:p>
      <w:pPr>
        <w:spacing w:after="0" w:line="33"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1"/>
          <w:szCs w:val="21"/>
          <w:color w:val="252525"/>
        </w:rPr>
        <w:t>your attorney or in a sealed complaint or other document filed in a lawsuit or other governmental proceeding, and/or (c) receiving an award for information provided to any Government Agency. Pursuant to 18 USC Section 1833(b), you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provided that this Agreement does not limit your right to receive an award (including a monetary reward) for information provided to the SEC. You do not need the prior authorization of anyone at the Company to make any such reports or disclosures, and you are not required to notify the Company that you have made such reports or disclosures.</w:t>
      </w:r>
    </w:p>
    <w:p>
      <w:pPr>
        <w:spacing w:after="0" w:line="200" w:lineRule="exact"/>
        <w:rPr>
          <w:sz w:val="20"/>
          <w:szCs w:val="20"/>
          <w:color w:val="auto"/>
        </w:rPr>
      </w:pPr>
    </w:p>
    <w:p>
      <w:pPr>
        <w:spacing w:after="0" w:line="324" w:lineRule="exact"/>
        <w:rPr>
          <w:sz w:val="20"/>
          <w:szCs w:val="20"/>
          <w:color w:val="auto"/>
        </w:rPr>
      </w:pPr>
    </w:p>
    <w:p>
      <w:pPr>
        <w:ind w:left="940" w:hanging="324"/>
        <w:spacing w:after="0"/>
        <w:tabs>
          <w:tab w:leader="none" w:pos="940" w:val="left"/>
        </w:tabs>
        <w:numPr>
          <w:ilvl w:val="0"/>
          <w:numId w:val="41"/>
        </w:numPr>
        <w:rPr>
          <w:rFonts w:ascii="Arial" w:cs="Arial" w:eastAsia="Arial" w:hAnsi="Arial"/>
          <w:sz w:val="22"/>
          <w:szCs w:val="22"/>
          <w:b w:val="1"/>
          <w:bCs w:val="1"/>
          <w:color w:val="252525"/>
        </w:rPr>
      </w:pPr>
      <w:r>
        <w:rPr>
          <w:rFonts w:ascii="Times New Roman" w:cs="Times New Roman" w:eastAsia="Times New Roman" w:hAnsi="Times New Roman"/>
          <w:sz w:val="22"/>
          <w:szCs w:val="22"/>
          <w:b w:val="1"/>
          <w:bCs w:val="1"/>
          <w:color w:val="252525"/>
        </w:rPr>
        <w:t>Return of Property; Confidential Information</w:t>
      </w:r>
      <w:r>
        <w:rPr>
          <w:rFonts w:ascii="Times New Roman" w:cs="Times New Roman" w:eastAsia="Times New Roman" w:hAnsi="Times New Roman"/>
          <w:sz w:val="22"/>
          <w:szCs w:val="22"/>
          <w:color w:val="252525"/>
        </w:rPr>
        <w:t>.</w:t>
      </w:r>
    </w:p>
    <w:p>
      <w:pPr>
        <w:spacing w:after="0" w:line="236" w:lineRule="exact"/>
        <w:rPr>
          <w:sz w:val="20"/>
          <w:szCs w:val="20"/>
          <w:color w:val="auto"/>
        </w:rPr>
      </w:pPr>
    </w:p>
    <w:p>
      <w:pPr>
        <w:jc w:val="both"/>
        <w:ind w:left="300" w:right="319" w:firstLine="316"/>
        <w:spacing w:after="0" w:line="261" w:lineRule="auto"/>
        <w:tabs>
          <w:tab w:leader="none" w:pos="1083" w:val="left"/>
        </w:tabs>
        <w:numPr>
          <w:ilvl w:val="0"/>
          <w:numId w:val="42"/>
        </w:numPr>
        <w:rPr>
          <w:rFonts w:ascii="Times New Roman" w:cs="Times New Roman" w:eastAsia="Times New Roman" w:hAnsi="Times New Roman"/>
          <w:sz w:val="21"/>
          <w:szCs w:val="21"/>
          <w:color w:val="252525"/>
        </w:rPr>
      </w:pPr>
      <w:r>
        <w:rPr>
          <w:rFonts w:ascii="Times New Roman" w:cs="Times New Roman" w:eastAsia="Times New Roman" w:hAnsi="Times New Roman"/>
          <w:sz w:val="21"/>
          <w:szCs w:val="21"/>
          <w:color w:val="252525"/>
        </w:rPr>
        <w:t>You acknowledge that you have returned (or immediately shall return) to the Company all Company property in your possession or under your control, including, but not limited to, identification cards, records, documents or files (in whatever form, including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190500</wp:posOffset>
            </wp:positionV>
            <wp:extent cx="703770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14"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22"/>
          <w:szCs w:val="22"/>
          <w:color w:val="252525"/>
        </w:rPr>
        <w:t>concerning the Company, its employees, agents, contractors, customers, suppliers and vendors.</w:t>
      </w:r>
    </w:p>
    <w:p>
      <w:pPr>
        <w:spacing w:after="0" w:line="233" w:lineRule="exact"/>
        <w:rPr>
          <w:sz w:val="20"/>
          <w:szCs w:val="20"/>
          <w:color w:val="auto"/>
        </w:rPr>
      </w:pPr>
    </w:p>
    <w:p>
      <w:pPr>
        <w:jc w:val="both"/>
        <w:ind w:left="300" w:right="319" w:firstLine="316"/>
        <w:spacing w:after="0" w:line="234" w:lineRule="auto"/>
        <w:tabs>
          <w:tab w:leader="none" w:pos="1084" w:val="left"/>
        </w:tabs>
        <w:numPr>
          <w:ilvl w:val="0"/>
          <w:numId w:val="43"/>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You agree to keep all information concerning the Company and any of the Releasees, specifically including, but not limited to, any personal or business information concerning the Company, its employees, agents, contractors, suppliers, customers and vendors or other proprietary information or trade secret of the Company and any of the Releasees, other than information which is or becomes generally available to the public (except for information that is or becomes public through your breach of this Agreement) or was disclosed to you by a third party who was under no obligation to the Company to maintain its confidentiality, strictly confidential and shall not disclose or cause or permit to be disclosed any Confidential Information to any person, party or other entity, other than as you may be compelled to disclose by law or formal legal process.</w:t>
      </w:r>
    </w:p>
    <w:p>
      <w:pPr>
        <w:spacing w:after="0" w:line="202" w:lineRule="exact"/>
        <w:rPr>
          <w:sz w:val="20"/>
          <w:szCs w:val="20"/>
          <w:color w:val="auto"/>
        </w:rPr>
      </w:pPr>
    </w:p>
    <w:p>
      <w:pPr>
        <w:jc w:val="both"/>
        <w:ind w:left="300" w:right="299" w:firstLine="316"/>
        <w:spacing w:after="0" w:line="233" w:lineRule="auto"/>
        <w:tabs>
          <w:tab w:leader="none" w:pos="1085" w:val="left"/>
        </w:tabs>
        <w:numPr>
          <w:ilvl w:val="0"/>
          <w:numId w:val="44"/>
        </w:numPr>
        <w:rPr>
          <w:rFonts w:ascii="Arial" w:cs="Arial" w:eastAsia="Arial" w:hAnsi="Arial"/>
          <w:sz w:val="22"/>
          <w:szCs w:val="22"/>
          <w:b w:val="1"/>
          <w:bCs w:val="1"/>
          <w:color w:val="252525"/>
        </w:rPr>
      </w:pPr>
      <w:r>
        <w:rPr>
          <w:rFonts w:ascii="Times New Roman" w:cs="Times New Roman" w:eastAsia="Times New Roman" w:hAnsi="Times New Roman"/>
          <w:sz w:val="22"/>
          <w:szCs w:val="22"/>
          <w:b w:val="1"/>
          <w:bCs w:val="1"/>
          <w:color w:val="252525"/>
        </w:rPr>
        <w:t xml:space="preserve">Non-Disparagement/External Communications. </w:t>
      </w:r>
      <w:r>
        <w:rPr>
          <w:rFonts w:ascii="Times New Roman" w:cs="Times New Roman" w:eastAsia="Times New Roman" w:hAnsi="Times New Roman"/>
          <w:sz w:val="22"/>
          <w:szCs w:val="22"/>
          <w:color w:val="252525"/>
        </w:rPr>
        <w:t>You shall not disparage the</w:t>
      </w:r>
      <w:r>
        <w:rPr>
          <w:rFonts w:ascii="Times New Roman" w:cs="Times New Roman" w:eastAsia="Times New Roman" w:hAnsi="Times New Roman"/>
          <w:sz w:val="22"/>
          <w:szCs w:val="22"/>
          <w:b w:val="1"/>
          <w:bCs w:val="1"/>
          <w:color w:val="252525"/>
        </w:rPr>
        <w:t xml:space="preserve"> </w:t>
      </w:r>
      <w:r>
        <w:rPr>
          <w:rFonts w:ascii="Times New Roman" w:cs="Times New Roman" w:eastAsia="Times New Roman" w:hAnsi="Times New Roman"/>
          <w:sz w:val="22"/>
          <w:szCs w:val="22"/>
          <w:color w:val="252525"/>
        </w:rPr>
        <w:t>Company or any of the Releasees nor shall you take any action that would cause any third party to do so, including without limitation making, or causing to be made, derogatory or disparaging statements (whether verbal or written) to anyone concerning the Company’s or any of the Releasees’ reputation, financial status, personal or business information or relationships, provided that the foregoing does not prevent you from testifying truthfully under oath pursuant to a lawful court order, deposition notice or subpoena or otherwise providing disclosures as required by law. The Company shall direct its employees to not disparage you or take any action that would cause any third party to do so, including without limitation making, or causing to be made, derogatory or disparaging statements (whether verbal or written) to anyone concerning your reputation, provided that the foregoing does not prevent them from testifying truthfully under oath pursuant to a lawful court order, deposition notice or subpoena or otherwise providing disclosures as required by law.</w:t>
      </w:r>
    </w:p>
    <w:p>
      <w:pPr>
        <w:spacing w:after="0" w:line="208" w:lineRule="exact"/>
        <w:rPr>
          <w:rFonts w:ascii="Arial" w:cs="Arial" w:eastAsia="Arial" w:hAnsi="Arial"/>
          <w:sz w:val="22"/>
          <w:szCs w:val="22"/>
          <w:b w:val="1"/>
          <w:bCs w:val="1"/>
          <w:color w:val="252525"/>
        </w:rPr>
      </w:pPr>
    </w:p>
    <w:p>
      <w:pPr>
        <w:jc w:val="both"/>
        <w:ind w:left="300" w:right="299" w:firstLine="316"/>
        <w:spacing w:after="0" w:line="245" w:lineRule="auto"/>
        <w:tabs>
          <w:tab w:leader="none" w:pos="1085" w:val="left"/>
        </w:tabs>
        <w:numPr>
          <w:ilvl w:val="0"/>
          <w:numId w:val="44"/>
        </w:numPr>
        <w:rPr>
          <w:rFonts w:ascii="Arial" w:cs="Arial" w:eastAsia="Arial" w:hAnsi="Arial"/>
          <w:sz w:val="22"/>
          <w:szCs w:val="22"/>
          <w:b w:val="1"/>
          <w:bCs w:val="1"/>
          <w:color w:val="252525"/>
        </w:rPr>
      </w:pPr>
      <w:r>
        <w:rPr>
          <w:rFonts w:ascii="Times New Roman" w:cs="Times New Roman" w:eastAsia="Times New Roman" w:hAnsi="Times New Roman"/>
          <w:sz w:val="22"/>
          <w:szCs w:val="22"/>
          <w:b w:val="1"/>
          <w:bCs w:val="1"/>
          <w:color w:val="252525"/>
        </w:rPr>
        <w:t xml:space="preserve">No Admission. </w:t>
      </w:r>
      <w:r>
        <w:rPr>
          <w:rFonts w:ascii="Times New Roman" w:cs="Times New Roman" w:eastAsia="Times New Roman" w:hAnsi="Times New Roman"/>
          <w:sz w:val="22"/>
          <w:szCs w:val="22"/>
          <w:color w:val="252525"/>
        </w:rPr>
        <w:t>You acknowledge the Company’s offer of, and payment to you of, the</w:t>
      </w:r>
      <w:r>
        <w:rPr>
          <w:rFonts w:ascii="Times New Roman" w:cs="Times New Roman" w:eastAsia="Times New Roman" w:hAnsi="Times New Roman"/>
          <w:sz w:val="22"/>
          <w:szCs w:val="22"/>
          <w:b w:val="1"/>
          <w:bCs w:val="1"/>
          <w:color w:val="252525"/>
        </w:rPr>
        <w:t xml:space="preserve"> </w:t>
      </w:r>
      <w:r>
        <w:rPr>
          <w:rFonts w:ascii="Times New Roman" w:cs="Times New Roman" w:eastAsia="Times New Roman" w:hAnsi="Times New Roman"/>
          <w:sz w:val="22"/>
          <w:szCs w:val="22"/>
          <w:color w:val="252525"/>
        </w:rPr>
        <w:t>Separation Payment does not constitute an admission by the Company that it has violated any law</w:t>
      </w:r>
    </w:p>
    <w:p>
      <w:pPr>
        <w:spacing w:after="0" w:line="38"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22"/>
          <w:szCs w:val="22"/>
          <w:color w:val="252525"/>
        </w:rPr>
        <w:t>or legal obligation with respect to you and/or any aspect of your employment with the Company or resignation therefrom.</w:t>
      </w:r>
    </w:p>
    <w:p>
      <w:pPr>
        <w:spacing w:after="0" w:line="181" w:lineRule="exact"/>
        <w:rPr>
          <w:sz w:val="20"/>
          <w:szCs w:val="20"/>
          <w:color w:val="auto"/>
        </w:rPr>
      </w:pPr>
    </w:p>
    <w:p>
      <w:pPr>
        <w:ind w:left="940" w:hanging="324"/>
        <w:spacing w:after="0"/>
        <w:tabs>
          <w:tab w:leader="none" w:pos="940" w:val="left"/>
        </w:tabs>
        <w:numPr>
          <w:ilvl w:val="0"/>
          <w:numId w:val="45"/>
        </w:numPr>
        <w:rPr>
          <w:rFonts w:ascii="Arial" w:cs="Arial" w:eastAsia="Arial" w:hAnsi="Arial"/>
          <w:sz w:val="22"/>
          <w:szCs w:val="22"/>
          <w:b w:val="1"/>
          <w:bCs w:val="1"/>
          <w:color w:val="252525"/>
        </w:rPr>
      </w:pPr>
      <w:r>
        <w:rPr>
          <w:rFonts w:ascii="Times New Roman" w:cs="Times New Roman" w:eastAsia="Times New Roman" w:hAnsi="Times New Roman"/>
          <w:sz w:val="22"/>
          <w:szCs w:val="22"/>
          <w:b w:val="1"/>
          <w:bCs w:val="1"/>
          <w:color w:val="252525"/>
        </w:rPr>
        <w:t>Breach of this Agreement; Remedies.</w:t>
      </w:r>
    </w:p>
    <w:p>
      <w:pPr>
        <w:spacing w:after="0" w:line="236" w:lineRule="exact"/>
        <w:rPr>
          <w:sz w:val="20"/>
          <w:szCs w:val="20"/>
          <w:color w:val="auto"/>
        </w:rPr>
      </w:pPr>
    </w:p>
    <w:p>
      <w:pPr>
        <w:jc w:val="both"/>
        <w:ind w:left="300" w:right="319" w:firstLine="316"/>
        <w:spacing w:after="0" w:line="235" w:lineRule="auto"/>
        <w:tabs>
          <w:tab w:leader="none" w:pos="1084" w:val="left"/>
        </w:tabs>
        <w:numPr>
          <w:ilvl w:val="0"/>
          <w:numId w:val="46"/>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You acknowledge that the Company will suffer irreparable injury in the event of a material breach or threatened material breach by you of any of the covenants contained in this Agreement, and that money damages would not afford an adequate remedy. You, therefore, consent and agree that the Company shall be entitled to a temporary or permanent injunction or other equitable relief to restrain such breach or threatened breach from any court of competent jurisdiction, without the necessity of showing any actual damages, and without the necessity of posting any bond or other security. Any equitable relief shall be in addition to, not instead of, legal remedies, monetary damages, or other available relief.</w:t>
      </w:r>
    </w:p>
    <w:p>
      <w:pPr>
        <w:spacing w:after="0" w:line="200" w:lineRule="exact"/>
        <w:rPr>
          <w:rFonts w:ascii="Times New Roman" w:cs="Times New Roman" w:eastAsia="Times New Roman" w:hAnsi="Times New Roman"/>
          <w:sz w:val="22"/>
          <w:szCs w:val="22"/>
          <w:color w:val="252525"/>
        </w:rPr>
      </w:pPr>
    </w:p>
    <w:p>
      <w:pPr>
        <w:spacing w:after="0" w:line="200" w:lineRule="exact"/>
        <w:rPr>
          <w:rFonts w:ascii="Times New Roman" w:cs="Times New Roman" w:eastAsia="Times New Roman" w:hAnsi="Times New Roman"/>
          <w:sz w:val="22"/>
          <w:szCs w:val="22"/>
          <w:color w:val="252525"/>
        </w:rPr>
      </w:pPr>
    </w:p>
    <w:p>
      <w:pPr>
        <w:spacing w:after="0" w:line="291" w:lineRule="exact"/>
        <w:rPr>
          <w:rFonts w:ascii="Times New Roman" w:cs="Times New Roman" w:eastAsia="Times New Roman" w:hAnsi="Times New Roman"/>
          <w:sz w:val="22"/>
          <w:szCs w:val="22"/>
          <w:color w:val="252525"/>
        </w:rPr>
      </w:pPr>
    </w:p>
    <w:p>
      <w:pPr>
        <w:jc w:val="both"/>
        <w:ind w:left="300" w:right="339" w:firstLine="316"/>
        <w:spacing w:after="0" w:line="238" w:lineRule="auto"/>
        <w:tabs>
          <w:tab w:leader="none" w:pos="1083" w:val="left"/>
        </w:tabs>
        <w:numPr>
          <w:ilvl w:val="0"/>
          <w:numId w:val="46"/>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In the event the Company determines any of the requisite representations contained within this Agreement cannot be truthfully provided by you (i.e., you disparaged the Company or any of the Releasees) prior to the Effective Date, the Company may, in its sole discretion, void the Agreement so that it has no force and effect, and you shall have no right to receive, and the Company shall have no obligation to provide you with the Separation Payment.</w:t>
      </w:r>
    </w:p>
    <w:p>
      <w:pPr>
        <w:spacing w:after="0" w:line="203" w:lineRule="exact"/>
        <w:rPr>
          <w:rFonts w:ascii="Times New Roman" w:cs="Times New Roman" w:eastAsia="Times New Roman" w:hAnsi="Times New Roman"/>
          <w:sz w:val="22"/>
          <w:szCs w:val="22"/>
          <w:color w:val="252525"/>
        </w:rPr>
      </w:pPr>
    </w:p>
    <w:p>
      <w:pPr>
        <w:ind w:left="1080" w:hanging="464"/>
        <w:spacing w:after="0"/>
        <w:tabs>
          <w:tab w:leader="none" w:pos="1080" w:val="left"/>
        </w:tabs>
        <w:numPr>
          <w:ilvl w:val="0"/>
          <w:numId w:val="46"/>
        </w:numPr>
        <w:rPr>
          <w:rFonts w:ascii="Times New Roman" w:cs="Times New Roman" w:eastAsia="Times New Roman" w:hAnsi="Times New Roman"/>
          <w:sz w:val="21"/>
          <w:szCs w:val="21"/>
          <w:color w:val="252525"/>
        </w:rPr>
      </w:pPr>
      <w:r>
        <w:rPr>
          <w:rFonts w:ascii="Times New Roman" w:cs="Times New Roman" w:eastAsia="Times New Roman" w:hAnsi="Times New Roman"/>
          <w:sz w:val="21"/>
          <w:szCs w:val="21"/>
          <w:color w:val="252525"/>
        </w:rPr>
        <w:t>In the event of a material breach by you of any of the provisions of this Agreement,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228600</wp:posOffset>
            </wp:positionV>
            <wp:extent cx="703770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14" w:right="1440" w:bottom="1440" w:gutter="0" w:footer="0" w:header="0"/>
        </w:sectPr>
      </w:pPr>
    </w:p>
    <w:bookmarkStart w:id="97" w:name="page98"/>
    <w:bookmarkEnd w:id="97"/>
    <w:p>
      <w:pPr>
        <w:jc w:val="both"/>
        <w:ind w:left="300" w:right="339"/>
        <w:spacing w:after="0" w:line="244" w:lineRule="auto"/>
        <w:rPr>
          <w:sz w:val="20"/>
          <w:szCs w:val="20"/>
          <w:color w:val="auto"/>
        </w:rPr>
      </w:pPr>
      <w:r>
        <w:rPr>
          <w:rFonts w:ascii="Times New Roman" w:cs="Times New Roman" w:eastAsia="Times New Roman" w:hAnsi="Times New Roman"/>
          <w:sz w:val="22"/>
          <w:szCs w:val="22"/>
          <w:color w:val="252525"/>
        </w:rPr>
        <w:t xml:space="preserve">hereby acknowledge and agree that the Company shall be entitled, in addition to other available remedies, the sum of </w:t>
      </w:r>
      <w:r>
        <w:rPr>
          <w:rFonts w:ascii="Times New Roman" w:cs="Times New Roman" w:eastAsia="Times New Roman" w:hAnsi="Times New Roman"/>
          <w:sz w:val="22"/>
          <w:szCs w:val="22"/>
          <w:color w:val="000000"/>
        </w:rPr>
        <w:t>$500.00</w:t>
      </w:r>
      <w:r>
        <w:rPr>
          <w:rFonts w:ascii="Times New Roman" w:cs="Times New Roman" w:eastAsia="Times New Roman" w:hAnsi="Times New Roman"/>
          <w:sz w:val="22"/>
          <w:szCs w:val="22"/>
          <w:color w:val="252525"/>
        </w:rPr>
        <w:t xml:space="preserve"> (the “Liquidated Damages”) without waiving the releases you provided in this Agreement.</w:t>
      </w:r>
    </w:p>
    <w:p>
      <w:pPr>
        <w:spacing w:after="0" w:line="200" w:lineRule="exact"/>
        <w:rPr>
          <w:sz w:val="20"/>
          <w:szCs w:val="20"/>
          <w:color w:val="auto"/>
        </w:rPr>
      </w:pPr>
    </w:p>
    <w:p>
      <w:pPr>
        <w:jc w:val="both"/>
        <w:ind w:left="300" w:right="339" w:firstLine="316"/>
        <w:spacing w:after="0" w:line="238" w:lineRule="auto"/>
        <w:tabs>
          <w:tab w:leader="none" w:pos="1083" w:val="left"/>
        </w:tabs>
        <w:numPr>
          <w:ilvl w:val="0"/>
          <w:numId w:val="47"/>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In addition to any other available remedies, in the event of a material breach or threatened material breach by you of any of the covenants contained in this Agreement, the Company shall further be entitled to recover the reasonable costs and attorney’s fees incurred in seeking relief for any such breach, without diminishing the effectiveness of the waiver and release provisions of the Agreement herein.</w:t>
      </w:r>
    </w:p>
    <w:p>
      <w:pPr>
        <w:spacing w:after="0" w:line="213" w:lineRule="exact"/>
        <w:rPr>
          <w:sz w:val="20"/>
          <w:szCs w:val="20"/>
          <w:color w:val="auto"/>
        </w:rPr>
      </w:pPr>
    </w:p>
    <w:p>
      <w:pPr>
        <w:ind w:left="940" w:hanging="324"/>
        <w:spacing w:after="0"/>
        <w:tabs>
          <w:tab w:leader="none" w:pos="940" w:val="left"/>
        </w:tabs>
        <w:numPr>
          <w:ilvl w:val="0"/>
          <w:numId w:val="48"/>
        </w:numPr>
        <w:rPr>
          <w:rFonts w:ascii="Arial" w:cs="Arial" w:eastAsia="Arial" w:hAnsi="Arial"/>
          <w:sz w:val="22"/>
          <w:szCs w:val="22"/>
          <w:b w:val="1"/>
          <w:bCs w:val="1"/>
          <w:color w:val="252525"/>
        </w:rPr>
      </w:pPr>
      <w:r>
        <w:rPr>
          <w:rFonts w:ascii="Times New Roman" w:cs="Times New Roman" w:eastAsia="Times New Roman" w:hAnsi="Times New Roman"/>
          <w:sz w:val="22"/>
          <w:szCs w:val="22"/>
          <w:b w:val="1"/>
          <w:bCs w:val="1"/>
          <w:color w:val="252525"/>
        </w:rPr>
        <w:t>Time to Consider and Revocation Period.</w:t>
      </w:r>
    </w:p>
    <w:p>
      <w:pPr>
        <w:spacing w:after="0" w:line="236" w:lineRule="exact"/>
        <w:rPr>
          <w:sz w:val="20"/>
          <w:szCs w:val="20"/>
          <w:color w:val="auto"/>
        </w:rPr>
      </w:pPr>
    </w:p>
    <w:p>
      <w:pPr>
        <w:jc w:val="both"/>
        <w:ind w:left="300" w:right="339" w:firstLine="316"/>
        <w:spacing w:after="0" w:line="236" w:lineRule="auto"/>
        <w:tabs>
          <w:tab w:leader="none" w:pos="1083" w:val="left"/>
        </w:tabs>
        <w:numPr>
          <w:ilvl w:val="1"/>
          <w:numId w:val="49"/>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Since your execution of this Agreement releases the Company and the Releasees from all claims you may have, you should review this Agreement carefully before signing it. You expressly acknowledge you are not entitled to, and will not seek, attorneys’ fees in connection with any issue arising out of your employment with, or termination of employment, with the Company or any of the Releasees, or in connection with the negotiation or execution of this Agreement. You further expressly acknowledge you are not in any manner a prevailing party.</w:t>
      </w:r>
    </w:p>
    <w:p>
      <w:pPr>
        <w:spacing w:after="0" w:line="208" w:lineRule="exact"/>
        <w:rPr>
          <w:rFonts w:ascii="Times New Roman" w:cs="Times New Roman" w:eastAsia="Times New Roman" w:hAnsi="Times New Roman"/>
          <w:sz w:val="22"/>
          <w:szCs w:val="22"/>
          <w:color w:val="252525"/>
        </w:rPr>
      </w:pPr>
    </w:p>
    <w:p>
      <w:pPr>
        <w:jc w:val="both"/>
        <w:ind w:left="300" w:right="339" w:firstLine="316"/>
        <w:spacing w:after="0" w:line="238" w:lineRule="auto"/>
        <w:tabs>
          <w:tab w:leader="none" w:pos="1083" w:val="left"/>
        </w:tabs>
        <w:numPr>
          <w:ilvl w:val="1"/>
          <w:numId w:val="49"/>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You acknowledge that you have been given up to twenty-one (21) days from your receipt of this Agreement to consider its meaning and effect and to decide whether you wish to agree to it and sign it. If you choose to sign and return this Agreement sooner than twenty-one</w:t>
      </w:r>
    </w:p>
    <w:p>
      <w:pPr>
        <w:ind w:left="300" w:right="339" w:hanging="8"/>
        <w:spacing w:after="0" w:line="237" w:lineRule="auto"/>
        <w:tabs>
          <w:tab w:leader="none" w:pos="738" w:val="left"/>
        </w:tabs>
        <w:numPr>
          <w:ilvl w:val="0"/>
          <w:numId w:val="50"/>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days after the date you received it on May 14, 2024, you will have waived your right to consider it for the full twenty-one (21) day period.</w:t>
      </w:r>
    </w:p>
    <w:p>
      <w:pPr>
        <w:spacing w:after="0" w:line="43" w:lineRule="exact"/>
        <w:rPr>
          <w:sz w:val="20"/>
          <w:szCs w:val="20"/>
          <w:color w:val="auto"/>
        </w:rPr>
      </w:pPr>
    </w:p>
    <w:p>
      <w:pPr>
        <w:jc w:val="both"/>
        <w:ind w:left="300" w:right="319" w:firstLine="647"/>
        <w:spacing w:after="0" w:line="233" w:lineRule="auto"/>
        <w:rPr>
          <w:sz w:val="20"/>
          <w:szCs w:val="20"/>
          <w:color w:val="auto"/>
        </w:rPr>
      </w:pPr>
      <w:r>
        <w:rPr>
          <w:rFonts w:ascii="Times New Roman" w:cs="Times New Roman" w:eastAsia="Times New Roman" w:hAnsi="Times New Roman"/>
          <w:sz w:val="22"/>
          <w:szCs w:val="22"/>
          <w:color w:val="252525"/>
        </w:rPr>
        <w:t xml:space="preserve">To be eligible to receive your Separation Benefits pursuant to this Agreement, you must date, sign and return an original Agreement to the Company, attention John Reilly, on or before </w:t>
      </w:r>
      <w:r>
        <w:rPr>
          <w:rFonts w:ascii="Times New Roman" w:cs="Times New Roman" w:eastAsia="Times New Roman" w:hAnsi="Times New Roman"/>
          <w:sz w:val="22"/>
          <w:szCs w:val="22"/>
          <w:b w:val="1"/>
          <w:bCs w:val="1"/>
          <w:color w:val="252525"/>
        </w:rPr>
        <w:t>June 4, 2024</w:t>
      </w:r>
      <w:r>
        <w:rPr>
          <w:rFonts w:ascii="Times New Roman" w:cs="Times New Roman" w:eastAsia="Times New Roman" w:hAnsi="Times New Roman"/>
          <w:sz w:val="22"/>
          <w:szCs w:val="22"/>
          <w:color w:val="252525"/>
        </w:rPr>
        <w:t>. Once you have signed this Agreement, you may revoke your execution within</w:t>
      </w:r>
      <w:r>
        <w:rPr>
          <w:rFonts w:ascii="Times New Roman" w:cs="Times New Roman" w:eastAsia="Times New Roman" w:hAnsi="Times New Roman"/>
          <w:sz w:val="22"/>
          <w:szCs w:val="22"/>
          <w:b w:val="1"/>
          <w:bCs w:val="1"/>
          <w:color w:val="252525"/>
        </w:rPr>
        <w:t xml:space="preserve"> </w:t>
      </w:r>
      <w:r>
        <w:rPr>
          <w:rFonts w:ascii="Times New Roman" w:cs="Times New Roman" w:eastAsia="Times New Roman" w:hAnsi="Times New Roman"/>
          <w:sz w:val="22"/>
          <w:szCs w:val="22"/>
          <w:color w:val="252525"/>
        </w:rPr>
        <w:t xml:space="preserve">seven (7) days, and this Agreement shall not become effective or enforceable until the expiration of such revocation period without you having effectively revoked the Agreement pursuant to and in accordance with this paragraph. Any revocation of this Agreement must be in writing and emailed and mailed to the Company, attention John Reilly no later than the close of business on the seventh day following your execution of the Agreement. </w:t>
      </w:r>
      <w:r>
        <w:rPr>
          <w:rFonts w:ascii="Times New Roman" w:cs="Times New Roman" w:eastAsia="Times New Roman" w:hAnsi="Times New Roman"/>
          <w:sz w:val="22"/>
          <w:szCs w:val="22"/>
          <w:b w:val="1"/>
          <w:bCs w:val="1"/>
          <w:color w:val="252525"/>
        </w:rPr>
        <w:t>You acknowledge that if you do</w:t>
      </w:r>
      <w:r>
        <w:rPr>
          <w:rFonts w:ascii="Times New Roman" w:cs="Times New Roman" w:eastAsia="Times New Roman" w:hAnsi="Times New Roman"/>
          <w:sz w:val="22"/>
          <w:szCs w:val="22"/>
          <w:color w:val="252525"/>
        </w:rPr>
        <w:t xml:space="preserve"> </w:t>
      </w:r>
      <w:r>
        <w:rPr>
          <w:rFonts w:ascii="Times New Roman" w:cs="Times New Roman" w:eastAsia="Times New Roman" w:hAnsi="Times New Roman"/>
          <w:sz w:val="22"/>
          <w:szCs w:val="22"/>
          <w:b w:val="1"/>
          <w:bCs w:val="1"/>
          <w:color w:val="252525"/>
        </w:rPr>
        <w:t>not sign and return this Agreement to the Company, it shall be of no force and effect and you shall have no right to receive, and the Company shall have no obligation to provide you with, any portion of the Separation Benefits. If you sign, return and do not revoke this Agreement pursuant to and in accordance with this paragraph, it shall be effective and enforceable as of the expiration of the revocation period described in this paragraph (the “Release Effective Date”)</w:t>
      </w:r>
      <w:r>
        <w:rPr>
          <w:rFonts w:ascii="Times New Roman" w:cs="Times New Roman" w:eastAsia="Times New Roman" w:hAnsi="Times New Roman"/>
          <w:sz w:val="22"/>
          <w:szCs w:val="22"/>
          <w:color w:val="25252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341630</wp:posOffset>
            </wp:positionV>
            <wp:extent cx="703770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14" w:right="1440" w:bottom="1440" w:gutter="0" w:footer="0" w:header="0"/>
        </w:sectPr>
      </w:pPr>
    </w:p>
    <w:bookmarkStart w:id="98" w:name="page99"/>
    <w:bookmarkEnd w:id="98"/>
    <w:p>
      <w:pPr>
        <w:ind w:left="940" w:hanging="324"/>
        <w:spacing w:after="0"/>
        <w:tabs>
          <w:tab w:leader="none" w:pos="940" w:val="left"/>
        </w:tabs>
        <w:numPr>
          <w:ilvl w:val="0"/>
          <w:numId w:val="51"/>
        </w:numPr>
        <w:rPr>
          <w:rFonts w:ascii="Arial" w:cs="Arial" w:eastAsia="Arial" w:hAnsi="Arial"/>
          <w:sz w:val="22"/>
          <w:szCs w:val="22"/>
          <w:b w:val="1"/>
          <w:bCs w:val="1"/>
          <w:color w:val="252525"/>
        </w:rPr>
      </w:pPr>
      <w:r>
        <w:rPr>
          <w:rFonts w:ascii="Times New Roman" w:cs="Times New Roman" w:eastAsia="Times New Roman" w:hAnsi="Times New Roman"/>
          <w:sz w:val="22"/>
          <w:szCs w:val="22"/>
          <w:b w:val="1"/>
          <w:bCs w:val="1"/>
          <w:color w:val="252525"/>
        </w:rPr>
        <w:t>Entire Agreement; Severability</w:t>
      </w:r>
      <w:r>
        <w:rPr>
          <w:rFonts w:ascii="Times New Roman" w:cs="Times New Roman" w:eastAsia="Times New Roman" w:hAnsi="Times New Roman"/>
          <w:sz w:val="22"/>
          <w:szCs w:val="22"/>
          <w:color w:val="252525"/>
        </w:rPr>
        <w:t>.</w:t>
      </w:r>
    </w:p>
    <w:p>
      <w:pPr>
        <w:spacing w:after="0" w:line="236" w:lineRule="exact"/>
        <w:rPr>
          <w:sz w:val="20"/>
          <w:szCs w:val="20"/>
          <w:color w:val="auto"/>
        </w:rPr>
      </w:pPr>
    </w:p>
    <w:p>
      <w:pPr>
        <w:jc w:val="both"/>
        <w:ind w:left="300" w:right="339" w:firstLine="316"/>
        <w:spacing w:after="0" w:line="255" w:lineRule="auto"/>
        <w:tabs>
          <w:tab w:leader="none" w:pos="1083" w:val="left"/>
        </w:tabs>
        <w:numPr>
          <w:ilvl w:val="0"/>
          <w:numId w:val="52"/>
        </w:numPr>
        <w:rPr>
          <w:rFonts w:ascii="Times New Roman" w:cs="Times New Roman" w:eastAsia="Times New Roman" w:hAnsi="Times New Roman"/>
          <w:sz w:val="21"/>
          <w:szCs w:val="21"/>
          <w:color w:val="252525"/>
        </w:rPr>
      </w:pPr>
      <w:r>
        <w:rPr>
          <w:rFonts w:ascii="Times New Roman" w:cs="Times New Roman" w:eastAsia="Times New Roman" w:hAnsi="Times New Roman"/>
          <w:sz w:val="21"/>
          <w:szCs w:val="21"/>
          <w:color w:val="252525"/>
        </w:rPr>
        <w:t>This Agreement is the entire agreement between you and the Company regarding the subject matter herein and supersedes all prior written and oral agreements and understandings between you and the Company and any of the other Releasees with respect to the subject matter herein, which shall survive execution of this Agreement and any subsequent termination thereof.</w:t>
      </w:r>
    </w:p>
    <w:p>
      <w:pPr>
        <w:spacing w:after="0" w:line="188" w:lineRule="exact"/>
        <w:rPr>
          <w:rFonts w:ascii="Times New Roman" w:cs="Times New Roman" w:eastAsia="Times New Roman" w:hAnsi="Times New Roman"/>
          <w:sz w:val="21"/>
          <w:szCs w:val="21"/>
          <w:color w:val="252525"/>
        </w:rPr>
      </w:pPr>
    </w:p>
    <w:p>
      <w:pPr>
        <w:jc w:val="both"/>
        <w:ind w:left="300" w:right="319" w:firstLine="316"/>
        <w:spacing w:after="0" w:line="239" w:lineRule="auto"/>
        <w:tabs>
          <w:tab w:leader="none" w:pos="1084" w:val="left"/>
        </w:tabs>
        <w:numPr>
          <w:ilvl w:val="0"/>
          <w:numId w:val="52"/>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This Agreement is governed by the laws of the State of Indiana, without regard to its conflict of law rules and you and the Company hereby consent to the exclusive jurisdiction and venue of the courts of the State of Indiana for the enforcement of this Agreement and waive any rights you/it may have to a trial by jury in connection therewith.</w:t>
      </w:r>
    </w:p>
    <w:p>
      <w:pPr>
        <w:spacing w:after="0" w:line="207" w:lineRule="exact"/>
        <w:rPr>
          <w:rFonts w:ascii="Times New Roman" w:cs="Times New Roman" w:eastAsia="Times New Roman" w:hAnsi="Times New Roman"/>
          <w:sz w:val="22"/>
          <w:szCs w:val="22"/>
          <w:color w:val="252525"/>
        </w:rPr>
      </w:pPr>
    </w:p>
    <w:p>
      <w:pPr>
        <w:jc w:val="both"/>
        <w:ind w:left="300" w:right="319" w:firstLine="316"/>
        <w:spacing w:after="0" w:line="234" w:lineRule="auto"/>
        <w:tabs>
          <w:tab w:leader="none" w:pos="1084" w:val="left"/>
        </w:tabs>
        <w:numPr>
          <w:ilvl w:val="0"/>
          <w:numId w:val="52"/>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The provisions and terms of this Agreement are severable. If any provision or term of this Agreement, or the application thereof, is determined to be unenforceable by a court of competent jurisdiction, it is agreed that such provision shall be modified rather than voided, if possible, in order to achieve the intent of the parties to the extent possible and shall be interpreted to apply to the maximum extent as legally permissible, and shall not otherwise affect the enforceability of any other clause or the remainder of this Agreement. If any provision or term of this Agreement, or the application thereof, is determined to be unenforceable by a court of competent jurisdiction, it is agreed that such provision shall be interpreted to apply to the maximum extent as legally permissible, and shall not otherwise affect the enforceability of any other clause or the remainder of this Agreement.</w:t>
      </w:r>
    </w:p>
    <w:p>
      <w:pPr>
        <w:spacing w:after="0" w:line="206" w:lineRule="exact"/>
        <w:rPr>
          <w:rFonts w:ascii="Times New Roman" w:cs="Times New Roman" w:eastAsia="Times New Roman" w:hAnsi="Times New Roman"/>
          <w:sz w:val="22"/>
          <w:szCs w:val="22"/>
          <w:color w:val="252525"/>
        </w:rPr>
      </w:pPr>
    </w:p>
    <w:p>
      <w:pPr>
        <w:jc w:val="both"/>
        <w:ind w:left="300" w:right="339" w:firstLine="316"/>
        <w:spacing w:after="0" w:line="238" w:lineRule="auto"/>
        <w:tabs>
          <w:tab w:leader="none" w:pos="1083" w:val="left"/>
        </w:tabs>
        <w:numPr>
          <w:ilvl w:val="0"/>
          <w:numId w:val="52"/>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This Agreement is binding upon you and your successors, assigns, heirs, executors, administrators and representatives. The Company may freely assign this Agreement at any time to an assignee having the financial and other resources to fulfill all of Company’s obligations to you hereunder and this Agreement shall inure to the benefit of the Company and its successors and assigns.</w:t>
      </w:r>
    </w:p>
    <w:p>
      <w:pPr>
        <w:spacing w:after="0" w:line="203" w:lineRule="exact"/>
        <w:rPr>
          <w:rFonts w:ascii="Times New Roman" w:cs="Times New Roman" w:eastAsia="Times New Roman" w:hAnsi="Times New Roman"/>
          <w:sz w:val="22"/>
          <w:szCs w:val="22"/>
          <w:color w:val="252525"/>
        </w:rPr>
      </w:pPr>
    </w:p>
    <w:p>
      <w:pPr>
        <w:ind w:left="940" w:hanging="324"/>
        <w:spacing w:after="0"/>
        <w:tabs>
          <w:tab w:leader="none" w:pos="940" w:val="left"/>
        </w:tabs>
        <w:numPr>
          <w:ilvl w:val="0"/>
          <w:numId w:val="52"/>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color w:val="252525"/>
        </w:rPr>
        <w:t>This Agreement may be signed in counterparts.</w:t>
      </w:r>
    </w:p>
    <w:p>
      <w:pPr>
        <w:spacing w:after="0" w:line="310" w:lineRule="exact"/>
        <w:rPr>
          <w:sz w:val="20"/>
          <w:szCs w:val="20"/>
          <w:color w:val="auto"/>
        </w:rPr>
      </w:pPr>
    </w:p>
    <w:p>
      <w:pPr>
        <w:jc w:val="both"/>
        <w:ind w:left="940" w:right="319" w:hanging="324"/>
        <w:spacing w:after="0" w:line="233" w:lineRule="auto"/>
        <w:tabs>
          <w:tab w:leader="none" w:pos="940" w:val="left"/>
        </w:tabs>
        <w:numPr>
          <w:ilvl w:val="0"/>
          <w:numId w:val="53"/>
        </w:numPr>
        <w:rPr>
          <w:rFonts w:ascii="Arial" w:cs="Arial" w:eastAsia="Arial" w:hAnsi="Arial"/>
          <w:sz w:val="22"/>
          <w:szCs w:val="22"/>
          <w:b w:val="1"/>
          <w:bCs w:val="1"/>
          <w:color w:val="252525"/>
        </w:rPr>
      </w:pPr>
      <w:r>
        <w:rPr>
          <w:rFonts w:ascii="Times New Roman" w:cs="Times New Roman" w:eastAsia="Times New Roman" w:hAnsi="Times New Roman"/>
          <w:sz w:val="22"/>
          <w:szCs w:val="22"/>
          <w:b w:val="1"/>
          <w:bCs w:val="1"/>
          <w:color w:val="252525"/>
        </w:rPr>
        <w:t>Restrictive Covenants</w:t>
      </w:r>
      <w:r>
        <w:rPr>
          <w:rFonts w:ascii="Times New Roman" w:cs="Times New Roman" w:eastAsia="Times New Roman" w:hAnsi="Times New Roman"/>
          <w:sz w:val="22"/>
          <w:szCs w:val="22"/>
          <w:color w:val="252525"/>
        </w:rPr>
        <w:t>. Regardless of whether you execute this Agreement, you</w:t>
      </w:r>
      <w:r>
        <w:rPr>
          <w:rFonts w:ascii="Times New Roman" w:cs="Times New Roman" w:eastAsia="Times New Roman" w:hAnsi="Times New Roman"/>
          <w:sz w:val="22"/>
          <w:szCs w:val="22"/>
          <w:b w:val="1"/>
          <w:bCs w:val="1"/>
          <w:color w:val="252525"/>
        </w:rPr>
        <w:t xml:space="preserve"> </w:t>
      </w:r>
      <w:r>
        <w:rPr>
          <w:rFonts w:ascii="Times New Roman" w:cs="Times New Roman" w:eastAsia="Times New Roman" w:hAnsi="Times New Roman"/>
          <w:sz w:val="22"/>
          <w:szCs w:val="22"/>
          <w:color w:val="252525"/>
        </w:rPr>
        <w:t>acknowledge that you shall continue to be bound by the obligations and covenants set forth in the Invention, Non-Disclosure, Non-Competition and Non-Solicitation Agreement dated as of June 25, 2021 by and between the Company and you, attached hereto as Exhibit A (the “Restrictive Covenants Agreement”, and such obligations and covenants set forth therein (including, specifically, Section 4 thereof), “Restrictive Covenants”), the terms of which are incorporated herein by reference as if set forth herein in their entirety. The Restrictive Covenants Agreement shall survive the termination of your employment and/or service with the Company. Your right to receive and/or retain the Separation Benefits is conditioned upon, and subject to, your continuous compliance with the Restrictive Covenants for the applicable periods set forth in the 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209550</wp:posOffset>
            </wp:positionV>
            <wp:extent cx="703770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10" w:right="1440" w:bottom="1440" w:gutter="0" w:footer="0" w:header="0"/>
        </w:sectPr>
      </w:pPr>
    </w:p>
    <w:bookmarkStart w:id="99" w:name="page100"/>
    <w:bookmarkEnd w:id="99"/>
    <w:p>
      <w:pPr>
        <w:spacing w:after="0" w:line="11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i w:val="1"/>
          <w:iCs w:val="1"/>
          <w:color w:val="252525"/>
        </w:rPr>
        <w:t>ACKNOWLEDGMENT AND SIGNATURE PAGE FOLLOWS</w:t>
      </w:r>
    </w:p>
    <w:p>
      <w:pPr>
        <w:spacing w:after="0" w:line="7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u w:val="single" w:color="auto"/>
          <w:color w:val="252525"/>
        </w:rPr>
        <w:t>ACKNOWLEDGEMENT</w:t>
      </w:r>
    </w:p>
    <w:p>
      <w:pPr>
        <w:spacing w:after="0" w:line="200" w:lineRule="exact"/>
        <w:rPr>
          <w:sz w:val="20"/>
          <w:szCs w:val="20"/>
          <w:color w:val="auto"/>
        </w:rPr>
      </w:pPr>
    </w:p>
    <w:p>
      <w:pPr>
        <w:spacing w:after="0" w:line="280" w:lineRule="exact"/>
        <w:rPr>
          <w:sz w:val="20"/>
          <w:szCs w:val="20"/>
          <w:color w:val="auto"/>
        </w:rPr>
      </w:pPr>
    </w:p>
    <w:p>
      <w:pPr>
        <w:jc w:val="both"/>
        <w:ind w:left="300" w:right="319"/>
        <w:spacing w:after="0" w:line="233" w:lineRule="auto"/>
        <w:rPr>
          <w:sz w:val="20"/>
          <w:szCs w:val="20"/>
          <w:color w:val="auto"/>
        </w:rPr>
      </w:pPr>
      <w:r>
        <w:rPr>
          <w:rFonts w:ascii="Times New Roman" w:cs="Times New Roman" w:eastAsia="Times New Roman" w:hAnsi="Times New Roman"/>
          <w:sz w:val="22"/>
          <w:szCs w:val="22"/>
          <w:color w:val="auto"/>
        </w:rPr>
        <w:t>I ACKNOWLEDGE THAT I HAVE READ AND AGREE TO THE TERMS AND CONDITIONS SPECIFIED IN THIS AGREEMENT AND I INTEND TO WAIVE AND RELEASE ALL CLAIMS THAT I MAY HAVE AGAINST THE COMPANY AND ANY OF THE RELEASEES AS SET FORTH IN SECTION 4 OF THE AGREEMENT, INCLUDING ANY CLAIM UNDER THE AGE DISCRIMINATION IN EMPLOYMENT ACT, 29 U.S.C. § 621 ET SEQ. I UNDERSTAND THAT THIS WAIVER AND RELEASE CREATES A TOTAL AND UNLIMITED RELEASE OF ALL CLAIMS AS SET FORTH IN SECTION 4 OF THE AGREEMENT, WHETHER KNOWN OR UNKNOWN, THAT I MAY HAVE AGAINST THE COMPANY AND THE RELEASEES EXISTING AS OF THE DATE I SIGNED THIS AGREEMENT (AND THAT THIS AGREEMENT DOES NOT WAIVE ANY CLAIMS THAT MAY ARISE AFTER I SIGN THIS AGREEMENT, INCLUDING ANY RIGHTS OR CLAIMS TO SECURE ENFORCEMENT OF THIS AGREEMENT).</w:t>
      </w:r>
    </w:p>
    <w:p>
      <w:pPr>
        <w:spacing w:after="0" w:line="252" w:lineRule="exact"/>
        <w:rPr>
          <w:sz w:val="20"/>
          <w:szCs w:val="20"/>
          <w:color w:val="auto"/>
        </w:rPr>
      </w:pPr>
    </w:p>
    <w:p>
      <w:pPr>
        <w:jc w:val="both"/>
        <w:ind w:left="300" w:right="319"/>
        <w:spacing w:after="0" w:line="235" w:lineRule="auto"/>
        <w:rPr>
          <w:sz w:val="20"/>
          <w:szCs w:val="20"/>
          <w:color w:val="auto"/>
        </w:rPr>
      </w:pPr>
      <w:r>
        <w:rPr>
          <w:rFonts w:ascii="Times New Roman" w:cs="Times New Roman" w:eastAsia="Times New Roman" w:hAnsi="Times New Roman"/>
          <w:sz w:val="22"/>
          <w:szCs w:val="22"/>
          <w:color w:val="auto"/>
        </w:rPr>
        <w:t>I FURTHER ACKNOWLEDGE THAT I HAVE BEEN GIVEN 21-DAYS IN WHICH TO REVIEW THIS AGREEMENT AND TO CONSIDER MY GENERAL RELEASE OF ALL CLAIMS AS SET FORTH IN THIS AGREEMENT BEFORE SIGNING IT, AND ACKNOWLEDGE THAT IF I SIGN THIS AGREEMENT PRIOR TO THE EXPIRATION OF THIS 21-DAY PERIOD, I KNOWINGLY AND VOLUNTARILY HAVE WAIVED MY RIGHT TO CONSIDER THE TERMS OF THIS AGREEMENT FOR THE FULL 21-DAY PERIOD.</w:t>
      </w:r>
    </w:p>
    <w:p>
      <w:pPr>
        <w:spacing w:after="0" w:line="183" w:lineRule="exact"/>
        <w:rPr>
          <w:sz w:val="20"/>
          <w:szCs w:val="20"/>
          <w:color w:val="auto"/>
        </w:rPr>
      </w:pPr>
    </w:p>
    <w:p>
      <w:pPr>
        <w:jc w:val="both"/>
        <w:ind w:left="300" w:right="299"/>
        <w:spacing w:after="0" w:line="234" w:lineRule="auto"/>
        <w:rPr>
          <w:sz w:val="20"/>
          <w:szCs w:val="20"/>
          <w:color w:val="auto"/>
        </w:rPr>
      </w:pPr>
      <w:r>
        <w:rPr>
          <w:rFonts w:ascii="Times New Roman" w:cs="Times New Roman" w:eastAsia="Times New Roman" w:hAnsi="Times New Roman"/>
          <w:sz w:val="22"/>
          <w:szCs w:val="22"/>
          <w:color w:val="auto"/>
        </w:rPr>
        <w:t>I FURTHER ACKNOWLEDGE THAT I HAVE BEEN GIVEN A REASONABLE TIME IN WHICH TO REVIEW THIS AGREEMENT AND TO CONSIDER MY GENERAL RELEASE OF ALL CLAIMS AS SET FORTH IN THIS AGREEMENT BEFORE SIGNING IT. I HAVE BEEN ADVISED TO CONSULT WITH AN ATTORNEY ABOUT THE MEANING AND EFFECT OF THIS AGREEMENT BEFORE SIGNING IT AND VOLUNTARILY HAVE ELECTED WHETHER TO DO SO. I AM SIGNING THIS AGREEMENT KNOWINGLY, VOLUNTARILY AND WITH FULL UNDERSTANDING OF ITS TERMS AND EFFECTS. I HAVE NOT RELIED ON ANY REPRESENTATIONS OR STATEMENTS NOT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207010</wp:posOffset>
            </wp:positionV>
            <wp:extent cx="703770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0" w:name="page101"/>
    <w:bookmarkEnd w:id="100"/>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alkspace</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This Insider Trading Compliance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consists of seven sections:</w:t>
      </w:r>
    </w:p>
    <w:p>
      <w:pPr>
        <w:spacing w:after="0" w:line="104" w:lineRule="exact"/>
        <w:rPr>
          <w:sz w:val="20"/>
          <w:szCs w:val="20"/>
          <w:color w:val="auto"/>
        </w:rPr>
      </w:pPr>
    </w:p>
    <w:p>
      <w:pPr>
        <w:ind w:left="1580" w:hanging="316"/>
        <w:spacing w:after="0"/>
        <w:tabs>
          <w:tab w:leader="none" w:pos="1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 provides an overview;</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 sets forth the policies of the Company prohibiting insider trading;</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III explains insider trading;</w:t>
      </w:r>
    </w:p>
    <w:p>
      <w:pPr>
        <w:spacing w:after="0" w:line="98" w:lineRule="exact"/>
        <w:rPr>
          <w:rFonts w:ascii="Times New Roman" w:cs="Times New Roman" w:eastAsia="Times New Roman" w:hAnsi="Times New Roman"/>
          <w:sz w:val="22"/>
          <w:szCs w:val="22"/>
          <w:color w:val="auto"/>
        </w:rPr>
      </w:pPr>
    </w:p>
    <w:p>
      <w:pPr>
        <w:ind w:left="1580" w:right="459" w:hanging="316"/>
        <w:spacing w:after="0" w:line="258" w:lineRule="auto"/>
        <w:tabs>
          <w:tab w:leader="none" w:pos="1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IV consists of procedures that have been put in place by the Company to prevent insider trading;</w:t>
      </w:r>
    </w:p>
    <w:p>
      <w:pPr>
        <w:spacing w:after="0" w:line="50"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 sets forth additional transactions that are prohibited by this Policy;</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 explains Rule 10b5-1 trading plans; and</w:t>
      </w:r>
    </w:p>
    <w:p>
      <w:pPr>
        <w:spacing w:after="0" w:line="84"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VII refers to the execution and return of a certificate of compliance.</w:t>
      </w:r>
    </w:p>
    <w:p>
      <w:pPr>
        <w:spacing w:after="0" w:line="215" w:lineRule="exact"/>
        <w:rPr>
          <w:rFonts w:ascii="Times New Roman" w:cs="Times New Roman" w:eastAsia="Times New Roman" w:hAnsi="Times New Roman"/>
          <w:sz w:val="22"/>
          <w:szCs w:val="22"/>
          <w:color w:val="auto"/>
        </w:rPr>
      </w:pPr>
    </w:p>
    <w:p>
      <w:pPr>
        <w:ind w:left="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I.S</w:t>
      </w:r>
      <w:r>
        <w:rPr>
          <w:rFonts w:ascii="Times New Roman" w:cs="Times New Roman" w:eastAsia="Times New Roman" w:hAnsi="Times New Roman"/>
          <w:sz w:val="14"/>
          <w:szCs w:val="14"/>
          <w:b w:val="1"/>
          <w:bCs w:val="1"/>
          <w:color w:val="auto"/>
        </w:rPr>
        <w:t>ummary</w:t>
      </w:r>
    </w:p>
    <w:p>
      <w:pPr>
        <w:spacing w:after="0" w:line="210"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Preventing insider trading is necessary to comply with securities laws and to preserve the reputation and integrity of Talkspace,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including termination of employment for cause.</w:t>
      </w:r>
    </w:p>
    <w:p>
      <w:pPr>
        <w:spacing w:after="0" w:line="75"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of the Company, are referred to as the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General Counsel.</w:t>
      </w:r>
    </w:p>
    <w:p>
      <w:pPr>
        <w:spacing w:after="0" w:line="27" w:lineRule="exact"/>
        <w:rPr>
          <w:sz w:val="20"/>
          <w:szCs w:val="20"/>
          <w:color w:val="auto"/>
        </w:rPr>
      </w:pPr>
    </w:p>
    <w:p>
      <w:pPr>
        <w:ind w:left="940" w:hanging="648"/>
        <w:spacing w:after="0"/>
        <w:tabs>
          <w:tab w:leader="none" w:pos="94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olicies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0"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No officer, director or employee shall purchase or sell any type of security while in possession of material, non-public information relating to the security, whether the issuer of such security is the Company or any other company.</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These prohibitions do not apply to:</w:t>
      </w:r>
    </w:p>
    <w:p>
      <w:pPr>
        <w:spacing w:after="0" w:line="98" w:lineRule="exact"/>
        <w:rPr>
          <w:sz w:val="20"/>
          <w:szCs w:val="20"/>
          <w:color w:val="auto"/>
        </w:rPr>
      </w:pPr>
    </w:p>
    <w:p>
      <w:pPr>
        <w:ind w:left="1580" w:right="299" w:hanging="316"/>
        <w:spacing w:after="0" w:line="258" w:lineRule="auto"/>
        <w:tabs>
          <w:tab w:leader="none" w:pos="15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by a Covered Person from the Company or sales of the Company’s securities by a Covered Person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945515</wp:posOffset>
            </wp:positionV>
            <wp:extent cx="703770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1" w:name="page102"/>
    <w:bookmarkEnd w:id="101"/>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jc w:val="both"/>
        <w:ind w:left="1580" w:right="299" w:hanging="316"/>
        <w:spacing w:after="0" w:line="235" w:lineRule="auto"/>
        <w:tabs>
          <w:tab w:leader="none" w:pos="15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71" w:lineRule="exact"/>
        <w:rPr>
          <w:rFonts w:ascii="Times New Roman" w:cs="Times New Roman" w:eastAsia="Times New Roman" w:hAnsi="Times New Roman"/>
          <w:sz w:val="22"/>
          <w:szCs w:val="22"/>
          <w:color w:val="auto"/>
        </w:rPr>
      </w:pPr>
    </w:p>
    <w:p>
      <w:pPr>
        <w:jc w:val="both"/>
        <w:ind w:left="1580" w:right="319" w:hanging="316"/>
        <w:spacing w:after="0" w:line="263" w:lineRule="auto"/>
        <w:tabs>
          <w:tab w:leader="none" w:pos="158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bona fide </w:t>
      </w:r>
      <w:r>
        <w:rPr>
          <w:rFonts w:ascii="Times New Roman" w:cs="Times New Roman" w:eastAsia="Times New Roman" w:hAnsi="Times New Roman"/>
          <w:sz w:val="21"/>
          <w:szCs w:val="21"/>
          <w:color w:val="auto"/>
        </w:rPr>
        <w:t>gifts of the Company’s securities, unless the person making the gift has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reason to believe that the recipient intends to sell the securities while the donor is in possession of material, non-public information about the Company; or</w:t>
      </w:r>
    </w:p>
    <w:p>
      <w:pPr>
        <w:spacing w:after="0" w:line="47" w:lineRule="exact"/>
        <w:rPr>
          <w:rFonts w:ascii="Times New Roman" w:cs="Times New Roman" w:eastAsia="Times New Roman" w:hAnsi="Times New Roman"/>
          <w:sz w:val="21"/>
          <w:szCs w:val="21"/>
          <w:color w:val="auto"/>
        </w:rPr>
      </w:pPr>
    </w:p>
    <w:p>
      <w:pPr>
        <w:jc w:val="both"/>
        <w:ind w:left="1580" w:right="299" w:hanging="316"/>
        <w:spacing w:after="0" w:line="233" w:lineRule="auto"/>
        <w:tabs>
          <w:tab w:leader="none" w:pos="15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2"/>
          <w:szCs w:val="22"/>
          <w:b w:val="1"/>
          <w:bCs w:val="1"/>
          <w:i w:val="1"/>
          <w:iCs w:val="1"/>
          <w:color w:val="auto"/>
        </w:rPr>
        <w:t>Rule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10b5-1</w:t>
      </w:r>
      <w:r>
        <w:rPr>
          <w:rFonts w:ascii="Times New Roman" w:cs="Times New Roman" w:eastAsia="Times New Roman" w:hAnsi="Times New Roman"/>
          <w:sz w:val="22"/>
          <w:szCs w:val="22"/>
          <w:color w:val="auto"/>
        </w:rPr>
        <w:t>”) promulgated under the Securities Exchange Act of 1934, as amended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79" w:lineRule="exact"/>
        <w:rPr>
          <w:sz w:val="20"/>
          <w:szCs w:val="20"/>
          <w:color w:val="auto"/>
        </w:rPr>
      </w:pPr>
    </w:p>
    <w:p>
      <w:pPr>
        <w:jc w:val="both"/>
        <w:ind w:left="300" w:right="319" w:firstLine="647"/>
        <w:spacing w:after="0" w:line="255" w:lineRule="auto"/>
        <w:rPr>
          <w:sz w:val="20"/>
          <w:szCs w:val="20"/>
          <w:color w:val="auto"/>
        </w:rPr>
      </w:pPr>
      <w:r>
        <w:rPr>
          <w:rFonts w:ascii="Times New Roman" w:cs="Times New Roman" w:eastAsia="Times New Roman" w:hAnsi="Times New Roman"/>
          <w:sz w:val="21"/>
          <w:szCs w:val="21"/>
          <w:color w:val="auto"/>
        </w:rPr>
        <w:t>In addition, no officer, director or employee shall directly or indirectly communicate (or “</w:t>
      </w:r>
      <w:r>
        <w:rPr>
          <w:rFonts w:ascii="Times New Roman" w:cs="Times New Roman" w:eastAsia="Times New Roman" w:hAnsi="Times New Roman"/>
          <w:sz w:val="21"/>
          <w:szCs w:val="21"/>
          <w:b w:val="1"/>
          <w:bCs w:val="1"/>
          <w:i w:val="1"/>
          <w:iCs w:val="1"/>
          <w:color w:val="auto"/>
        </w:rPr>
        <w:t>tip</w:t>
      </w:r>
      <w:r>
        <w:rPr>
          <w:rFonts w:ascii="Times New Roman" w:cs="Times New Roman" w:eastAsia="Times New Roman" w:hAnsi="Times New Roman"/>
          <w:sz w:val="21"/>
          <w:szCs w:val="21"/>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58" w:lineRule="exact"/>
        <w:rPr>
          <w:sz w:val="20"/>
          <w:szCs w:val="20"/>
          <w:color w:val="auto"/>
        </w:rPr>
      </w:pPr>
    </w:p>
    <w:p>
      <w:pPr>
        <w:ind w:left="940" w:hanging="648"/>
        <w:spacing w:after="0"/>
        <w:tabs>
          <w:tab w:leader="none" w:pos="94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xplanation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04" w:lineRule="exact"/>
        <w:rPr>
          <w:sz w:val="20"/>
          <w:szCs w:val="20"/>
          <w:color w:val="auto"/>
        </w:rPr>
      </w:pPr>
    </w:p>
    <w:p>
      <w:pPr>
        <w:jc w:val="both"/>
        <w:ind w:left="300" w:right="319" w:firstLine="647"/>
        <w:spacing w:after="0" w:line="26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refers to the purchase or sale of a security while in possession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“non-public” information relating to the security or its issuer.</w:t>
      </w:r>
    </w:p>
    <w:p>
      <w:pPr>
        <w:spacing w:after="0" w:line="37" w:lineRule="exact"/>
        <w:rPr>
          <w:sz w:val="20"/>
          <w:szCs w:val="20"/>
          <w:color w:val="auto"/>
        </w:rPr>
      </w:pPr>
    </w:p>
    <w:p>
      <w:pPr>
        <w:jc w:val="both"/>
        <w:ind w:left="300" w:right="319" w:firstLine="647"/>
        <w:spacing w:after="0" w:line="26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stocks, bonds, notes, debentures, options, warrants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convertible securities, as well as derivative instruments.</w:t>
      </w:r>
    </w:p>
    <w:p>
      <w:pPr>
        <w:spacing w:after="0" w:line="37" w:lineRule="exact"/>
        <w:rPr>
          <w:sz w:val="20"/>
          <w:szCs w:val="20"/>
          <w:color w:val="auto"/>
        </w:rPr>
      </w:pPr>
    </w:p>
    <w:p>
      <w:pPr>
        <w:jc w:val="both"/>
        <w:ind w:left="300" w:right="299" w:firstLine="647"/>
        <w:spacing w:after="0" w:line="257"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Purchase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sale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are defined broadly under the federal securities law.</w:t>
      </w:r>
      <w:r>
        <w:rPr>
          <w:rFonts w:ascii="Times New Roman" w:cs="Times New Roman" w:eastAsia="Times New Roman" w:hAnsi="Times New Roman"/>
          <w:sz w:val="21"/>
          <w:szCs w:val="21"/>
          <w:i w:val="1"/>
          <w:iCs w:val="1"/>
          <w:color w:val="auto"/>
        </w:rPr>
        <w:t xml:space="preserve"> “Purchase” </w:t>
      </w:r>
      <w:r>
        <w:rPr>
          <w:rFonts w:ascii="Times New Roman" w:cs="Times New Roman" w:eastAsia="Times New Roman" w:hAnsi="Times New Roman"/>
          <w:sz w:val="21"/>
          <w:szCs w:val="21"/>
          <w:color w:val="auto"/>
        </w:rPr>
        <w:t xml:space="preserve">includes not only the actual purchase of a security, but any contract to purchase or otherwise acquire a security. </w:t>
      </w:r>
      <w:r>
        <w:rPr>
          <w:rFonts w:ascii="Times New Roman" w:cs="Times New Roman" w:eastAsia="Times New Roman" w:hAnsi="Times New Roman"/>
          <w:sz w:val="21"/>
          <w:szCs w:val="21"/>
          <w:i w:val="1"/>
          <w:iCs w:val="1"/>
          <w:color w:val="auto"/>
        </w:rPr>
        <w:t>“Sale”</w:t>
      </w:r>
      <w:r>
        <w:rPr>
          <w:rFonts w:ascii="Times New Roman" w:cs="Times New Roman" w:eastAsia="Times New Roman" w:hAnsi="Times New Roman"/>
          <w:sz w:val="21"/>
          <w:szCs w:val="21"/>
          <w:color w:val="auto"/>
        </w:rPr>
        <w:t xml:space="preserve"> includes not only the actual sale of a security, but any contract to sell or otherwise dispose of a security. These definitions extend to a broad range of transactions,</w:t>
      </w:r>
    </w:p>
    <w:p>
      <w:pPr>
        <w:spacing w:after="0" w:line="1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including conventional cash-for-stock transactions, conversions, the exercise of stock options, and acquisitions and exercises of warrants or puts, calls or other derivative securities.</w:t>
      </w:r>
    </w:p>
    <w:p>
      <w:pPr>
        <w:spacing w:after="0" w:line="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 is generally understood that insider trading includes the following:</w:t>
      </w:r>
    </w:p>
    <w:p>
      <w:pPr>
        <w:spacing w:after="0" w:line="98" w:lineRule="exact"/>
        <w:rPr>
          <w:sz w:val="20"/>
          <w:szCs w:val="20"/>
          <w:color w:val="auto"/>
        </w:rPr>
      </w:pPr>
    </w:p>
    <w:p>
      <w:pPr>
        <w:ind w:left="1580" w:hanging="316"/>
        <w:spacing w:after="0"/>
        <w:tabs>
          <w:tab w:leader="none" w:pos="15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insiders while in possession of material, non-public information;</w:t>
      </w:r>
    </w:p>
    <w:p>
      <w:pPr>
        <w:spacing w:after="0" w:line="98" w:lineRule="exact"/>
        <w:rPr>
          <w:rFonts w:ascii="Times New Roman" w:cs="Times New Roman" w:eastAsia="Times New Roman" w:hAnsi="Times New Roman"/>
          <w:sz w:val="22"/>
          <w:szCs w:val="22"/>
          <w:color w:val="auto"/>
        </w:rPr>
      </w:pPr>
    </w:p>
    <w:p>
      <w:pPr>
        <w:jc w:val="both"/>
        <w:ind w:left="1580" w:right="299" w:hanging="316"/>
        <w:spacing w:after="0" w:line="244" w:lineRule="auto"/>
        <w:tabs>
          <w:tab w:leader="none" w:pos="15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65" w:lineRule="exact"/>
        <w:rPr>
          <w:rFonts w:ascii="Times New Roman" w:cs="Times New Roman" w:eastAsia="Times New Roman" w:hAnsi="Times New Roman"/>
          <w:sz w:val="22"/>
          <w:szCs w:val="22"/>
          <w:color w:val="auto"/>
        </w:rPr>
      </w:pPr>
    </w:p>
    <w:p>
      <w:pPr>
        <w:jc w:val="both"/>
        <w:ind w:left="1580" w:right="319" w:hanging="316"/>
        <w:spacing w:after="0" w:line="244" w:lineRule="auto"/>
        <w:tabs>
          <w:tab w:leader="none" w:pos="15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a security while in possession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603250</wp:posOffset>
            </wp:positionV>
            <wp:extent cx="703770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2" w:name="page103"/>
    <w:bookmarkEnd w:id="102"/>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80" w:hanging="640"/>
        <w:spacing w:after="0"/>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Facts are Material?</w:t>
      </w:r>
    </w:p>
    <w:p>
      <w:pPr>
        <w:spacing w:after="0" w:line="206" w:lineRule="exact"/>
        <w:rPr>
          <w:sz w:val="20"/>
          <w:szCs w:val="20"/>
          <w:color w:val="auto"/>
        </w:rPr>
      </w:pPr>
    </w:p>
    <w:p>
      <w:pPr>
        <w:jc w:val="both"/>
        <w:ind w:left="300" w:right="299" w:firstLine="647"/>
        <w:spacing w:after="0" w:line="251" w:lineRule="auto"/>
        <w:rPr>
          <w:sz w:val="20"/>
          <w:szCs w:val="20"/>
          <w:color w:val="auto"/>
        </w:rPr>
      </w:pPr>
      <w:r>
        <w:rPr>
          <w:rFonts w:ascii="Times New Roman" w:cs="Times New Roman" w:eastAsia="Times New Roman" w:hAnsi="Times New Roman"/>
          <w:sz w:val="21"/>
          <w:szCs w:val="21"/>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about:</w:t>
      </w:r>
    </w:p>
    <w:p>
      <w:pPr>
        <w:spacing w:after="0" w:line="98" w:lineRule="exact"/>
        <w:rPr>
          <w:sz w:val="20"/>
          <w:szCs w:val="20"/>
          <w:color w:val="auto"/>
        </w:rPr>
      </w:pPr>
    </w:p>
    <w:p>
      <w:pPr>
        <w:ind w:left="1580" w:hanging="316"/>
        <w:spacing w:after="0"/>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or dispositions;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98" w:lineRule="exact"/>
        <w:rPr>
          <w:rFonts w:ascii="Times New Roman" w:cs="Times New Roman" w:eastAsia="Times New Roman" w:hAnsi="Times New Roman"/>
          <w:sz w:val="22"/>
          <w:szCs w:val="22"/>
          <w:color w:val="auto"/>
        </w:rPr>
      </w:pPr>
    </w:p>
    <w:p>
      <w:pPr>
        <w:ind w:left="1580" w:right="959" w:hanging="316"/>
        <w:spacing w:after="0" w:line="258" w:lineRule="auto"/>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collaborations;</w:t>
      </w:r>
    </w:p>
    <w:p>
      <w:pPr>
        <w:spacing w:after="0" w:line="50"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98" w:lineRule="exact"/>
        <w:rPr>
          <w:rFonts w:ascii="Times New Roman" w:cs="Times New Roman" w:eastAsia="Times New Roman" w:hAnsi="Times New Roman"/>
          <w:sz w:val="22"/>
          <w:szCs w:val="22"/>
          <w:color w:val="auto"/>
        </w:rPr>
      </w:pPr>
    </w:p>
    <w:p>
      <w:pPr>
        <w:ind w:left="1580" w:right="419" w:hanging="316"/>
        <w:spacing w:after="0" w:line="258" w:lineRule="auto"/>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 including pending public sales or offerings of debt or equity securities;</w:t>
      </w:r>
    </w:p>
    <w:p>
      <w:pPr>
        <w:spacing w:after="0" w:line="50"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and</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98"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Moreover, material information does not have to be related to a company’s business. For example, the contents of a forthcoming newspaper column that is expected to affect the market price of a security can be material.</w:t>
      </w:r>
    </w:p>
    <w:p>
      <w:pPr>
        <w:spacing w:after="0" w:line="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210" w:lineRule="exact"/>
        <w:rPr>
          <w:sz w:val="20"/>
          <w:szCs w:val="20"/>
          <w:color w:val="auto"/>
        </w:rPr>
      </w:pPr>
    </w:p>
    <w:p>
      <w:pPr>
        <w:ind w:left="1580" w:hanging="640"/>
        <w:spacing w:after="0"/>
        <w:tabs>
          <w:tab w:leader="none" w:pos="15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is Non-Public?</w:t>
      </w:r>
    </w:p>
    <w:p>
      <w:pPr>
        <w:spacing w:after="0" w:line="206"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Information is “non-public” if it is not available to the general public. In order for information to be considered public, it must be widely disseminated in a manner making it</w:t>
      </w:r>
    </w:p>
    <w:p>
      <w:pPr>
        <w:spacing w:after="0" w:line="10"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21"/>
          <w:szCs w:val="21"/>
          <w:color w:val="auto"/>
        </w:rPr>
        <w:t xml:space="preserve">generally available to investors through such media as </w:t>
      </w:r>
      <w:r>
        <w:rPr>
          <w:rFonts w:ascii="Times New Roman" w:cs="Times New Roman" w:eastAsia="Times New Roman" w:hAnsi="Times New Roman"/>
          <w:sz w:val="21"/>
          <w:szCs w:val="21"/>
          <w:u w:val="single" w:color="auto"/>
          <w:color w:val="auto"/>
        </w:rPr>
        <w:t>Dow Jones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Business Wire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Reuters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Wall Street Journal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Associated Press</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United Press International</w:t>
      </w:r>
      <w:r>
        <w:rPr>
          <w:rFonts w:ascii="Times New Roman" w:cs="Times New Roman" w:eastAsia="Times New Roman" w:hAnsi="Times New Roman"/>
          <w:sz w:val="21"/>
          <w:szCs w:val="21"/>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that are available on the SEC’s web site.</w:t>
      </w:r>
    </w:p>
    <w:p>
      <w:pPr>
        <w:spacing w:after="0" w:line="60"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For the purposes of this Policy, a “trading day” is a day on which national stock exchanges are open for trading.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612140</wp:posOffset>
            </wp:positionV>
            <wp:extent cx="703770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3" w:name="page104"/>
    <w:bookmarkEnd w:id="103"/>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6" w:lineRule="exact"/>
        <w:rPr>
          <w:sz w:val="20"/>
          <w:szCs w:val="20"/>
          <w:color w:val="auto"/>
        </w:rPr>
      </w:pPr>
    </w:p>
    <w:p>
      <w:pPr>
        <w:ind w:left="1580" w:hanging="640"/>
        <w:spacing w:after="0"/>
        <w:tabs>
          <w:tab w:leader="none" w:pos="15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 is an Insider?</w:t>
      </w:r>
    </w:p>
    <w:p>
      <w:pPr>
        <w:spacing w:after="0" w:line="206"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w:t>
      </w:r>
    </w:p>
    <w:p>
      <w:pPr>
        <w:spacing w:after="0" w:line="73" w:lineRule="exact"/>
        <w:rPr>
          <w:sz w:val="20"/>
          <w:szCs w:val="20"/>
          <w:color w:val="auto"/>
        </w:rPr>
      </w:pPr>
    </w:p>
    <w:p>
      <w:pPr>
        <w:jc w:val="both"/>
        <w:ind w:left="300" w:right="319" w:firstLine="647"/>
        <w:spacing w:after="0" w:line="238"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177" w:lineRule="exact"/>
        <w:rPr>
          <w:sz w:val="20"/>
          <w:szCs w:val="20"/>
          <w:color w:val="auto"/>
        </w:rPr>
      </w:pPr>
    </w:p>
    <w:p>
      <w:pPr>
        <w:ind w:left="1580" w:hanging="640"/>
        <w:spacing w:after="0"/>
        <w:tabs>
          <w:tab w:leader="none" w:pos="1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by Persons Other than Insiders</w:t>
      </w:r>
    </w:p>
    <w:p>
      <w:pPr>
        <w:spacing w:after="0" w:line="206"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Insiders may be liable for communicating or tipping material, non-public information to a third party (“</w:t>
      </w:r>
      <w:r>
        <w:rPr>
          <w:rFonts w:ascii="Times New Roman" w:cs="Times New Roman" w:eastAsia="Times New Roman" w:hAnsi="Times New Roman"/>
          <w:sz w:val="22"/>
          <w:szCs w:val="22"/>
          <w:b w:val="1"/>
          <w:bCs w:val="1"/>
          <w:i w:val="1"/>
          <w:iCs w:val="1"/>
          <w:color w:val="auto"/>
        </w:rPr>
        <w:t>tippee</w:t>
      </w:r>
      <w:r>
        <w:rPr>
          <w:rFonts w:ascii="Times New Roman" w:cs="Times New Roman" w:eastAsia="Times New Roman" w:hAnsi="Times New Roman"/>
          <w:sz w:val="22"/>
          <w:szCs w:val="22"/>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69"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33" w:lineRule="exact"/>
        <w:rPr>
          <w:sz w:val="20"/>
          <w:szCs w:val="20"/>
          <w:color w:val="auto"/>
        </w:rPr>
      </w:pPr>
    </w:p>
    <w:p>
      <w:pPr>
        <w:ind w:left="1580" w:hanging="640"/>
        <w:spacing w:after="0"/>
        <w:tabs>
          <w:tab w:leader="none" w:pos="15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Penalties for Engaging in Insider Trading</w:t>
      </w:r>
    </w:p>
    <w:p>
      <w:pPr>
        <w:spacing w:after="0" w:line="206"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69" w:lineRule="exact"/>
        <w:rPr>
          <w:sz w:val="20"/>
          <w:szCs w:val="20"/>
          <w:color w:val="auto"/>
        </w:rPr>
      </w:pPr>
    </w:p>
    <w:p>
      <w:pPr>
        <w:ind w:left="1580" w:hanging="316"/>
        <w:spacing w:after="0"/>
        <w:tabs>
          <w:tab w:leader="none" w:pos="15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administrative sanctions;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industry self-regulatory organization sanctions;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awards to private plaintiffs;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all profits;</w:t>
      </w:r>
    </w:p>
    <w:p>
      <w:pPr>
        <w:spacing w:after="0" w:line="98" w:lineRule="exact"/>
        <w:rPr>
          <w:rFonts w:ascii="Times New Roman" w:cs="Times New Roman" w:eastAsia="Times New Roman" w:hAnsi="Times New Roman"/>
          <w:sz w:val="22"/>
          <w:szCs w:val="22"/>
          <w:color w:val="auto"/>
        </w:rPr>
      </w:pPr>
    </w:p>
    <w:p>
      <w:pPr>
        <w:ind w:left="1580" w:right="459" w:hanging="316"/>
        <w:spacing w:after="0" w:line="258" w:lineRule="auto"/>
        <w:tabs>
          <w:tab w:leader="none" w:pos="15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50" w:lineRule="exact"/>
        <w:rPr>
          <w:rFonts w:ascii="Times New Roman" w:cs="Times New Roman" w:eastAsia="Times New Roman" w:hAnsi="Times New Roman"/>
          <w:sz w:val="22"/>
          <w:szCs w:val="22"/>
          <w:color w:val="auto"/>
        </w:rPr>
      </w:pPr>
    </w:p>
    <w:p>
      <w:pPr>
        <w:ind w:left="1560" w:right="619" w:hanging="620"/>
        <w:spacing w:after="0" w:line="258" w:lineRule="auto"/>
        <w:tabs>
          <w:tab w:leader="none" w:pos="15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730885</wp:posOffset>
            </wp:positionV>
            <wp:extent cx="703770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4" w:name="page105"/>
    <w:bookmarkEnd w:id="104"/>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greater of</w:t>
      </w:r>
    </w:p>
    <w:p>
      <w:pPr>
        <w:spacing w:after="0" w:line="14" w:lineRule="exact"/>
        <w:rPr>
          <w:sz w:val="20"/>
          <w:szCs w:val="20"/>
          <w:color w:val="auto"/>
        </w:rPr>
      </w:pPr>
    </w:p>
    <w:p>
      <w:pPr>
        <w:ind w:left="1580" w:right="299"/>
        <w:spacing w:after="0" w:line="237" w:lineRule="auto"/>
        <w:rPr>
          <w:sz w:val="20"/>
          <w:szCs w:val="20"/>
          <w:color w:val="auto"/>
        </w:rPr>
      </w:pPr>
      <w:r>
        <w:rPr>
          <w:rFonts w:ascii="Times New Roman" w:cs="Times New Roman" w:eastAsia="Times New Roman" w:hAnsi="Times New Roman"/>
          <w:sz w:val="22"/>
          <w:szCs w:val="22"/>
          <w:color w:val="auto"/>
        </w:rPr>
        <w:t>$2,166,279 (subject to adjustment for inflation) or three times the amount of profit gained or loss avoided by the violator;</w:t>
      </w:r>
    </w:p>
    <w:p>
      <w:pPr>
        <w:spacing w:after="0" w:line="178" w:lineRule="exact"/>
        <w:rPr>
          <w:sz w:val="20"/>
          <w:szCs w:val="20"/>
          <w:color w:val="auto"/>
        </w:rPr>
      </w:pPr>
    </w:p>
    <w:p>
      <w:pPr>
        <w:ind w:left="1580" w:right="679" w:hanging="316"/>
        <w:spacing w:after="0" w:line="258" w:lineRule="auto"/>
        <w:tabs>
          <w:tab w:leader="none" w:pos="15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for individual violators of up to $5,000,000 ($25,000,000 for an entity); and</w:t>
      </w:r>
    </w:p>
    <w:p>
      <w:pPr>
        <w:spacing w:after="0" w:line="50"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sentences of up to 20 years.</w:t>
      </w:r>
    </w:p>
    <w:p>
      <w:pPr>
        <w:spacing w:after="0" w:line="206" w:lineRule="exact"/>
        <w:rPr>
          <w:sz w:val="20"/>
          <w:szCs w:val="20"/>
          <w:color w:val="auto"/>
        </w:rPr>
      </w:pPr>
    </w:p>
    <w:p>
      <w:pPr>
        <w:jc w:val="both"/>
        <w:ind w:left="300" w:right="319" w:firstLine="647"/>
        <w:spacing w:after="0" w:line="238"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177" w:lineRule="exact"/>
        <w:rPr>
          <w:sz w:val="20"/>
          <w:szCs w:val="20"/>
          <w:color w:val="auto"/>
        </w:rPr>
      </w:pPr>
    </w:p>
    <w:p>
      <w:pPr>
        <w:ind w:left="1580" w:hanging="640"/>
        <w:spacing w:after="0"/>
        <w:tabs>
          <w:tab w:leader="none" w:pos="15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Size of Transaction and Reason for Transaction Do Not Matter</w:t>
      </w:r>
    </w:p>
    <w:p>
      <w:pPr>
        <w:spacing w:after="0" w:line="206"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ind w:left="940"/>
        <w:spacing w:after="0" w:line="230"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Examples of Insider Trading</w:t>
      </w:r>
      <w:r>
        <w:rPr>
          <w:rFonts w:ascii="Times New Roman" w:cs="Times New Roman" w:eastAsia="Times New Roman" w:hAnsi="Times New Roman"/>
          <w:sz w:val="22"/>
          <w:szCs w:val="22"/>
          <w:color w:val="auto"/>
        </w:rPr>
        <w:t xml:space="preserve"> Examples</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of insider trading cases include:</w:t>
      </w:r>
    </w:p>
    <w:p>
      <w:pPr>
        <w:spacing w:after="0" w:line="88" w:lineRule="exact"/>
        <w:rPr>
          <w:sz w:val="20"/>
          <w:szCs w:val="20"/>
          <w:color w:val="auto"/>
        </w:rPr>
      </w:pPr>
    </w:p>
    <w:p>
      <w:pPr>
        <w:jc w:val="both"/>
        <w:ind w:left="1580" w:right="299" w:hanging="316"/>
        <w:spacing w:after="0" w:line="244" w:lineRule="auto"/>
        <w:tabs>
          <w:tab w:leader="none" w:pos="1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actions brought against corporate officers, directors, and employees who traded in a company’s securities after learning of significant confidential corporate developments;</w:t>
      </w:r>
    </w:p>
    <w:p>
      <w:pPr>
        <w:spacing w:after="0" w:line="24" w:lineRule="exact"/>
        <w:rPr>
          <w:rFonts w:ascii="Times New Roman" w:cs="Times New Roman" w:eastAsia="Times New Roman" w:hAnsi="Times New Roman"/>
          <w:sz w:val="22"/>
          <w:szCs w:val="22"/>
          <w:color w:val="auto"/>
        </w:rPr>
      </w:pPr>
    </w:p>
    <w:p>
      <w:pPr>
        <w:jc w:val="both"/>
        <w:ind w:left="1580" w:right="319" w:hanging="316"/>
        <w:spacing w:after="0" w:line="244" w:lineRule="auto"/>
        <w:tabs>
          <w:tab w:leader="none" w:pos="1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friends, business associates, family members and other tippees of such officers, directors, and employees who traded in the securities after receiving such information;</w:t>
      </w:r>
    </w:p>
    <w:p>
      <w:pPr>
        <w:spacing w:after="0" w:line="65" w:lineRule="exact"/>
        <w:rPr>
          <w:rFonts w:ascii="Times New Roman" w:cs="Times New Roman" w:eastAsia="Times New Roman" w:hAnsi="Times New Roman"/>
          <w:sz w:val="22"/>
          <w:szCs w:val="22"/>
          <w:color w:val="auto"/>
        </w:rPr>
      </w:pPr>
    </w:p>
    <w:p>
      <w:pPr>
        <w:ind w:left="1580" w:right="319" w:hanging="316"/>
        <w:spacing w:after="0" w:line="258" w:lineRule="auto"/>
        <w:tabs>
          <w:tab w:leader="none" w:pos="1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employees who learned of such information in the course of their employment; and</w:t>
      </w:r>
    </w:p>
    <w:p>
      <w:pPr>
        <w:spacing w:after="0" w:line="50" w:lineRule="exact"/>
        <w:rPr>
          <w:rFonts w:ascii="Times New Roman" w:cs="Times New Roman" w:eastAsia="Times New Roman" w:hAnsi="Times New Roman"/>
          <w:sz w:val="22"/>
          <w:szCs w:val="22"/>
          <w:color w:val="auto"/>
        </w:rPr>
      </w:pPr>
    </w:p>
    <w:p>
      <w:pPr>
        <w:ind w:left="1580" w:right="319" w:hanging="316"/>
        <w:spacing w:after="0" w:line="258" w:lineRule="auto"/>
        <w:tabs>
          <w:tab w:leader="none" w:pos="1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persons who misappropriated, and took advantage of, confidential information from their employers.</w:t>
      </w:r>
    </w:p>
    <w:p>
      <w:pPr>
        <w:spacing w:after="0" w:line="37"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The following are illustrations of insider trading violations. These illustrations are hypothetical and, consequently, not intended to reflect on the actual activities or business of the Company or any other entity.</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u w:val="single" w:color="auto"/>
          <w:color w:val="auto"/>
        </w:rPr>
        <w:t>Trading by Insider</w:t>
      </w:r>
    </w:p>
    <w:p>
      <w:pPr>
        <w:spacing w:after="0" w:line="112" w:lineRule="exact"/>
        <w:rPr>
          <w:sz w:val="20"/>
          <w:szCs w:val="20"/>
          <w:color w:val="auto"/>
        </w:rPr>
      </w:pPr>
    </w:p>
    <w:p>
      <w:pPr>
        <w:jc w:val="both"/>
        <w:ind w:left="940" w:right="299"/>
        <w:spacing w:after="0" w:line="235" w:lineRule="auto"/>
        <w:rPr>
          <w:sz w:val="20"/>
          <w:szCs w:val="20"/>
          <w:color w:val="auto"/>
        </w:rPr>
      </w:pPr>
      <w:r>
        <w:rPr>
          <w:rFonts w:ascii="Times New Roman" w:cs="Times New Roman" w:eastAsia="Times New Roman" w:hAnsi="Times New Roman"/>
          <w:sz w:val="22"/>
          <w:szCs w:val="22"/>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1012825</wp:posOffset>
            </wp:positionV>
            <wp:extent cx="703770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5" w:name="page106"/>
    <w:bookmarkEnd w:id="105"/>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u w:val="single" w:color="auto"/>
          <w:color w:val="auto"/>
        </w:rPr>
        <w:t>Trading by Tippee</w:t>
      </w:r>
    </w:p>
    <w:p>
      <w:pPr>
        <w:spacing w:after="0" w:line="98" w:lineRule="exact"/>
        <w:rPr>
          <w:sz w:val="20"/>
          <w:szCs w:val="20"/>
          <w:color w:val="auto"/>
        </w:rPr>
      </w:pPr>
    </w:p>
    <w:p>
      <w:pPr>
        <w:jc w:val="both"/>
        <w:ind w:left="940" w:right="299"/>
        <w:spacing w:after="0" w:line="235" w:lineRule="auto"/>
        <w:rPr>
          <w:sz w:val="20"/>
          <w:szCs w:val="20"/>
          <w:color w:val="auto"/>
        </w:rPr>
      </w:pPr>
      <w:r>
        <w:rPr>
          <w:rFonts w:ascii="Times New Roman" w:cs="Times New Roman" w:eastAsia="Times New Roman" w:hAnsi="Times New Roman"/>
          <w:sz w:val="22"/>
          <w:szCs w:val="22"/>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183" w:lineRule="exact"/>
        <w:rPr>
          <w:sz w:val="20"/>
          <w:szCs w:val="20"/>
          <w:color w:val="auto"/>
        </w:rPr>
      </w:pPr>
    </w:p>
    <w:p>
      <w:pPr>
        <w:ind w:left="1580" w:hanging="640"/>
        <w:spacing w:after="0"/>
        <w:tabs>
          <w:tab w:leader="none" w:pos="15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of Records Falsification and False Statements</w:t>
      </w:r>
    </w:p>
    <w:p>
      <w:pPr>
        <w:spacing w:after="0" w:line="206" w:lineRule="exact"/>
        <w:rPr>
          <w:sz w:val="20"/>
          <w:szCs w:val="20"/>
          <w:color w:val="auto"/>
        </w:rPr>
      </w:pPr>
    </w:p>
    <w:p>
      <w:pPr>
        <w:jc w:val="both"/>
        <w:ind w:left="300" w:right="299" w:firstLine="647"/>
        <w:spacing w:after="0" w:line="249" w:lineRule="auto"/>
        <w:rPr>
          <w:sz w:val="20"/>
          <w:szCs w:val="20"/>
          <w:color w:val="auto"/>
        </w:rPr>
      </w:pPr>
      <w:r>
        <w:rPr>
          <w:rFonts w:ascii="Times New Roman" w:cs="Times New Roman" w:eastAsia="Times New Roman" w:hAnsi="Times New Roman"/>
          <w:sz w:val="21"/>
          <w:szCs w:val="21"/>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w:t>
      </w:r>
    </w:p>
    <w:p>
      <w:pPr>
        <w:spacing w:after="0" w:line="1" w:lineRule="exact"/>
        <w:rPr>
          <w:sz w:val="20"/>
          <w:szCs w:val="20"/>
          <w:color w:val="auto"/>
        </w:rPr>
      </w:pPr>
    </w:p>
    <w:p>
      <w:pPr>
        <w:jc w:val="both"/>
        <w:ind w:left="300" w:right="299" w:hanging="9"/>
        <w:spacing w:after="0" w:line="232" w:lineRule="auto"/>
        <w:tabs>
          <w:tab w:leader="none" w:pos="6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92"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rocedures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reventing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0"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designated employee is required to follow these procedures.</w:t>
      </w:r>
    </w:p>
    <w:p>
      <w:pPr>
        <w:spacing w:after="0" w:line="25" w:lineRule="exact"/>
        <w:rPr>
          <w:sz w:val="20"/>
          <w:szCs w:val="20"/>
          <w:color w:val="auto"/>
        </w:rPr>
      </w:pPr>
    </w:p>
    <w:p>
      <w:pPr>
        <w:ind w:left="1580" w:hanging="640"/>
        <w:spacing w:after="0"/>
        <w:tabs>
          <w:tab w:leader="none" w:pos="15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All Trades by All Officers, Directors and Certain Employees</w:t>
      </w:r>
    </w:p>
    <w:p>
      <w:pPr>
        <w:spacing w:after="0" w:line="206"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2"/>
          <w:szCs w:val="22"/>
          <w:b w:val="1"/>
          <w:bCs w:val="1"/>
          <w:color w:val="auto"/>
        </w:rPr>
        <w:t>all transactions in the Company’s securities (including without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limitation, acquisitions and dispositions of Company stock, the exercise of stock options and the sale of Company stock issued upon exercise of stock options) by officers, directors and such other employees as are designated in Schedule I, as may be amended from time to time by the Board of Directors, the Chief Executive Officer, Chief Financial Officer or the General Counsel as being subject to this pre-clearance process (each, a “</w:t>
      </w:r>
      <w:r>
        <w:rPr>
          <w:rFonts w:ascii="Times New Roman" w:cs="Times New Roman" w:eastAsia="Times New Roman" w:hAnsi="Times New Roman"/>
          <w:sz w:val="22"/>
          <w:szCs w:val="22"/>
          <w:b w:val="1"/>
          <w:bCs w:val="1"/>
          <w:i w:val="1"/>
          <w:iCs w:val="1"/>
          <w:color w:val="auto"/>
        </w:rPr>
        <w:t>Pre-Clearance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b w:val="1"/>
          <w:bCs w:val="1"/>
          <w:color w:val="auto"/>
        </w:rPr>
        <w:t>”) must be pre- cleared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the Company’s General Counsel. Pre-clearance does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relieve anyone of his or her responsibility under SEC rules. For the avoidance of doubt, any designation by the Board of Directors of the employees who are subject to pre-clearance may be updated from time to time by the Chief Executive Officer, the Chief Financial Officer or the General Counsel.</w:t>
      </w:r>
    </w:p>
    <w:p>
      <w:pPr>
        <w:spacing w:after="0" w:line="74"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A request for pre-clearance may be oral or in writing (including without limitation by e-mail), should be made at least two (2)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General Counsel, the Pre-Clearance Person must execute a certification (in the form approved by the General Counsel) that he, she or it is not aware of material, non-public information about the Company. The General Counsel shall have sole discretion to decide whether to clear any contemplated transaction, provided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607060</wp:posOffset>
            </wp:positionV>
            <wp:extent cx="703770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6" w:name="page107"/>
    <w:bookmarkEnd w:id="106"/>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1"/>
          <w:szCs w:val="21"/>
          <w:color w:val="auto"/>
        </w:rPr>
        <w:t>Chief Financial Officer shall have sole discretion to decide whether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General Counsel (or the Chief Financial Officer, in the case of the General Counsel or persons or entities subject to this policy as a result of their relationship with the General Counsel).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71" w:lineRule="exact"/>
        <w:rPr>
          <w:sz w:val="20"/>
          <w:szCs w:val="20"/>
          <w:color w:val="auto"/>
        </w:rPr>
      </w:pPr>
    </w:p>
    <w:p>
      <w:pPr>
        <w:ind w:left="1580" w:hanging="640"/>
        <w:spacing w:after="0"/>
        <w:tabs>
          <w:tab w:leader="none" w:pos="15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216"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b w:val="1"/>
          <w:bCs w:val="1"/>
          <w:color w:val="auto"/>
        </w:rPr>
        <w:t>No officer, director or other employee designated in Schedule II, as may be amended from time to time by the Board of Directors, the Chief Executive Officer, the Chief Financial Officer or the General Counsel as being subject to quarterly blackout periods shall purchase or sell any security of the Company during the period beginning at 11:59 p.m., Eastern time, on the 10</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22"/>
          <w:szCs w:val="22"/>
          <w:b w:val="1"/>
          <w:bCs w:val="1"/>
          <w:color w:val="auto"/>
        </w:rPr>
        <w:t xml:space="preserve">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 purchases and sales made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permitted transactions described in Section II. For example, if the Company’s fourth fiscal quarter ends at 11:59 p.m., Eastern time, on December 31, the corresponding blackout period would begin at 11:59 p.m., Eastern time, on</w:t>
      </w:r>
    </w:p>
    <w:p>
      <w:pPr>
        <w:spacing w:after="0" w:line="31" w:lineRule="exact"/>
        <w:rPr>
          <w:sz w:val="20"/>
          <w:szCs w:val="20"/>
          <w:color w:val="auto"/>
        </w:rPr>
      </w:pPr>
    </w:p>
    <w:p>
      <w:pPr>
        <w:jc w:val="both"/>
        <w:ind w:left="300" w:right="319"/>
        <w:spacing w:after="0" w:line="244" w:lineRule="auto"/>
        <w:rPr>
          <w:sz w:val="20"/>
          <w:szCs w:val="20"/>
          <w:color w:val="auto"/>
        </w:rPr>
      </w:pPr>
      <w:r>
        <w:rPr>
          <w:rFonts w:ascii="Times New Roman" w:cs="Times New Roman" w:eastAsia="Times New Roman" w:hAnsi="Times New Roman"/>
          <w:sz w:val="22"/>
          <w:szCs w:val="22"/>
          <w:color w:val="auto"/>
        </w:rPr>
        <w:t>December 21. For the avoidance of doubt, any designation by the Board of Directors of the employees who are subject to quarterly blackout periods may be updated from time to time by the Chief Executive Officer, Chief Financial Officer or General Counsel.</w:t>
      </w:r>
    </w:p>
    <w:p>
      <w:pPr>
        <w:spacing w:after="0" w:line="65" w:lineRule="exact"/>
        <w:rPr>
          <w:sz w:val="20"/>
          <w:szCs w:val="20"/>
          <w:color w:val="auto"/>
        </w:rPr>
      </w:pPr>
    </w:p>
    <w:p>
      <w:pPr>
        <w:jc w:val="both"/>
        <w:ind w:left="300" w:right="299" w:firstLine="701"/>
        <w:spacing w:after="0" w:line="238"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Company’s General Counsel (or, in the case of an exception for the General Counsel or persons or entities subject to this policy as a result of their relationship with the General Counsel, the Chief Financial Officer or, in the case of exceptions for directors or persons or entities subject to this policy as a result of their relationship with a director, the Board of Directors).</w:t>
      </w:r>
    </w:p>
    <w:p>
      <w:pPr>
        <w:spacing w:after="0" w:line="69" w:lineRule="exact"/>
        <w:rPr>
          <w:sz w:val="20"/>
          <w:szCs w:val="20"/>
          <w:color w:val="auto"/>
        </w:rPr>
      </w:pPr>
    </w:p>
    <w:p>
      <w:pPr>
        <w:jc w:val="both"/>
        <w:ind w:left="300" w:right="299" w:firstLine="647"/>
        <w:spacing w:after="0" w:line="249" w:lineRule="auto"/>
        <w:rPr>
          <w:sz w:val="20"/>
          <w:szCs w:val="20"/>
          <w:color w:val="auto"/>
        </w:rPr>
      </w:pPr>
      <w:r>
        <w:rPr>
          <w:rFonts w:ascii="Times New Roman" w:cs="Times New Roman" w:eastAsia="Times New Roman" w:hAnsi="Times New Roman"/>
          <w:sz w:val="21"/>
          <w:szCs w:val="21"/>
          <w:color w:val="auto"/>
        </w:rPr>
        <w:t>From time to time, the Company, through the Board of Directors, the Company’s disclosure committee, the Chief Financial Officer or the General Counsel,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spacing w:after="0" w:line="63"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77" w:lineRule="exact"/>
        <w:rPr>
          <w:sz w:val="20"/>
          <w:szCs w:val="20"/>
          <w:color w:val="auto"/>
        </w:rPr>
      </w:pPr>
    </w:p>
    <w:p>
      <w:pPr>
        <w:ind w:left="1580" w:hanging="640"/>
        <w:spacing w:after="0"/>
        <w:tabs>
          <w:tab w:leader="none" w:pos="15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p>
    <w:p>
      <w:pPr>
        <w:spacing w:after="0" w:line="206"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603250</wp:posOffset>
            </wp:positionV>
            <wp:extent cx="703770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7" w:name="page108"/>
    <w:bookmarkEnd w:id="107"/>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80" w:hanging="640"/>
        <w:spacing w:after="0"/>
        <w:tabs>
          <w:tab w:leader="none" w:pos="15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Relating to the Company</w:t>
      </w:r>
    </w:p>
    <w:p>
      <w:pPr>
        <w:spacing w:after="0" w:line="202" w:lineRule="exact"/>
        <w:rPr>
          <w:sz w:val="20"/>
          <w:szCs w:val="20"/>
          <w:color w:val="auto"/>
        </w:rPr>
      </w:pPr>
    </w:p>
    <w:p>
      <w:pPr>
        <w:ind w:left="2240" w:hanging="652"/>
        <w:spacing w:after="0"/>
        <w:tabs>
          <w:tab w:leader="none" w:pos="22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Access to Information</w:t>
      </w:r>
    </w:p>
    <w:p>
      <w:pPr>
        <w:spacing w:after="0" w:line="102" w:lineRule="exact"/>
        <w:rPr>
          <w:sz w:val="20"/>
          <w:szCs w:val="20"/>
          <w:color w:val="auto"/>
        </w:rPr>
      </w:pPr>
    </w:p>
    <w:p>
      <w:pPr>
        <w:jc w:val="both"/>
        <w:ind w:left="300" w:right="299" w:firstLine="647"/>
        <w:spacing w:after="0" w:line="249" w:lineRule="auto"/>
        <w:rPr>
          <w:sz w:val="20"/>
          <w:szCs w:val="20"/>
          <w:color w:val="auto"/>
        </w:rPr>
      </w:pPr>
      <w:r>
        <w:rPr>
          <w:rFonts w:ascii="Times New Roman" w:cs="Times New Roman" w:eastAsia="Times New Roman" w:hAnsi="Times New Roman"/>
          <w:sz w:val="21"/>
          <w:szCs w:val="21"/>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63"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28" w:lineRule="exact"/>
        <w:rPr>
          <w:sz w:val="20"/>
          <w:szCs w:val="20"/>
          <w:color w:val="auto"/>
        </w:rPr>
      </w:pPr>
    </w:p>
    <w:p>
      <w:pPr>
        <w:ind w:left="2240" w:hanging="652"/>
        <w:spacing w:after="0"/>
        <w:tabs>
          <w:tab w:leader="none" w:pos="22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Inquiries From Third Parties</w:t>
      </w:r>
    </w:p>
    <w:p>
      <w:pPr>
        <w:spacing w:after="0" w:line="102"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Inquiries from third parties, such as industry analysts or members of the media, about the Company should be directed to the Chief Financial Officer or the General Counsel.</w:t>
      </w:r>
    </w:p>
    <w:p>
      <w:pPr>
        <w:spacing w:after="0" w:line="158" w:lineRule="exact"/>
        <w:rPr>
          <w:sz w:val="20"/>
          <w:szCs w:val="20"/>
          <w:color w:val="auto"/>
        </w:rPr>
      </w:pPr>
    </w:p>
    <w:p>
      <w:pPr>
        <w:ind w:left="1580" w:hanging="640"/>
        <w:spacing w:after="0"/>
        <w:tabs>
          <w:tab w:leader="none" w:pos="15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Access to Company Information</w:t>
      </w:r>
    </w:p>
    <w:p>
      <w:pPr>
        <w:spacing w:after="0" w:line="206"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The following procedures are designed to maintain confidentiality with respect to the Company’s business operations and activities.</w:t>
      </w:r>
    </w:p>
    <w:p>
      <w:pPr>
        <w:spacing w:after="0" w:line="50"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All officers, directors and employees should take all steps and precautions necessary to restrict access to, and secure, material, non-public information by, among other things:</w:t>
      </w:r>
    </w:p>
    <w:p>
      <w:pPr>
        <w:spacing w:after="0" w:line="50" w:lineRule="exact"/>
        <w:rPr>
          <w:sz w:val="20"/>
          <w:szCs w:val="20"/>
          <w:color w:val="auto"/>
        </w:rPr>
      </w:pPr>
    </w:p>
    <w:p>
      <w:pPr>
        <w:ind w:left="1580" w:hanging="316"/>
        <w:spacing w:after="0"/>
        <w:tabs>
          <w:tab w:leader="none" w:pos="15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the confidentiality of Company-related transactions;</w:t>
      </w:r>
    </w:p>
    <w:p>
      <w:pPr>
        <w:spacing w:after="0" w:line="98" w:lineRule="exact"/>
        <w:rPr>
          <w:rFonts w:ascii="Times New Roman" w:cs="Times New Roman" w:eastAsia="Times New Roman" w:hAnsi="Times New Roman"/>
          <w:sz w:val="22"/>
          <w:szCs w:val="22"/>
          <w:color w:val="auto"/>
        </w:rPr>
      </w:pPr>
    </w:p>
    <w:p>
      <w:pPr>
        <w:jc w:val="both"/>
        <w:ind w:left="1580" w:right="299" w:hanging="316"/>
        <w:spacing w:after="0" w:line="239" w:lineRule="auto"/>
        <w:tabs>
          <w:tab w:leader="none" w:pos="15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72" w:lineRule="exact"/>
        <w:rPr>
          <w:rFonts w:ascii="Times New Roman" w:cs="Times New Roman" w:eastAsia="Times New Roman" w:hAnsi="Times New Roman"/>
          <w:sz w:val="22"/>
          <w:szCs w:val="22"/>
          <w:color w:val="auto"/>
        </w:rPr>
      </w:pPr>
    </w:p>
    <w:p>
      <w:pPr>
        <w:jc w:val="both"/>
        <w:ind w:left="1580" w:right="319" w:hanging="316"/>
        <w:spacing w:after="0" w:line="239" w:lineRule="auto"/>
        <w:tabs>
          <w:tab w:leader="none" w:pos="15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72" w:lineRule="exact"/>
        <w:rPr>
          <w:rFonts w:ascii="Times New Roman" w:cs="Times New Roman" w:eastAsia="Times New Roman" w:hAnsi="Times New Roman"/>
          <w:sz w:val="22"/>
          <w:szCs w:val="22"/>
          <w:color w:val="auto"/>
        </w:rPr>
      </w:pPr>
    </w:p>
    <w:p>
      <w:pPr>
        <w:ind w:left="1580" w:right="299" w:hanging="316"/>
        <w:spacing w:after="0" w:line="258" w:lineRule="auto"/>
        <w:tabs>
          <w:tab w:leader="none" w:pos="15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removing and cleaning up all confidential documents and other materials from conference rooms following the conclusion of any meetings;</w:t>
      </w:r>
    </w:p>
    <w:p>
      <w:pPr>
        <w:spacing w:after="0" w:line="50" w:lineRule="exact"/>
        <w:rPr>
          <w:rFonts w:ascii="Times New Roman" w:cs="Times New Roman" w:eastAsia="Times New Roman" w:hAnsi="Times New Roman"/>
          <w:sz w:val="22"/>
          <w:szCs w:val="22"/>
          <w:color w:val="auto"/>
        </w:rPr>
      </w:pPr>
    </w:p>
    <w:p>
      <w:pPr>
        <w:ind w:left="1580" w:right="299" w:hanging="316"/>
        <w:spacing w:after="0" w:line="258" w:lineRule="auto"/>
        <w:tabs>
          <w:tab w:leader="none" w:pos="15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disposing of all confidential documents and other papers, after there is no longer any business or other legally required need, through shredders when appropriate;</w:t>
      </w:r>
    </w:p>
    <w:p>
      <w:pPr>
        <w:spacing w:after="0" w:line="50" w:lineRule="exact"/>
        <w:rPr>
          <w:rFonts w:ascii="Times New Roman" w:cs="Times New Roman" w:eastAsia="Times New Roman" w:hAnsi="Times New Roman"/>
          <w:sz w:val="22"/>
          <w:szCs w:val="22"/>
          <w:color w:val="auto"/>
        </w:rPr>
      </w:pPr>
    </w:p>
    <w:p>
      <w:pPr>
        <w:ind w:left="1580" w:right="319" w:hanging="316"/>
        <w:spacing w:after="0" w:line="258" w:lineRule="auto"/>
        <w:tabs>
          <w:tab w:leader="none" w:pos="15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areas likely to contain confidential documents or material, non- public information;</w:t>
      </w:r>
    </w:p>
    <w:p>
      <w:pPr>
        <w:spacing w:after="0" w:line="50" w:lineRule="exact"/>
        <w:rPr>
          <w:rFonts w:ascii="Times New Roman" w:cs="Times New Roman" w:eastAsia="Times New Roman" w:hAnsi="Times New Roman"/>
          <w:sz w:val="22"/>
          <w:szCs w:val="22"/>
          <w:color w:val="auto"/>
        </w:rPr>
      </w:pPr>
    </w:p>
    <w:p>
      <w:pPr>
        <w:ind w:left="1580" w:right="319" w:hanging="316"/>
        <w:spacing w:after="0" w:line="258" w:lineRule="auto"/>
        <w:tabs>
          <w:tab w:leader="none" w:pos="15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safeguarding laptop computers, mobile devices, tablets, memory sticks, CDs and other items that contain confidential information; and</w:t>
      </w:r>
    </w:p>
    <w:p>
      <w:pPr>
        <w:spacing w:after="0" w:line="50" w:lineRule="exact"/>
        <w:rPr>
          <w:rFonts w:ascii="Times New Roman" w:cs="Times New Roman" w:eastAsia="Times New Roman" w:hAnsi="Times New Roman"/>
          <w:sz w:val="22"/>
          <w:szCs w:val="22"/>
          <w:color w:val="auto"/>
        </w:rPr>
      </w:pPr>
    </w:p>
    <w:p>
      <w:pPr>
        <w:jc w:val="both"/>
        <w:ind w:left="1580" w:right="299" w:hanging="316"/>
        <w:spacing w:after="0" w:line="244" w:lineRule="auto"/>
        <w:tabs>
          <w:tab w:leader="none" w:pos="15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avoiding the discussion of material, non-public information in places where the information could be overheard by others such as in elevators, restrooms, hallways, restaurants, airplanes or taxicabs.</w:t>
      </w:r>
    </w:p>
    <w:p>
      <w:pPr>
        <w:spacing w:after="0" w:line="65"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Personnel involved with material, non-public information, to the extent feasible, should conduct their business and activities in areas separate from other Company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593725</wp:posOffset>
            </wp:positionV>
            <wp:extent cx="703770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8" w:name="page109"/>
    <w:bookmarkEnd w:id="108"/>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40" w:hanging="648"/>
        <w:spacing w:after="0"/>
        <w:tabs>
          <w:tab w:leader="none" w:pos="94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180" w:lineRule="exact"/>
        <w:rPr>
          <w:sz w:val="20"/>
          <w:szCs w:val="20"/>
          <w:color w:val="auto"/>
        </w:rPr>
      </w:pPr>
    </w:p>
    <w:p>
      <w:pPr>
        <w:ind w:left="1580" w:hanging="640"/>
        <w:spacing w:after="0"/>
        <w:tabs>
          <w:tab w:leader="none" w:pos="15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p>
    <w:p>
      <w:pPr>
        <w:spacing w:after="0" w:line="206"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Short sales of the Company’s securities evidence an expectation on the part of the seller that the securities will decline in value, and therefore signal to the market that the seller has no</w:t>
      </w:r>
    </w:p>
    <w:p>
      <w:pPr>
        <w:spacing w:after="0" w:line="10"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 xml:space="preserve">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sales of shares that the insider does not own at the time of sale, or sales of shares against which the insider does not deliver the shares within 20 days after the sale.</w:t>
      </w:r>
    </w:p>
    <w:p>
      <w:pPr>
        <w:spacing w:after="0" w:line="183" w:lineRule="exact"/>
        <w:rPr>
          <w:sz w:val="20"/>
          <w:szCs w:val="20"/>
          <w:color w:val="auto"/>
        </w:rPr>
      </w:pPr>
    </w:p>
    <w:p>
      <w:pPr>
        <w:ind w:left="1580" w:hanging="640"/>
        <w:spacing w:after="0"/>
        <w:tabs>
          <w:tab w:leader="none" w:pos="15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206"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w:t>
      </w:r>
    </w:p>
    <w:p>
      <w:pPr>
        <w:spacing w:after="0" w:line="178" w:lineRule="exact"/>
        <w:rPr>
          <w:sz w:val="20"/>
          <w:szCs w:val="20"/>
          <w:color w:val="auto"/>
        </w:rPr>
      </w:pPr>
    </w:p>
    <w:p>
      <w:pPr>
        <w:ind w:left="1580" w:hanging="640"/>
        <w:spacing w:after="0"/>
        <w:tabs>
          <w:tab w:leader="none" w:pos="15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Transactions</w:t>
      </w:r>
    </w:p>
    <w:p>
      <w:pPr>
        <w:spacing w:after="0" w:line="206"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83" w:lineRule="exact"/>
        <w:rPr>
          <w:sz w:val="20"/>
          <w:szCs w:val="20"/>
          <w:color w:val="auto"/>
        </w:rPr>
      </w:pPr>
    </w:p>
    <w:p>
      <w:pPr>
        <w:ind w:left="1540" w:right="899" w:hanging="600"/>
        <w:spacing w:after="0" w:line="258" w:lineRule="auto"/>
        <w:tabs>
          <w:tab w:leader="none" w:pos="15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of the Company’s Securities on Margin; Pledging the Company’s Securities to Secure Margin or Other Loans</w:t>
      </w:r>
    </w:p>
    <w:p>
      <w:pPr>
        <w:spacing w:after="0" w:line="158"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except as otherwise pre-approved by the Board of Directors in each instance. Pledging the Company’s securities as collateral to secure loans is prohibited. This prohibition means, among other things, that you cannot hold the Company’s securities in a “margin account” (which would allow you to borrow against your holdings to buy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606425</wp:posOffset>
            </wp:positionV>
            <wp:extent cx="703770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9" w:name="page110"/>
    <w:bookmarkEnd w:id="109"/>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securities).</w:t>
      </w:r>
    </w:p>
    <w:p>
      <w:pPr>
        <w:spacing w:after="0" w:line="206" w:lineRule="exact"/>
        <w:rPr>
          <w:sz w:val="20"/>
          <w:szCs w:val="20"/>
          <w:color w:val="auto"/>
        </w:rPr>
      </w:pPr>
    </w:p>
    <w:p>
      <w:pPr>
        <w:ind w:left="1580" w:hanging="640"/>
        <w:spacing w:after="0"/>
        <w:tabs>
          <w:tab w:leader="none" w:pos="15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 and Executive Officer Cashless Exercises</w:t>
      </w:r>
    </w:p>
    <w:p>
      <w:pPr>
        <w:spacing w:after="0" w:line="206"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(iii) the director or officer</w:t>
      </w:r>
    </w:p>
    <w:p>
      <w:pPr>
        <w:spacing w:after="0" w:line="33"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uses a “T+2” cashless exercise arrangement, in which the Company agrees to deliver stock against the payment of the purchase price on the same day the sale of the stock underlying the equity award settles and (iv) the director or officer otherwise complies with this Policy. Under a T+2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General Counsel.</w:t>
      </w:r>
    </w:p>
    <w:p>
      <w:pPr>
        <w:spacing w:after="0" w:line="183" w:lineRule="exact"/>
        <w:rPr>
          <w:sz w:val="20"/>
          <w:szCs w:val="20"/>
          <w:color w:val="auto"/>
        </w:rPr>
      </w:pPr>
    </w:p>
    <w:p>
      <w:pPr>
        <w:ind w:left="1580" w:hanging="640"/>
        <w:spacing w:after="0"/>
        <w:tabs>
          <w:tab w:leader="none" w:pos="15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Partnership Distributions</w:t>
      </w:r>
    </w:p>
    <w:p>
      <w:pPr>
        <w:spacing w:after="0" w:line="206"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91"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ule</w:t>
      </w:r>
      <w:r>
        <w:rPr>
          <w:rFonts w:ascii="Times New Roman" w:cs="Times New Roman" w:eastAsia="Times New Roman" w:hAnsi="Times New Roman"/>
          <w:sz w:val="22"/>
          <w:szCs w:val="22"/>
          <w:b w:val="1"/>
          <w:bCs w:val="1"/>
          <w:color w:val="auto"/>
        </w:rPr>
        <w:t xml:space="preserve"> 10</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22"/>
          <w:szCs w:val="22"/>
          <w:b w:val="1"/>
          <w:bCs w:val="1"/>
          <w:color w:val="auto"/>
        </w:rPr>
        <w:t>5-1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210" w:lineRule="exact"/>
        <w:rPr>
          <w:sz w:val="20"/>
          <w:szCs w:val="20"/>
          <w:color w:val="auto"/>
        </w:rPr>
      </w:pPr>
    </w:p>
    <w:p>
      <w:pPr>
        <w:ind w:left="1580" w:hanging="640"/>
        <w:spacing w:after="0"/>
        <w:tabs>
          <w:tab w:leader="none" w:pos="15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Overview</w:t>
      </w:r>
    </w:p>
    <w:p>
      <w:pPr>
        <w:spacing w:after="0" w:line="206" w:lineRule="exact"/>
        <w:rPr>
          <w:sz w:val="20"/>
          <w:szCs w:val="20"/>
          <w:color w:val="auto"/>
        </w:rPr>
      </w:pPr>
    </w:p>
    <w:p>
      <w:pPr>
        <w:jc w:val="both"/>
        <w:ind w:left="300" w:right="299" w:firstLine="647"/>
        <w:spacing w:after="0" w:line="232" w:lineRule="auto"/>
        <w:rPr>
          <w:sz w:val="20"/>
          <w:szCs w:val="20"/>
          <w:color w:val="auto"/>
        </w:rPr>
      </w:pPr>
      <w:r>
        <w:rPr>
          <w:rFonts w:ascii="Times New Roman" w:cs="Times New Roman" w:eastAsia="Times New Roman" w:hAnsi="Times New Roman"/>
          <w:sz w:val="22"/>
          <w:szCs w:val="22"/>
          <w:color w:val="auto"/>
        </w:rPr>
        <w:t>Rule 10b5-1 presents an opportunity for insiders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(a “</w:t>
      </w:r>
      <w:r>
        <w:rPr>
          <w:rFonts w:ascii="Times New Roman" w:cs="Times New Roman" w:eastAsia="Times New Roman" w:hAnsi="Times New Roman"/>
          <w:sz w:val="22"/>
          <w:szCs w:val="22"/>
          <w:b w:val="1"/>
          <w:bCs w:val="1"/>
          <w:i w:val="1"/>
          <w:iCs w:val="1"/>
          <w:color w:val="auto"/>
        </w:rPr>
        <w:t>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entered into in good faith and in accordance with the terms of Rule 10b5-1 and 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Company’s General Counsel, or such other person as the Board of Directors may designate from time to time (the “</w:t>
      </w:r>
      <w:r>
        <w:rPr>
          <w:rFonts w:ascii="Times New Roman" w:cs="Times New Roman" w:eastAsia="Times New Roman" w:hAnsi="Times New Roman"/>
          <w:sz w:val="22"/>
          <w:szCs w:val="22"/>
          <w:b w:val="1"/>
          <w:bCs w:val="1"/>
          <w:i w:val="1"/>
          <w:iCs w:val="1"/>
          <w:color w:val="auto"/>
        </w:rPr>
        <w:t>Authorizing Officer</w:t>
      </w:r>
      <w:r>
        <w:rPr>
          <w:rFonts w:ascii="Times New Roman" w:cs="Times New Roman" w:eastAsia="Times New Roman" w:hAnsi="Times New Roman"/>
          <w:sz w:val="22"/>
          <w:szCs w:val="22"/>
          <w:color w:val="auto"/>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78" w:lineRule="exact"/>
        <w:rPr>
          <w:sz w:val="20"/>
          <w:szCs w:val="20"/>
          <w:color w:val="auto"/>
        </w:rPr>
      </w:pPr>
    </w:p>
    <w:p>
      <w:pPr>
        <w:ind w:left="300" w:right="419" w:firstLine="647"/>
        <w:spacing w:after="0" w:line="286" w:lineRule="auto"/>
        <w:rPr>
          <w:sz w:val="20"/>
          <w:szCs w:val="20"/>
          <w:color w:val="auto"/>
        </w:rPr>
      </w:pPr>
      <w:r>
        <w:rPr>
          <w:rFonts w:ascii="Times New Roman" w:cs="Times New Roman" w:eastAsia="Times New Roman" w:hAnsi="Times New Roman"/>
          <w:sz w:val="21"/>
          <w:szCs w:val="21"/>
          <w:b w:val="1"/>
          <w:bCs w:val="1"/>
          <w:color w:val="auto"/>
        </w:rPr>
        <w:t>Trading Plans do not exempt individuals from complying with Section 16 reporting obligations or from short-swing profit rules or liability. Furthermore, a Trading Plan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0" w:name="page111"/>
    <w:bookmarkEnd w:id="110"/>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80" w:lineRule="exact"/>
        <w:rPr>
          <w:sz w:val="20"/>
          <w:szCs w:val="20"/>
          <w:color w:val="auto"/>
        </w:rPr>
      </w:pPr>
    </w:p>
    <w:p>
      <w:pPr>
        <w:ind w:left="300" w:right="619"/>
        <w:spacing w:after="0" w:line="262" w:lineRule="auto"/>
        <w:rPr>
          <w:sz w:val="20"/>
          <w:szCs w:val="20"/>
          <w:color w:val="auto"/>
        </w:rPr>
      </w:pPr>
      <w:r>
        <w:rPr>
          <w:rFonts w:ascii="Times New Roman" w:cs="Times New Roman" w:eastAsia="Times New Roman" w:hAnsi="Times New Roman"/>
          <w:sz w:val="22"/>
          <w:szCs w:val="22"/>
          <w:b w:val="1"/>
          <w:bCs w:val="1"/>
          <w:color w:val="auto"/>
        </w:rPr>
        <w:t>provides an “affirmative defense” in the event there is an insider trading lawsuit. It does not prevent someone from bringing a lawsuit.</w:t>
      </w:r>
    </w:p>
    <w:p>
      <w:pPr>
        <w:spacing w:after="0" w:line="32"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w:t>
      </w:r>
    </w:p>
    <w:p>
      <w:pPr>
        <w:spacing w:after="0" w:line="33" w:lineRule="exact"/>
        <w:rPr>
          <w:sz w:val="20"/>
          <w:szCs w:val="20"/>
          <w:color w:val="auto"/>
        </w:rPr>
      </w:pPr>
    </w:p>
    <w:p>
      <w:pPr>
        <w:jc w:val="both"/>
        <w:ind w:left="300" w:right="299"/>
        <w:spacing w:after="0" w:line="233" w:lineRule="auto"/>
        <w:rPr>
          <w:sz w:val="20"/>
          <w:szCs w:val="20"/>
          <w:color w:val="auto"/>
        </w:rPr>
      </w:pPr>
      <w:r>
        <w:rPr>
          <w:rFonts w:ascii="Times New Roman" w:cs="Times New Roman" w:eastAsia="Times New Roman" w:hAnsi="Times New Roman"/>
          <w:sz w:val="22"/>
          <w:szCs w:val="22"/>
          <w:color w:val="auto"/>
        </w:rPr>
        <w:t>Company promptly on the day of each trade to permit the Company’s filing coordinator to assist in the preparation and filing of a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79"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Officers, directors and employees may adopt Trading Plans with brokers that outline a pre- set plan for trading of the Company’s stock, including the exercise of options. Trades pursuant to a Trading Plan generally may occur at any time. However, the Company requires a cooling-off period of 30 calendar days between the establishment of a Trading Plan and commencement of any transactions under such plan. An individual may adopt more than one Trading Plan. Please review the following description of how a Trading Plan works.</w:t>
      </w:r>
    </w:p>
    <w:p>
      <w:pPr>
        <w:spacing w:after="0" w:line="73"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Pursuant to Rule 10b5-1, an individual’s purchase or sale of securities will not be “on the basis of” material, non-public information if:</w:t>
      </w:r>
    </w:p>
    <w:p>
      <w:pPr>
        <w:spacing w:after="0" w:line="50" w:lineRule="exact"/>
        <w:rPr>
          <w:sz w:val="20"/>
          <w:szCs w:val="20"/>
          <w:color w:val="auto"/>
        </w:rPr>
      </w:pPr>
    </w:p>
    <w:p>
      <w:pPr>
        <w:jc w:val="both"/>
        <w:ind w:left="1580" w:right="299" w:hanging="316"/>
        <w:spacing w:after="0" w:line="239" w:lineRule="auto"/>
        <w:tabs>
          <w:tab w:leader="none" w:pos="15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72"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the Trading Plan must either:</w:t>
      </w:r>
    </w:p>
    <w:p>
      <w:pPr>
        <w:spacing w:after="0" w:line="98" w:lineRule="exact"/>
        <w:rPr>
          <w:rFonts w:ascii="Times New Roman" w:cs="Times New Roman" w:eastAsia="Times New Roman" w:hAnsi="Times New Roman"/>
          <w:sz w:val="22"/>
          <w:szCs w:val="22"/>
          <w:color w:val="auto"/>
        </w:rPr>
      </w:pPr>
    </w:p>
    <w:p>
      <w:pPr>
        <w:jc w:val="both"/>
        <w:ind w:left="2240" w:right="299" w:hanging="328"/>
        <w:spacing w:after="0" w:line="244" w:lineRule="auto"/>
        <w:tabs>
          <w:tab w:leader="none" w:pos="2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amount of securities to be purchased or sold, the price at which the securities are to be purchased or sold and the date on which the securities are to be purchased or sold;</w:t>
      </w:r>
    </w:p>
    <w:p>
      <w:pPr>
        <w:spacing w:after="0" w:line="65" w:lineRule="exact"/>
        <w:rPr>
          <w:rFonts w:ascii="Times New Roman" w:cs="Times New Roman" w:eastAsia="Times New Roman" w:hAnsi="Times New Roman"/>
          <w:sz w:val="22"/>
          <w:szCs w:val="22"/>
          <w:color w:val="auto"/>
        </w:rPr>
      </w:pPr>
    </w:p>
    <w:p>
      <w:pPr>
        <w:ind w:left="2240" w:right="319" w:hanging="328"/>
        <w:spacing w:after="0" w:line="258" w:lineRule="auto"/>
        <w:tabs>
          <w:tab w:leader="none" w:pos="2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written formula or computer program for determining the amount, price and date of the transactions; or</w:t>
      </w:r>
    </w:p>
    <w:p>
      <w:pPr>
        <w:spacing w:after="0" w:line="50" w:lineRule="exact"/>
        <w:rPr>
          <w:rFonts w:ascii="Times New Roman" w:cs="Times New Roman" w:eastAsia="Times New Roman" w:hAnsi="Times New Roman"/>
          <w:sz w:val="22"/>
          <w:szCs w:val="22"/>
          <w:color w:val="auto"/>
        </w:rPr>
      </w:pPr>
    </w:p>
    <w:p>
      <w:pPr>
        <w:jc w:val="both"/>
        <w:ind w:left="2240" w:right="299" w:hanging="328"/>
        <w:spacing w:after="0" w:line="244" w:lineRule="auto"/>
        <w:tabs>
          <w:tab w:leader="none" w:pos="2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the individual from exercising any subsequent influence over the purchase or sale of the Company’s stock under the Trading Plan in question.</w:t>
      </w:r>
    </w:p>
    <w:p>
      <w:pPr>
        <w:spacing w:after="0" w:line="65" w:lineRule="exact"/>
        <w:rPr>
          <w:rFonts w:ascii="Times New Roman" w:cs="Times New Roman" w:eastAsia="Times New Roman" w:hAnsi="Times New Roman"/>
          <w:sz w:val="22"/>
          <w:szCs w:val="22"/>
          <w:color w:val="auto"/>
        </w:rPr>
      </w:pPr>
    </w:p>
    <w:p>
      <w:pPr>
        <w:jc w:val="both"/>
        <w:ind w:left="1580" w:right="319" w:hanging="316"/>
        <w:spacing w:after="0" w:line="244" w:lineRule="auto"/>
        <w:tabs>
          <w:tab w:leader="none" w:pos="15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the purchase or sale must occur pursuant to the Trading Plan and the individual must not enter into a corresponding hedging transaction or alter or deviate from the Trading Plan.</w:t>
      </w:r>
    </w:p>
    <w:p>
      <w:pPr>
        <w:spacing w:after="0" w:line="65"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For clarity, the requirements of this Section VI.A do not apply to any Trading Plan entered into by a venture capital partnership or other similar entity with which a director is affiliated. It is the responsibility of each such venture capital partnership or other entity, in consultation with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607695</wp:posOffset>
            </wp:positionV>
            <wp:extent cx="703770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1" w:name="page112"/>
    <w:bookmarkEnd w:id="111"/>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22"/>
          <w:szCs w:val="22"/>
          <w:color w:val="auto"/>
        </w:rPr>
        <w:t>own counsel (as appropriate), to comply with applicable securities laws in connection with any Trading Plan.</w:t>
      </w:r>
    </w:p>
    <w:p>
      <w:pPr>
        <w:spacing w:after="0" w:line="10" w:lineRule="exact"/>
        <w:rPr>
          <w:sz w:val="20"/>
          <w:szCs w:val="20"/>
          <w:color w:val="auto"/>
        </w:rPr>
      </w:pPr>
    </w:p>
    <w:p>
      <w:pPr>
        <w:ind w:left="1580" w:hanging="640"/>
        <w:spacing w:after="0"/>
        <w:tabs>
          <w:tab w:leader="none" w:pos="15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 of and Amendments to Trading Plans</w:t>
      </w:r>
    </w:p>
    <w:p>
      <w:pPr>
        <w:spacing w:after="0" w:line="206" w:lineRule="exact"/>
        <w:rPr>
          <w:sz w:val="20"/>
          <w:szCs w:val="20"/>
          <w:color w:val="auto"/>
        </w:rPr>
      </w:pPr>
    </w:p>
    <w:p>
      <w:pPr>
        <w:jc w:val="both"/>
        <w:ind w:left="300" w:right="319" w:firstLine="647"/>
        <w:spacing w:after="0" w:line="236" w:lineRule="auto"/>
        <w:rPr>
          <w:sz w:val="20"/>
          <w:szCs w:val="20"/>
          <w:color w:val="auto"/>
        </w:rPr>
      </w:pPr>
      <w:r>
        <w:rPr>
          <w:rFonts w:ascii="Times New Roman" w:cs="Times New Roman" w:eastAsia="Times New Roman" w:hAnsi="Times New Roman"/>
          <w:sz w:val="22"/>
          <w:szCs w:val="22"/>
          <w:color w:val="auto"/>
        </w:rPr>
        <w:t>Revocation of Trading Plans should occur only in unusual circumstances. Effectiveness of any revocation or amendment of a Trading Plan will be subject to the prior review and approval of the Authorizing Officer. Revocation is effected upon written notice to the broker. Once a Trading Plan has been revoked, the participant should wait at least 30 calendar days before trading outside of a Trading Plan and 90 calendar days before establishing a new Trading Plan.</w:t>
      </w:r>
    </w:p>
    <w:p>
      <w:pPr>
        <w:spacing w:after="0" w:line="73"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A person acting in good faith may amend a prior Trading Plan so long as such amendments are made outside of a quarterly trading black-out period and at a time when the Trading Plan participant does not possess material, non-public information. Plan amendments must not take effect for at least 30 calendar days after the plan amendments are made.</w:t>
      </w:r>
    </w:p>
    <w:p>
      <w:pPr>
        <w:spacing w:after="0" w:line="68"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spacing w:after="0" w:line="181" w:lineRule="exact"/>
        <w:rPr>
          <w:sz w:val="20"/>
          <w:szCs w:val="20"/>
          <w:color w:val="auto"/>
        </w:rPr>
      </w:pPr>
    </w:p>
    <w:p>
      <w:pPr>
        <w:ind w:left="1580" w:hanging="640"/>
        <w:spacing w:after="0"/>
        <w:tabs>
          <w:tab w:leader="none" w:pos="15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Plans</w:t>
      </w:r>
    </w:p>
    <w:p>
      <w:pPr>
        <w:spacing w:after="0" w:line="206"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Although non-discretionary Trading Plans are preferred, discretionary Trading Plans, where the discretion or control over trading is transferred to a broker, are permitted if pre-approved by the Authorizing Officer.</w:t>
      </w:r>
    </w:p>
    <w:p>
      <w:pPr>
        <w:spacing w:after="0" w:line="65"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81" w:lineRule="exact"/>
        <w:rPr>
          <w:sz w:val="20"/>
          <w:szCs w:val="20"/>
          <w:color w:val="auto"/>
        </w:rPr>
      </w:pPr>
    </w:p>
    <w:p>
      <w:pPr>
        <w:ind w:left="1580" w:hanging="640"/>
        <w:spacing w:after="0"/>
        <w:tabs>
          <w:tab w:leader="none" w:pos="15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(if Required)</w:t>
      </w:r>
    </w:p>
    <w:p>
      <w:pPr>
        <w:spacing w:after="0" w:line="206"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was adopted on .”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-648970</wp:posOffset>
            </wp:positionV>
            <wp:extent cx="857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50" w:lineRule="exact"/>
        <w:rPr>
          <w:sz w:val="20"/>
          <w:szCs w:val="20"/>
          <w:color w:val="auto"/>
        </w:rPr>
      </w:pPr>
    </w:p>
    <w:p>
      <w:pPr>
        <w:ind w:left="1580" w:hanging="640"/>
        <w:spacing w:after="0"/>
        <w:tabs>
          <w:tab w:leader="none" w:pos="15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98"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605790</wp:posOffset>
            </wp:positionV>
            <wp:extent cx="703770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2" w:name="page113"/>
    <w:bookmarkEnd w:id="112"/>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30" w:lineRule="exact"/>
        <w:rPr>
          <w:sz w:val="20"/>
          <w:szCs w:val="20"/>
          <w:color w:val="auto"/>
        </w:rPr>
      </w:pPr>
    </w:p>
    <w:p>
      <w:pPr>
        <w:jc w:val="both"/>
        <w:ind w:left="300" w:right="319"/>
        <w:spacing w:after="0" w:line="238" w:lineRule="auto"/>
        <w:rPr>
          <w:sz w:val="20"/>
          <w:szCs w:val="20"/>
          <w:color w:val="auto"/>
        </w:rPr>
      </w:pPr>
      <w:r>
        <w:rPr>
          <w:rFonts w:ascii="Times New Roman" w:cs="Times New Roman" w:eastAsia="Times New Roman" w:hAnsi="Times New Roman"/>
          <w:sz w:val="22"/>
          <w:szCs w:val="22"/>
          <w:color w:val="auto"/>
        </w:rPr>
        <w:t>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69" w:lineRule="exact"/>
        <w:rPr>
          <w:sz w:val="20"/>
          <w:szCs w:val="20"/>
          <w:color w:val="auto"/>
        </w:rPr>
      </w:pPr>
    </w:p>
    <w:p>
      <w:pPr>
        <w:ind w:left="1580" w:hanging="640"/>
        <w:spacing w:after="0"/>
        <w:tabs>
          <w:tab w:leader="none" w:pos="15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a Trading Plan</w:t>
      </w:r>
    </w:p>
    <w:p>
      <w:pPr>
        <w:spacing w:after="0" w:line="98"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50" w:lineRule="exact"/>
        <w:rPr>
          <w:sz w:val="20"/>
          <w:szCs w:val="20"/>
          <w:color w:val="auto"/>
        </w:rPr>
      </w:pPr>
    </w:p>
    <w:p>
      <w:pPr>
        <w:ind w:left="1580" w:hanging="640"/>
        <w:spacing w:after="0"/>
        <w:tabs>
          <w:tab w:leader="none" w:pos="15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Announcements</w:t>
      </w:r>
    </w:p>
    <w:p>
      <w:pPr>
        <w:spacing w:after="0" w:line="98"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spacing w:after="0" w:line="69" w:lineRule="exact"/>
        <w:rPr>
          <w:sz w:val="20"/>
          <w:szCs w:val="20"/>
          <w:color w:val="auto"/>
        </w:rPr>
      </w:pPr>
    </w:p>
    <w:p>
      <w:pPr>
        <w:ind w:left="1580" w:hanging="640"/>
        <w:spacing w:after="0"/>
        <w:tabs>
          <w:tab w:leader="none" w:pos="15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p>
    <w:p>
      <w:pPr>
        <w:spacing w:after="0" w:line="98"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72" w:lineRule="exact"/>
        <w:rPr>
          <w:sz w:val="20"/>
          <w:szCs w:val="20"/>
          <w:color w:val="auto"/>
        </w:rPr>
      </w:pPr>
    </w:p>
    <w:p>
      <w:pPr>
        <w:ind w:left="1580" w:hanging="640"/>
        <w:spacing w:after="0"/>
        <w:tabs>
          <w:tab w:leader="none" w:pos="15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p>
    <w:p>
      <w:pPr>
        <w:spacing w:after="0" w:line="98" w:lineRule="exact"/>
        <w:rPr>
          <w:sz w:val="20"/>
          <w:szCs w:val="20"/>
          <w:color w:val="auto"/>
        </w:rPr>
      </w:pPr>
    </w:p>
    <w:p>
      <w:pPr>
        <w:ind w:left="300" w:right="399" w:firstLine="647"/>
        <w:spacing w:after="0" w:line="246" w:lineRule="auto"/>
        <w:rPr>
          <w:sz w:val="20"/>
          <w:szCs w:val="20"/>
          <w:color w:val="auto"/>
        </w:rPr>
      </w:pPr>
      <w:r>
        <w:rPr>
          <w:rFonts w:ascii="Times New Roman" w:cs="Times New Roman" w:eastAsia="Times New Roman" w:hAnsi="Times New Roman"/>
          <w:sz w:val="21"/>
          <w:szCs w:val="21"/>
          <w:color w:val="auto"/>
        </w:rPr>
        <w:t>None of the Company, the Chief Executive Officer, the Chief Financial Officer, General Counsel, the Authorizing Officer,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Chief Financial Officer, General Counsel, the Authorizing Officer, the Company’s other employees or any other person assumes any liability for the legality or consequences of such Trading Plan or transaction to the person engaging in or adopting such Trading Plan or transaction.</w:t>
      </w:r>
    </w:p>
    <w:p>
      <w:pPr>
        <w:spacing w:after="0" w:line="200" w:lineRule="exact"/>
        <w:rPr>
          <w:sz w:val="20"/>
          <w:szCs w:val="20"/>
          <w:color w:val="auto"/>
        </w:rPr>
      </w:pPr>
    </w:p>
    <w:p>
      <w:pPr>
        <w:spacing w:after="0" w:line="228"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VII.</w:t>
        <w:tab/>
        <w:t>E</w:t>
      </w:r>
      <w:r>
        <w:rPr>
          <w:rFonts w:ascii="Times New Roman" w:cs="Times New Roman" w:eastAsia="Times New Roman" w:hAnsi="Times New Roman"/>
          <w:sz w:val="14"/>
          <w:szCs w:val="14"/>
          <w:b w:val="1"/>
          <w:bCs w:val="1"/>
          <w:color w:val="auto"/>
        </w:rPr>
        <w:t>xecution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eturn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ertification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p>
    <w:p>
      <w:pPr>
        <w:spacing w:after="0" w:line="210"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After reading this Policy and on an annual basis, all officers, directors and employees should execute and return to the Company’s General Counsel the Certification of Compliance form.</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Effective Date: June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1798320</wp:posOffset>
            </wp:positionV>
            <wp:extent cx="703770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820" w:type="dxa"/>
            <w:vAlign w:val="bottom"/>
            <w:gridSpan w:val="3"/>
          </w:tcPr>
          <w:p>
            <w:pPr>
              <w:ind w:left="1060"/>
              <w:spacing w:after="0"/>
              <w:rPr>
                <w:sz w:val="20"/>
                <w:szCs w:val="20"/>
                <w:color w:val="auto"/>
              </w:rPr>
            </w:pPr>
            <w:r>
              <w:rPr>
                <w:rFonts w:ascii="Times New Roman" w:cs="Times New Roman" w:eastAsia="Times New Roman" w:hAnsi="Times New Roman"/>
                <w:sz w:val="20"/>
                <w:szCs w:val="20"/>
                <w:b w:val="1"/>
                <w:bCs w:val="1"/>
                <w:color w:val="auto"/>
              </w:rPr>
              <w:t>Subsidiaries of Talkspace, Inc.</w:t>
            </w:r>
          </w:p>
        </w:tc>
      </w:tr>
      <w:tr>
        <w:trPr>
          <w:trHeight w:val="258"/>
        </w:trPr>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7820" w:type="dxa"/>
            <w:vAlign w:val="bottom"/>
            <w:gridSpan w:val="3"/>
          </w:tcPr>
          <w:p>
            <w:pPr>
              <w:ind w:left="1340"/>
              <w:spacing w:after="0"/>
              <w:rPr>
                <w:sz w:val="20"/>
                <w:szCs w:val="20"/>
                <w:color w:val="auto"/>
              </w:rPr>
            </w:pPr>
            <w:r>
              <w:rPr>
                <w:rFonts w:ascii="Times New Roman" w:cs="Times New Roman" w:eastAsia="Times New Roman" w:hAnsi="Times New Roman"/>
                <w:sz w:val="20"/>
                <w:szCs w:val="20"/>
                <w:color w:val="auto"/>
              </w:rPr>
              <w:t>As of December 31, 2024</w:t>
            </w:r>
          </w:p>
        </w:tc>
      </w:tr>
      <w:tr>
        <w:trPr>
          <w:trHeight w:val="66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Legal Name</w:t>
            </w:r>
          </w:p>
        </w:tc>
        <w:tc>
          <w:tcPr>
            <w:tcW w:w="2380" w:type="dxa"/>
            <w:vAlign w:val="bottom"/>
          </w:tcPr>
          <w:p>
            <w:pPr>
              <w:spacing w:after="0"/>
              <w:rPr>
                <w:sz w:val="24"/>
                <w:szCs w:val="24"/>
                <w:color w:val="auto"/>
              </w:rPr>
            </w:pPr>
          </w:p>
        </w:tc>
        <w:tc>
          <w:tcPr>
            <w:tcW w:w="7820" w:type="dxa"/>
            <w:vAlign w:val="bottom"/>
            <w:gridSpan w:val="3"/>
          </w:tcPr>
          <w:p>
            <w:pPr>
              <w:ind w:left="3460"/>
              <w:spacing w:after="0"/>
              <w:rPr>
                <w:sz w:val="20"/>
                <w:szCs w:val="20"/>
                <w:color w:val="auto"/>
              </w:rPr>
            </w:pPr>
            <w:r>
              <w:rPr>
                <w:rFonts w:ascii="Times New Roman" w:cs="Times New Roman" w:eastAsia="Times New Roman" w:hAnsi="Times New Roman"/>
                <w:sz w:val="20"/>
                <w:szCs w:val="20"/>
                <w:b w:val="1"/>
                <w:bCs w:val="1"/>
                <w:color w:val="auto"/>
              </w:rPr>
              <w:t>Jurisdiction of Incorporation</w:t>
            </w: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4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Talkspace LLC</w:t>
            </w:r>
          </w:p>
        </w:tc>
        <w:tc>
          <w:tcPr>
            <w:tcW w:w="7820" w:type="dxa"/>
            <w:vAlign w:val="bottom"/>
            <w:gridSpan w:val="3"/>
          </w:tcPr>
          <w:p>
            <w:pPr>
              <w:ind w:left="3460"/>
              <w:spacing w:after="0" w:line="228" w:lineRule="exact"/>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Teenspace LLC</w:t>
            </w:r>
          </w:p>
        </w:tc>
        <w:tc>
          <w:tcPr>
            <w:tcW w:w="7820" w:type="dxa"/>
            <w:vAlign w:val="bottom"/>
            <w:gridSpan w:val="3"/>
          </w:tcPr>
          <w:p>
            <w:pPr>
              <w:ind w:left="3460"/>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20" w:type="dxa"/>
            <w:vAlign w:val="bottom"/>
          </w:tcPr>
          <w:p>
            <w:pPr>
              <w:spacing w:after="0"/>
              <w:rPr>
                <w:sz w:val="22"/>
                <w:szCs w:val="22"/>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Groop Internet Platform LTD</w:t>
            </w:r>
          </w:p>
        </w:tc>
        <w:tc>
          <w:tcPr>
            <w:tcW w:w="7820" w:type="dxa"/>
            <w:vAlign w:val="bottom"/>
            <w:gridSpan w:val="3"/>
          </w:tcPr>
          <w:p>
            <w:pPr>
              <w:ind w:left="3460"/>
              <w:spacing w:after="0"/>
              <w:rPr>
                <w:sz w:val="20"/>
                <w:szCs w:val="20"/>
                <w:color w:val="auto"/>
              </w:rPr>
            </w:pPr>
            <w:r>
              <w:rPr>
                <w:rFonts w:ascii="Times New Roman" w:cs="Times New Roman" w:eastAsia="Times New Roman" w:hAnsi="Times New Roman"/>
                <w:sz w:val="20"/>
                <w:szCs w:val="20"/>
                <w:color w:val="auto"/>
              </w:rPr>
              <w:t>Israel</w:t>
            </w:r>
          </w:p>
        </w:tc>
      </w:tr>
      <w:tr>
        <w:trPr>
          <w:trHeight w:val="1769"/>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ind w:left="9380"/>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333-257686) of Talkspace,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333-277905) pertaining to the 2021 Incentive Award Plan of Talkspace,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333-270825) pertaining to the 2021 Incentive Award Plan of Talkspace, Inc.,</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333-263329) pertaining to the 2021 Incentive Award Plan and 2021 Employee Stock Purchase Plan of Talkspace, Inc.,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333-259165) pertaining to the 2014 Stock Incentive Plan, 2021 Incentive Award Plan and 2021 Employee Stock Purchase Plan of Talkspace, Inc.;</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March 12, 2025, with respect to the consolidated financial statements of Talkspace, Inc. and the effectiveness of internal control over financial reporting of Talkspace, Inc. included in this Annual Report (Form 10-K) of Talkspace, Inc. for the year ended December 31,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R. Cohen, certify that:</w:t>
      </w:r>
    </w:p>
    <w:p>
      <w:pPr>
        <w:spacing w:after="0" w:line="225" w:lineRule="exact"/>
        <w:rPr>
          <w:sz w:val="20"/>
          <w:szCs w:val="20"/>
          <w:color w:val="auto"/>
        </w:rPr>
      </w:pPr>
    </w:p>
    <w:p>
      <w:pPr>
        <w:ind w:left="520" w:hanging="512"/>
        <w:spacing w:after="0"/>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2025</w:t>
            </w:r>
          </w:p>
        </w:tc>
        <w:tc>
          <w:tcPr>
            <w:tcW w:w="2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R. Cohen</w:t>
            </w:r>
          </w:p>
        </w:tc>
      </w:tr>
      <w:tr>
        <w:trPr>
          <w:trHeight w:val="191"/>
        </w:trPr>
        <w:tc>
          <w:tcPr>
            <w:tcW w:w="35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5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Harris, certify that:</w:t>
      </w:r>
    </w:p>
    <w:p>
      <w:pPr>
        <w:spacing w:after="0" w:line="225"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2025</w:t>
            </w: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Talkspace, Inc. (the “Company”) for the year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2025</w:t>
            </w: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R. Cohen</w:t>
            </w:r>
          </w:p>
        </w:tc>
      </w:tr>
      <w:tr>
        <w:trPr>
          <w:trHeight w:val="191"/>
        </w:trPr>
        <w:tc>
          <w:tcPr>
            <w:tcW w:w="3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79"/>
        </w:trPr>
        <w:tc>
          <w:tcPr>
            <w:tcW w:w="3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Talkspace, Inc. (the “Company”) for the year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2025</w:t>
            </w: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lowerRoman"/>
      <w:start w:val="3"/>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1"/>
      <w:numFmt w:val="lowerLetter"/>
      <w:start w:val="1"/>
    </w:lvl>
    <w:lvl w:ilvl="1">
      <w:lvlJc w:val="left"/>
      <w:lvlText w:val="(%2)"/>
      <w:numFmt w:val="decimal"/>
      <w:start w:val="1"/>
    </w:lvl>
  </w:abstractNum>
  <w:abstractNum w:abstractNumId="23">
    <w:nsid w:val="7E0C57B1"/>
    <w:multiLevelType w:val="hybridMultilevel"/>
    <w:lvl w:ilvl="0">
      <w:lvlJc w:val="left"/>
      <w:lvlText w:val="(%1)"/>
      <w:numFmt w:val="lowerLetter"/>
      <w:start w:val="2"/>
    </w:lvl>
    <w:lvl w:ilvl="1">
      <w:lvlJc w:val="left"/>
      <w:lvlText w:val="%2"/>
      <w:numFmt w:val="decimal"/>
      <w:start w:val="1"/>
    </w:lvl>
  </w:abstractNum>
  <w:abstractNum w:abstractNumId="24">
    <w:nsid w:val="77AE35EB"/>
    <w:multiLevelType w:val="hybridMultilevel"/>
    <w:lvl w:ilvl="0">
      <w:lvlJc w:val="left"/>
      <w:lvlText w:val="(%1)"/>
      <w:numFmt w:val="lowerLetter"/>
      <w:start w:val="3"/>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1."/>
      <w:numFmt w:val="decimal"/>
      <w:start w:val="1"/>
    </w:lvl>
    <w:lvl w:ilvl="1">
      <w:lvlJc w:val="left"/>
      <w:lvlText w:val="%2."/>
      <w:numFmt w:val="lowerLetter"/>
      <w:start w:val="1"/>
    </w:lvl>
  </w:abstractNum>
  <w:abstractNum w:abstractNumId="28">
    <w:nsid w:val="2F305DEF"/>
    <w:multiLevelType w:val="hybridMultilevel"/>
    <w:lvl w:ilvl="0">
      <w:lvlJc w:val="left"/>
      <w:lvlText w:val="%1."/>
      <w:numFmt w:val="lowerLetter"/>
      <w:start w:val="3"/>
    </w:lvl>
  </w:abstractNum>
  <w:abstractNum w:abstractNumId="29">
    <w:nsid w:val="25A70BF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
    <w:nsid w:val="1DBABF00"/>
    <w:multiLevelType w:val="hybridMultilevel"/>
    <w:lvl w:ilvl="0">
      <w:lvlJc w:val="left"/>
      <w:lvlText w:val="%1."/>
      <w:numFmt w:val="lowerRoman"/>
      <w:start w:val="3"/>
    </w:lvl>
  </w:abstractNum>
  <w:abstractNum w:abstractNumId="31">
    <w:nsid w:val="4AD084E9"/>
    <w:multiLevelType w:val="hybridMultilevel"/>
    <w:lvl w:ilvl="0">
      <w:lvlJc w:val="left"/>
      <w:lvlText w:val="%1."/>
      <w:numFmt w:val="lowerRoman"/>
      <w:start w:val="4"/>
    </w:lvl>
  </w:abstractNum>
  <w:abstractNum w:abstractNumId="32">
    <w:nsid w:val="1F48EAA1"/>
    <w:multiLevelType w:val="hybridMultilevel"/>
    <w:lvl w:ilvl="0">
      <w:lvlJc w:val="left"/>
      <w:lvlText w:val="%1."/>
      <w:numFmt w:val="decimal"/>
      <w:start w:val="1"/>
    </w:lvl>
    <w:lvl w:ilvl="1">
      <w:lvlJc w:val="left"/>
      <w:lvlText w:val="%2."/>
      <w:numFmt w:val="lowerLetter"/>
      <w:start w:val="1"/>
    </w:lvl>
  </w:abstractNum>
  <w:abstractNum w:abstractNumId="33">
    <w:nsid w:val="1381823A"/>
    <w:multiLevelType w:val="hybridMultilevel"/>
    <w:lvl w:ilvl="0">
      <w:lvlJc w:val="left"/>
      <w:lvlText w:val="%1"/>
      <w:numFmt w:val="decimal"/>
      <w:start w:val="1"/>
    </w:lvl>
    <w:lvl w:ilvl="1">
      <w:lvlJc w:val="left"/>
      <w:lvlText w:val="%2."/>
      <w:numFmt w:val="lowerLetter"/>
      <w:start w:val="4"/>
    </w:lvl>
  </w:abstractNum>
  <w:abstractNum w:abstractNumId="34">
    <w:nsid w:val="5DB70AE5"/>
    <w:multiLevelType w:val="hybridMultilevel"/>
    <w:lvl w:ilvl="0">
      <w:lvlJc w:val="left"/>
      <w:lvlText w:val="%1."/>
      <w:numFmt w:val="decimal"/>
      <w:start w:val="3"/>
    </w:lvl>
    <w:lvl w:ilvl="1">
      <w:lvlJc w:val="left"/>
      <w:lvlText w:val="%2"/>
      <w:numFmt w:val="lowerLetter"/>
      <w:start w:val="1"/>
    </w:lvl>
  </w:abstractNum>
  <w:abstractNum w:abstractNumId="35">
    <w:nsid w:val="100F8FCA"/>
    <w:multiLevelType w:val="hybridMultilevel"/>
    <w:lvl w:ilvl="0">
      <w:lvlJc w:val="left"/>
      <w:lvlText w:val="%1."/>
      <w:numFmt w:val="lowerLetter"/>
      <w:start w:val="1"/>
    </w:lvl>
  </w:abstractNum>
  <w:abstractNum w:abstractNumId="36">
    <w:nsid w:val="6590700B"/>
    <w:multiLevelType w:val="hybridMultilevel"/>
    <w:lvl w:ilvl="0">
      <w:lvlJc w:val="left"/>
      <w:lvlText w:val="%1."/>
      <w:numFmt w:val="lowerLetter"/>
      <w:start w:val="3"/>
    </w:lvl>
  </w:abstractNum>
  <w:abstractNum w:abstractNumId="37">
    <w:nsid w:val="15014ACB"/>
    <w:multiLevelType w:val="hybridMultilevel"/>
    <w:lvl w:ilvl="0">
      <w:lvlJc w:val="left"/>
      <w:lvlText w:val="%1."/>
      <w:numFmt w:val="lowerLetter"/>
      <w:start w:val="5"/>
    </w:lvl>
  </w:abstractNum>
  <w:abstractNum w:abstractNumId="38">
    <w:nsid w:val="5F5E7FD0"/>
    <w:multiLevelType w:val="hybridMultilevel"/>
    <w:lvl w:ilvl="0">
      <w:lvlJc w:val="left"/>
      <w:lvlText w:val="%1."/>
      <w:numFmt w:val="lowerLetter"/>
      <w:start w:val="7"/>
    </w:lvl>
  </w:abstractNum>
  <w:abstractNum w:abstractNumId="39">
    <w:nsid w:val="98A3148"/>
    <w:multiLevelType w:val="hybridMultilevel"/>
    <w:lvl w:ilvl="0">
      <w:lvlJc w:val="left"/>
      <w:lvlText w:val="%1."/>
      <w:numFmt w:val="decimal"/>
      <w:start w:val="5"/>
    </w:lvl>
  </w:abstractNum>
  <w:abstractNum w:abstractNumId="40">
    <w:nsid w:val="799D0247"/>
    <w:multiLevelType w:val="hybridMultilevel"/>
    <w:lvl w:ilvl="0">
      <w:lvlJc w:val="left"/>
      <w:lvlText w:val="%1."/>
      <w:numFmt w:val="decimal"/>
      <w:start w:val="6"/>
    </w:lvl>
  </w:abstractNum>
  <w:abstractNum w:abstractNumId="41">
    <w:nsid w:val="6B94764"/>
    <w:multiLevelType w:val="hybridMultilevel"/>
    <w:lvl w:ilvl="0">
      <w:lvlJc w:val="left"/>
      <w:lvlText w:val="%1."/>
      <w:numFmt w:val="lowerLetter"/>
      <w:start w:val="1"/>
    </w:lvl>
  </w:abstractNum>
  <w:abstractNum w:abstractNumId="42">
    <w:nsid w:val="42C296BD"/>
    <w:multiLevelType w:val="hybridMultilevel"/>
    <w:lvl w:ilvl="0">
      <w:lvlJc w:val="left"/>
      <w:lvlText w:val="%1."/>
      <w:numFmt w:val="lowerLetter"/>
      <w:start w:val="2"/>
    </w:lvl>
  </w:abstractNum>
  <w:abstractNum w:abstractNumId="43">
    <w:nsid w:val="168E121F"/>
    <w:multiLevelType w:val="hybridMultilevel"/>
    <w:lvl w:ilvl="0">
      <w:lvlJc w:val="left"/>
      <w:lvlText w:val="%1."/>
      <w:numFmt w:val="decimal"/>
      <w:start w:val="7"/>
    </w:lvl>
  </w:abstractNum>
  <w:abstractNum w:abstractNumId="44">
    <w:nsid w:val="1EBA5D23"/>
    <w:multiLevelType w:val="hybridMultilevel"/>
    <w:lvl w:ilvl="0">
      <w:lvlJc w:val="left"/>
      <w:lvlText w:val="%1."/>
      <w:numFmt w:val="decimal"/>
      <w:start w:val="9"/>
    </w:lvl>
  </w:abstractNum>
  <w:abstractNum w:abstractNumId="45">
    <w:nsid w:val="661E3F1E"/>
    <w:multiLevelType w:val="hybridMultilevel"/>
    <w:lvl w:ilvl="0">
      <w:lvlJc w:val="left"/>
      <w:lvlText w:val="%1."/>
      <w:numFmt w:val="lowerLetter"/>
      <w:start w:val="1"/>
    </w:lvl>
  </w:abstractNum>
  <w:abstractNum w:abstractNumId="46">
    <w:nsid w:val="5DC79EA8"/>
    <w:multiLevelType w:val="hybridMultilevel"/>
    <w:lvl w:ilvl="0">
      <w:lvlJc w:val="left"/>
      <w:lvlText w:val="%1."/>
      <w:numFmt w:val="lowerLetter"/>
      <w:start w:val="4"/>
    </w:lvl>
  </w:abstractNum>
  <w:abstractNum w:abstractNumId="47">
    <w:nsid w:val="540A471C"/>
    <w:multiLevelType w:val="hybridMultilevel"/>
    <w:lvl w:ilvl="0">
      <w:lvlJc w:val="left"/>
      <w:lvlText w:val="%1."/>
      <w:numFmt w:val="decimal"/>
      <w:start w:val="10"/>
    </w:lvl>
  </w:abstractNum>
  <w:abstractNum w:abstractNumId="48">
    <w:nsid w:val="7BD3EE7B"/>
    <w:multiLevelType w:val="hybridMultilevel"/>
    <w:lvl w:ilvl="0">
      <w:lvlJc w:val="left"/>
      <w:lvlText w:val="%1"/>
      <w:numFmt w:val="decimal"/>
      <w:start w:val="1"/>
    </w:lvl>
    <w:lvl w:ilvl="1">
      <w:lvlJc w:val="left"/>
      <w:lvlText w:val="%2."/>
      <w:numFmt w:val="lowerLetter"/>
      <w:start w:val="1"/>
    </w:lvl>
  </w:abstractNum>
  <w:abstractNum w:abstractNumId="49">
    <w:nsid w:val="51D9C564"/>
    <w:multiLevelType w:val="hybridMultilevel"/>
    <w:lvl w:ilvl="0">
      <w:lvlJc w:val="left"/>
      <w:lvlText w:val="(%1)"/>
      <w:numFmt w:val="decimal"/>
      <w:start w:val="21"/>
    </w:lvl>
    <w:lvl w:ilvl="1">
      <w:lvlJc w:val="left"/>
      <w:lvlText w:val="%2"/>
      <w:numFmt w:val="lowerLetter"/>
      <w:start w:val="1"/>
    </w:lvl>
  </w:abstractNum>
  <w:abstractNum w:abstractNumId="50">
    <w:nsid w:val="613EFDC5"/>
    <w:multiLevelType w:val="hybridMultilevel"/>
    <w:lvl w:ilvl="0">
      <w:lvlJc w:val="left"/>
      <w:lvlText w:val="%1."/>
      <w:numFmt w:val="decimal"/>
      <w:start w:val="11"/>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decimal"/>
      <w:start w:val="12"/>
    </w:lvl>
  </w:abstractNum>
  <w:abstractNum w:abstractNumId="53">
    <w:nsid w:val="42963E5A"/>
    <w:multiLevelType w:val="hybridMultilevel"/>
    <w:lvl w:ilvl="0">
      <w:lvlJc w:val="left"/>
      <w:lvlText w:val="%1"/>
      <w:numFmt w:val="upperLetter"/>
      <w:start w:val="1"/>
    </w:lvl>
    <w:lvl w:ilvl="1">
      <w:lvlJc w:val="left"/>
      <w:lvlText w:val="•"/>
      <w:numFmt w:val="bullet"/>
      <w:start w:val="1"/>
    </w:lvl>
  </w:abstractNum>
  <w:abstractNum w:abstractNumId="54">
    <w:nsid w:val="A0382C5"/>
    <w:multiLevelType w:val="hybridMultilevel"/>
    <w:lvl w:ilvl="0">
      <w:lvlJc w:val="left"/>
      <w:lvlText w:val="%1."/>
      <w:numFmt w:val="upperLetter"/>
      <w:start w:val="35"/>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1."/>
      <w:numFmt w:val="upperLetter"/>
      <w:start w:val="6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1."/>
      <w:numFmt w:val="upperLetter"/>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1."/>
      <w:numFmt w:val="upperLetter"/>
      <w:start w:val="2"/>
    </w:lvl>
  </w:abstractNum>
  <w:abstractNum w:abstractNumId="62">
    <w:nsid w:val="14330624"/>
    <w:multiLevelType w:val="hybridMultilevel"/>
    <w:lvl w:ilvl="0">
      <w:lvlJc w:val="left"/>
      <w:lvlText w:val="%1."/>
      <w:numFmt w:val="upperLetter"/>
      <w:start w:val="3"/>
    </w:lvl>
  </w:abstractNum>
  <w:abstractNum w:abstractNumId="63">
    <w:nsid w:val="7FFFCA11"/>
    <w:multiLevelType w:val="hybridMultilevel"/>
    <w:lvl w:ilvl="0">
      <w:lvlJc w:val="left"/>
      <w:lvlText w:val="%1."/>
      <w:numFmt w:val="upperLetter"/>
      <w:start w:val="4"/>
    </w:lvl>
  </w:abstractNum>
  <w:abstractNum w:abstractNumId="64">
    <w:nsid w:val="1A27709E"/>
    <w:multiLevelType w:val="hybridMultilevel"/>
    <w:lvl w:ilvl="0">
      <w:lvlJc w:val="left"/>
      <w:lvlText w:val="%1."/>
      <w:numFmt w:val="upperLetter"/>
      <w:start w:val="5"/>
    </w:lvl>
  </w:abstractNum>
  <w:abstractNum w:abstractNumId="65">
    <w:nsid w:val="71EA1109"/>
    <w:multiLevelType w:val="hybridMultilevel"/>
    <w:lvl w:ilvl="0">
      <w:lvlJc w:val="left"/>
      <w:lvlText w:val="•"/>
      <w:numFmt w:val="bullet"/>
      <w:start w:val="1"/>
    </w:lvl>
    <w:lvl w:ilvl="1">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1."/>
      <w:numFmt w:val="upperLetter"/>
      <w:start w:val="6"/>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1."/>
      <w:numFmt w:val="upperLetter"/>
      <w:start w:val="8"/>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1."/>
      <w:numFmt w:val="upperLetter"/>
      <w:start w:val="1"/>
    </w:lvl>
  </w:abstractNum>
  <w:abstractNum w:abstractNumId="72">
    <w:nsid w:val="76272110"/>
    <w:multiLevelType w:val="hybridMultilevel"/>
    <w:lvl w:ilvl="0">
      <w:lvlJc w:val="left"/>
      <w:lvlText w:val="%1."/>
      <w:numFmt w:val="upperLetter"/>
      <w:start w:val="2"/>
    </w:lvl>
  </w:abstractNum>
  <w:abstractNum w:abstractNumId="73">
    <w:nsid w:val="4C04A8AF"/>
    <w:multiLevelType w:val="hybridMultilevel"/>
    <w:lvl w:ilvl="0">
      <w:lvlJc w:val="left"/>
      <w:lvlText w:val="%1."/>
      <w:numFmt w:val="upperLetter"/>
      <w:start w:val="3"/>
    </w:lvl>
  </w:abstractNum>
  <w:abstractNum w:abstractNumId="74">
    <w:nsid w:val="1716703B"/>
    <w:multiLevelType w:val="hybridMultilevel"/>
    <w:lvl w:ilvl="0">
      <w:lvlJc w:val="left"/>
      <w:lvlText w:val="%1."/>
      <w:numFmt w:val="upperLetter"/>
      <w:start w:val="4"/>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decimal"/>
      <w:start w:val="2"/>
    </w:lvl>
  </w:abstractNum>
  <w:abstractNum w:abstractNumId="77">
    <w:nsid w:val="74DE0EE3"/>
    <w:multiLevelType w:val="hybridMultilevel"/>
    <w:lvl w:ilvl="0">
      <w:lvlJc w:val="left"/>
      <w:lvlText w:val="%1."/>
      <w:numFmt w:val="upperLetter"/>
      <w:start w:val="5"/>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1."/>
      <w:numFmt w:val="upperLetter"/>
      <w:start w:val="22"/>
    </w:lvl>
  </w:abstractNum>
  <w:abstractNum w:abstractNumId="80">
    <w:nsid w:val="46B7D447"/>
    <w:multiLevelType w:val="hybridMultilevel"/>
    <w:lvl w:ilvl="0">
      <w:lvlJc w:val="left"/>
      <w:lvlText w:val="%1."/>
      <w:numFmt w:val="upperLetter"/>
      <w:start w:val="1"/>
    </w:lvl>
  </w:abstractNum>
  <w:abstractNum w:abstractNumId="81">
    <w:nsid w:val="4A2AC315"/>
    <w:multiLevelType w:val="hybridMultilevel"/>
    <w:lvl w:ilvl="0">
      <w:lvlJc w:val="left"/>
      <w:lvlText w:val="%1."/>
      <w:numFmt w:val="upperLetter"/>
      <w:start w:val="2"/>
    </w:lvl>
  </w:abstractNum>
  <w:abstractNum w:abstractNumId="82">
    <w:nsid w:val="39EE015C"/>
    <w:multiLevelType w:val="hybridMultilevel"/>
    <w:lvl w:ilvl="0">
      <w:lvlJc w:val="left"/>
      <w:lvlText w:val="%1."/>
      <w:numFmt w:val="upperLetter"/>
      <w:start w:val="3"/>
    </w:lvl>
  </w:abstractNum>
  <w:abstractNum w:abstractNumId="83">
    <w:nsid w:val="57FC4FBB"/>
    <w:multiLevelType w:val="hybridMultilevel"/>
    <w:lvl w:ilvl="0">
      <w:lvlJc w:val="left"/>
      <w:lvlText w:val="%1."/>
      <w:numFmt w:val="upperLetter"/>
      <w:start w:val="4"/>
    </w:lvl>
  </w:abstractNum>
  <w:abstractNum w:abstractNumId="84">
    <w:nsid w:val="CC1016F"/>
    <w:multiLevelType w:val="hybridMultilevel"/>
    <w:lvl w:ilvl="0">
      <w:lvlJc w:val="left"/>
      <w:lvlText w:val="%1."/>
      <w:numFmt w:val="upperLetter"/>
      <w:start w:val="5"/>
    </w:lvl>
  </w:abstractNum>
  <w:abstractNum w:abstractNumId="85">
    <w:nsid w:val="43F18422"/>
    <w:multiLevelType w:val="hybridMultilevel"/>
    <w:lvl w:ilvl="0">
      <w:lvlJc w:val="left"/>
      <w:lvlText w:val="%1."/>
      <w:numFmt w:val="upperLetter"/>
      <w:start w:val="6"/>
    </w:lvl>
  </w:abstractNum>
  <w:abstractNum w:abstractNumId="86">
    <w:nsid w:val="60EF0119"/>
    <w:multiLevelType w:val="hybridMultilevel"/>
    <w:lvl w:ilvl="0">
      <w:lvlJc w:val="left"/>
      <w:lvlText w:val="%1."/>
      <w:numFmt w:val="upperLetter"/>
      <w:start w:val="1"/>
    </w:lvl>
  </w:abstractNum>
  <w:abstractNum w:abstractNumId="87">
    <w:nsid w:val="26F324BA"/>
    <w:multiLevelType w:val="hybridMultilevel"/>
    <w:lvl w:ilvl="0">
      <w:lvlJc w:val="left"/>
      <w:lvlText w:val="•"/>
      <w:numFmt w:val="bullet"/>
      <w:start w:val="1"/>
    </w:lvl>
    <w:lvl w:ilvl="1">
      <w:lvlJc w:val="left"/>
      <w:lvlText w:val="•"/>
      <w:numFmt w:val="bullet"/>
      <w:start w:val="1"/>
    </w:lvl>
  </w:abstractNum>
  <w:abstractNum w:abstractNumId="88">
    <w:nsid w:val="7F01579B"/>
    <w:multiLevelType w:val="hybridMultilevel"/>
    <w:lvl w:ilvl="0">
      <w:lvlJc w:val="left"/>
      <w:lvlText w:val="%1."/>
      <w:numFmt w:val="upperLetter"/>
      <w:start w:val="2"/>
    </w:lvl>
  </w:abstractNum>
  <w:abstractNum w:abstractNumId="89">
    <w:nsid w:val="49DA307D"/>
    <w:multiLevelType w:val="hybridMultilevel"/>
    <w:lvl w:ilvl="0">
      <w:lvlJc w:val="left"/>
      <w:lvlText w:val="%1."/>
      <w:numFmt w:val="upperLetter"/>
      <w:start w:val="3"/>
    </w:lvl>
  </w:abstractNum>
  <w:abstractNum w:abstractNumId="90">
    <w:nsid w:val="7055A5F5"/>
    <w:multiLevelType w:val="hybridMultilevel"/>
    <w:lvl w:ilvl="0">
      <w:lvlJc w:val="left"/>
      <w:lvlText w:val="%1."/>
      <w:numFmt w:val="upperLetter"/>
      <w:start w:val="4"/>
    </w:lvl>
  </w:abstractNum>
  <w:abstractNum w:abstractNumId="91">
    <w:nsid w:val="5FB8370B"/>
    <w:multiLevelType w:val="hybridMultilevel"/>
    <w:lvl w:ilvl="0">
      <w:lvlJc w:val="left"/>
      <w:lvlText w:val="%1."/>
      <w:numFmt w:val="upperLetter"/>
      <w:start w:val="5"/>
    </w:lvl>
  </w:abstractNum>
  <w:abstractNum w:abstractNumId="92">
    <w:nsid w:val="50801EE1"/>
    <w:multiLevelType w:val="hybridMultilevel"/>
    <w:lvl w:ilvl="0">
      <w:lvlJc w:val="left"/>
      <w:lvlText w:val="%1."/>
      <w:numFmt w:val="upperLetter"/>
      <w:start w:val="6"/>
    </w:lvl>
  </w:abstractNum>
  <w:abstractNum w:abstractNumId="93">
    <w:nsid w:val="488AC1A"/>
    <w:multiLevelType w:val="hybridMultilevel"/>
    <w:lvl w:ilvl="0">
      <w:lvlJc w:val="left"/>
      <w:lvlText w:val="%1."/>
      <w:numFmt w:val="upperLetter"/>
      <w:start w:val="7"/>
    </w:lvl>
  </w:abstractNum>
  <w:abstractNum w:abstractNumId="94">
    <w:nsid w:val="5FB8011C"/>
    <w:multiLevelType w:val="hybridMultilevel"/>
    <w:lvl w:ilvl="0">
      <w:lvlJc w:val="left"/>
      <w:lvlText w:val="%1."/>
      <w:numFmt w:val="upperLetter"/>
      <w:start w:val="8"/>
    </w:lvl>
  </w:abstractNum>
  <w:abstractNum w:abstractNumId="95">
    <w:nsid w:val="6AA78F7F"/>
    <w:multiLevelType w:val="hybridMultilevel"/>
    <w:lvl w:ilvl="0">
      <w:lvlJc w:val="left"/>
      <w:lvlText w:val="%1."/>
      <w:numFmt w:val="upperLetter"/>
      <w:start w:val="9"/>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338" Type="http://schemas.openxmlformats.org/officeDocument/2006/relationships/hyperlink" Target="https://www.sec.gov/Archives/edgar/data/1803901/000119312521025013/d119648ds4.htm#rom119648_45" TargetMode="External"/><Relationship Id="rId339" Type="http://schemas.openxmlformats.org/officeDocument/2006/relationships/hyperlink" Target="https://www.sec.gov/Archives/edgar/data/1803901/000119312521197385/d182715dex31.htm" TargetMode="External"/><Relationship Id="rId340" Type="http://schemas.openxmlformats.org/officeDocument/2006/relationships/hyperlink" Target="https://www.sec.gov/Archives/edgar/data/1803901/000119312521197385/d182715dex32.htm" TargetMode="External"/><Relationship Id="rId341" Type="http://schemas.openxmlformats.org/officeDocument/2006/relationships/hyperlink" Target="https://www.sec.gov/Archives/edgar/data/0001803901/000119312520166711/d937996dex41.htm" TargetMode="External"/><Relationship Id="rId342" Type="http://schemas.openxmlformats.org/officeDocument/2006/relationships/hyperlink" Target="https://www.sec.gov/Archives/edgar/data/0001803901/000119312520161434/d846732dex43.htm" TargetMode="External"/><Relationship Id="rId343" Type="http://schemas.openxmlformats.org/officeDocument/2006/relationships/hyperlink" Target="https://www.sec.gov/Archives/edgar/data/0001803901/000119312521167533/d119648dex45.htm" TargetMode="External"/><Relationship Id="rId344" Type="http://schemas.openxmlformats.org/officeDocument/2006/relationships/hyperlink" Target="https://www.sec.gov/Archives/edgar/data/1803901/000095017022002102/talk-ex4_4.htm" TargetMode="External"/><Relationship Id="rId345" Type="http://schemas.openxmlformats.org/officeDocument/2006/relationships/hyperlink" Target="https://www.sec.gov/Archives/edgar/data/0001803901/000119312521260654/d552255dex991.htm" TargetMode="External"/><Relationship Id="rId346" Type="http://schemas.openxmlformats.org/officeDocument/2006/relationships/hyperlink" Target="https://www.sec.gov/Archives/edgar/data/0001803901/000119312521260654/d552255dex992.htm" TargetMode="External"/><Relationship Id="rId347" Type="http://schemas.openxmlformats.org/officeDocument/2006/relationships/hyperlink" Target="https://www.sec.gov/Archives/edgar/data/0001803901/000119312521260654/d552255dex993.htm" TargetMode="External"/><Relationship Id="rId348" Type="http://schemas.openxmlformats.org/officeDocument/2006/relationships/hyperlink" Target="https://www.sec.gov/Archives/edgar/data/0001803901/000119312521197353/d136958dex101.htm" TargetMode="External"/><Relationship Id="rId349" Type="http://schemas.openxmlformats.org/officeDocument/2006/relationships/hyperlink" Target="https://www.sec.gov/Archives/edgar/data/0001803901/000119312521197353/d136958dex102.htm" TargetMode="External"/><Relationship Id="rId350" Type="http://schemas.openxmlformats.org/officeDocument/2006/relationships/hyperlink" Target="https://www.sec.gov/Archives/edgar/data/0001803901/000119312521197353/d136958dex107a.htm" TargetMode="External"/><Relationship Id="rId351" Type="http://schemas.openxmlformats.org/officeDocument/2006/relationships/hyperlink" Target="https://www.sec.gov/Archives/edgar/data/0001803901/000119312521197353/d136958dex107b.htm" TargetMode="External"/><Relationship Id="rId352" Type="http://schemas.openxmlformats.org/officeDocument/2006/relationships/hyperlink" Target="https://www.sec.gov/Archives/edgar/data/0001803901/000119312521197353/d136958dex109.htm" TargetMode="External"/><Relationship Id="rId353" Type="http://schemas.openxmlformats.org/officeDocument/2006/relationships/hyperlink" Target="https://www.sec.gov/Archives/edgar/data/0001803901/000095017021001074/talk-20210630ex10_14.htm" TargetMode="External"/><Relationship Id="rId354" Type="http://schemas.openxmlformats.org/officeDocument/2006/relationships/hyperlink" Target="https://www.sec.gov/Archives/edgar/data/0001803901/000095017021005127/talk-ex10_1.htm" TargetMode="External"/><Relationship Id="rId355" Type="http://schemas.openxmlformats.org/officeDocument/2006/relationships/hyperlink" Target="https://www.sec.gov/Archives/edgar/data/1803901/000095017022002102/talk-ex10_16.htm" TargetMode="External"/><Relationship Id="rId356" Type="http://schemas.openxmlformats.org/officeDocument/2006/relationships/hyperlink" Target="https://www.sec.gov/Archives/edgar/data/1803901/000095017022002102/talk-ex10_18.htm" TargetMode="External"/><Relationship Id="rId357" Type="http://schemas.openxmlformats.org/officeDocument/2006/relationships/hyperlink" Target="https://www.sec.gov/Archives/edgar/data/1803901/000095017022002102/talk-ex10_19.htm" TargetMode="External"/><Relationship Id="rId358" Type="http://schemas.openxmlformats.org/officeDocument/2006/relationships/hyperlink" Target="https://www.sec.gov/Archives/edgar/data/1803901/000095017022002102/talk-ex10_21.htm" TargetMode="External"/><Relationship Id="rId359" Type="http://schemas.openxmlformats.org/officeDocument/2006/relationships/hyperlink" Target="https://www.sec.gov/Archives/edgar/data/1803901/000095017023007147/talk-ex10_22.htm" TargetMode="External"/><Relationship Id="rId360" Type="http://schemas.openxmlformats.org/officeDocument/2006/relationships/hyperlink" Target="https://www.sec.gov/Archives/edgar/data/1803901/000095017024030872/talk-ex10_23.htm" TargetMode="External"/><Relationship Id="rId361" Type="http://schemas.openxmlformats.org/officeDocument/2006/relationships/hyperlink" Target="https://www.sec.gov/Archives/edgar/data/1803901/000095017024030872/talk-ex97_1.htm" TargetMode="External"/><Relationship Id="rId362" Type="http://schemas.openxmlformats.org/officeDocument/2006/relationships/hyperlink" Target="https://www.sec.gov/Archives/edgar/data/1803901/000095017024094085/talk-ex10_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2025-03-12T16:39:19Z</dcterms:created>
  <dcterms:modified xsi:type="dcterms:W3CDTF">2025-03-12T16:39:19Z</dcterms:modified>
</cp:coreProperties>
</file>